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80" w:after="283"/>
        <w:jc w:val="center"/>
        <w:rPr>
          <w:color w:val="000000"/>
        </w:rPr>
      </w:pPr>
      <w:r>
        <w:rPr>
          <w:color w:val="000000"/>
        </w:rPr>
        <w:t> </w:t>
      </w:r>
    </w:p>
    <w:p>
      <w:pPr>
        <w:pStyle w:val="TextBody"/>
        <w:bidi w:val="0"/>
        <w:spacing w:lineRule="auto" w:line="288" w:before="100" w:after="283"/>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September 30,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18"/>
        </w:rPr>
        <w:t>For the transition period from              to  </w:t>
      </w:r>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000-26224 </w:t>
      </w:r>
    </w:p>
    <w:p>
      <w:pPr>
        <w:pStyle w:val="TextBody"/>
        <w:bidi w:val="0"/>
        <w:spacing w:lineRule="auto" w:line="288" w:before="0" w:after="0"/>
        <w:jc w:val="center"/>
        <w:rPr>
          <w:color w:val="000000"/>
        </w:rPr>
      </w:pPr>
      <w:r>
        <w:rPr>
          <w:color w:val="000000"/>
        </w:rPr>
        <w:t> </w:t>
      </w:r>
    </w:p>
    <w:p>
      <w:pPr>
        <w:pStyle w:val="TextBody"/>
        <w:bidi w:val="0"/>
        <w:spacing w:lineRule="auto" w:line="288" w:before="100" w:after="283"/>
        <w:jc w:val="center"/>
        <w:rPr>
          <w:rFonts w:ascii="Times New Roman;serif" w:hAnsi="Times New Roman;serif"/>
          <w:b/>
          <w:color w:val="000000"/>
          <w:sz w:val="32"/>
        </w:rPr>
      </w:pPr>
      <w:r>
        <w:rPr>
          <w:rFonts w:ascii="Times New Roman;serif" w:hAnsi="Times New Roman;serif"/>
          <w:b/>
          <w:color w:val="000000"/>
          <w:sz w:val="32"/>
        </w:rPr>
        <w:t>INTEGRA LIFESCIENCES HOLDINGS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color w:val="000000"/>
        </w:rPr>
      </w:pPr>
      <w:r>
        <w:rPr>
          <w:color w:val="000000"/>
        </w:rPr>
        <w:t> </w:t>
      </w:r>
    </w:p>
    <w:tbl>
      <w:tblPr>
        <w:tblW w:w="6292" w:type="dxa"/>
        <w:jc w:val="left"/>
        <w:tblInd w:w="0" w:type="dxa"/>
        <w:tblLayout w:type="fixed"/>
        <w:tblCellMar>
          <w:top w:w="28" w:type="dxa"/>
          <w:left w:w="28" w:type="dxa"/>
          <w:bottom w:w="28" w:type="dxa"/>
          <w:right w:w="28" w:type="dxa"/>
        </w:tblCellMar>
      </w:tblPr>
      <w:tblGrid>
        <w:gridCol w:w="500"/>
        <w:gridCol w:w="438"/>
        <w:gridCol w:w="438"/>
        <w:gridCol w:w="438"/>
        <w:gridCol w:w="438"/>
        <w:gridCol w:w="438"/>
        <w:gridCol w:w="438"/>
        <w:gridCol w:w="438"/>
        <w:gridCol w:w="449"/>
        <w:gridCol w:w="109"/>
        <w:gridCol w:w="109"/>
        <w:gridCol w:w="109"/>
        <w:gridCol w:w="569"/>
        <w:gridCol w:w="569"/>
        <w:gridCol w:w="812"/>
      </w:tblGrid>
      <w:tr>
        <w:trPr/>
        <w:tc>
          <w:tcPr>
            <w:tcW w:w="500"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51-0317849</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40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1100 Campus Road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Princeton</w:t>
            </w:r>
          </w:p>
        </w:tc>
        <w:tc>
          <w:tcPr>
            <w:tcW w:w="13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r>
        <w:trPr/>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0"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(609) 275-0500 </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 xml:space="preserve">Former Name, Former Address and Former Fiscal Year, if Changed Since Last Report: </w:t>
      </w:r>
    </w:p>
    <w:p>
      <w:pPr>
        <w:pStyle w:val="TextBody"/>
        <w:bidi w:val="0"/>
        <w:spacing w:lineRule="auto" w:line="288" w:before="120" w:after="120"/>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838" w:type="dxa"/>
        <w:jc w:val="center"/>
        <w:tblInd w:w="0" w:type="dxa"/>
        <w:tblLayout w:type="fixed"/>
        <w:tblCellMar>
          <w:top w:w="28" w:type="dxa"/>
          <w:left w:w="28" w:type="dxa"/>
          <w:bottom w:w="28" w:type="dxa"/>
          <w:right w:w="28" w:type="dxa"/>
        </w:tblCellMar>
      </w:tblPr>
      <w:tblGrid>
        <w:gridCol w:w="1129"/>
        <w:gridCol w:w="991"/>
        <w:gridCol w:w="1000"/>
        <w:gridCol w:w="599"/>
        <w:gridCol w:w="599"/>
        <w:gridCol w:w="601"/>
        <w:gridCol w:w="1438"/>
        <w:gridCol w:w="1438"/>
        <w:gridCol w:w="2043"/>
      </w:tblGrid>
      <w:tr>
        <w:trPr/>
        <w:tc>
          <w:tcPr>
            <w:tcW w:w="112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IART</w:t>
            </w:r>
          </w:p>
        </w:tc>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12" w:type="dxa"/>
        <w:jc w:val="left"/>
        <w:tblInd w:w="0" w:type="dxa"/>
        <w:tblLayout w:type="fixed"/>
        <w:tblCellMar>
          <w:top w:w="28" w:type="dxa"/>
          <w:left w:w="28" w:type="dxa"/>
          <w:bottom w:w="28" w:type="dxa"/>
          <w:right w:w="28" w:type="dxa"/>
        </w:tblCellMar>
      </w:tblPr>
      <w:tblGrid>
        <w:gridCol w:w="603"/>
        <w:gridCol w:w="530"/>
        <w:gridCol w:w="532"/>
        <w:gridCol w:w="145"/>
        <w:gridCol w:w="145"/>
        <w:gridCol w:w="146"/>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120"/>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20" w:after="120"/>
        <w:jc w:val="both"/>
        <w:rPr/>
      </w:pPr>
      <w:r>
        <w:rPr>
          <w:rFonts w:ascii="Times New Roman;serif" w:hAnsi="Times New Roman;serif"/>
          <w:b w:val="false"/>
          <w:color w:val="000000"/>
          <w:sz w:val="18"/>
        </w:rPr>
        <w:t xml:space="preserve">The number of shares of the registrant’s Common Stock, $0.01 par value, outstanding as of </w:t>
      </w:r>
      <w:r>
        <w:rPr>
          <w:rFonts w:ascii="Times New Roman;serif" w:hAnsi="Times New Roman;serif"/>
          <w:b w:val="false"/>
          <w:color w:val="000000"/>
          <w:sz w:val="20"/>
        </w:rPr>
        <w:t>October 29, 2025</w:t>
      </w:r>
      <w:r>
        <w:rPr>
          <w:color w:val="000000"/>
        </w:rPr>
        <w:t xml:space="preserve"> </w:t>
      </w:r>
      <w:r>
        <w:rPr>
          <w:rFonts w:ascii="Times New Roman;serif" w:hAnsi="Times New Roman;serif"/>
          <w:b w:val="false"/>
          <w:color w:val="000000"/>
          <w:sz w:val="18"/>
        </w:rPr>
        <w:t>was 77,892,111.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10"/>
        <w:gridCol w:w="2995"/>
        <w:gridCol w:w="3002"/>
        <w:gridCol w:w="233"/>
        <w:gridCol w:w="233"/>
        <w:gridCol w:w="332"/>
      </w:tblGrid>
      <w:tr>
        <w:trPr/>
        <w:tc>
          <w:tcPr>
            <w:tcW w:w="3410" w:type="dxa"/>
            <w:tcBorders/>
            <w:vAlign w:val="center"/>
          </w:tcPr>
          <w:p>
            <w:pPr>
              <w:pStyle w:val="TableContents"/>
              <w:bidi w:val="0"/>
              <w:spacing w:before="0" w:after="283"/>
              <w:jc w:val="left"/>
              <w:rPr>
                <w:sz w:val="4"/>
                <w:szCs w:val="4"/>
              </w:rPr>
            </w:pPr>
            <w:r>
              <w:rPr>
                <w:sz w:val="4"/>
                <w:szCs w:val="4"/>
              </w:rPr>
            </w:r>
          </w:p>
        </w:tc>
        <w:tc>
          <w:tcPr>
            <w:tcW w:w="2995"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Page</w:t>
              <w:br/>
              <w:t>Number</w:t>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0">
              <w:r>
                <w:rPr>
                  <w:rStyle w:val="InternetLink"/>
                  <w:rFonts w:ascii="Times New Roman;serif" w:hAnsi="Times New Roman;serif"/>
                  <w:b w:val="false"/>
                  <w:color w:val="0000FF"/>
                  <w:sz w:val="18"/>
                  <w:u w:val="single"/>
                </w:rPr>
                <w:t>PART I. FINANCIAL INFORMATION</w:t>
              </w:r>
            </w:hyperlink>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3">
              <w:r>
                <w:rPr>
                  <w:rStyle w:val="InternetLink"/>
                  <w:rFonts w:ascii="Times New Roman;serif" w:hAnsi="Times New Roman;serif"/>
                  <w:b w:val="false"/>
                  <w:color w:val="0000FF"/>
                  <w:sz w:val="18"/>
                  <w:u w:val="single"/>
                </w:rPr>
                <w:t>Item 1.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3">
              <w:r>
                <w:rPr>
                  <w:rStyle w:val="InternetLink"/>
                  <w:rFonts w:ascii="Times New Roman;serif" w:hAnsi="Times New Roman;serif"/>
                  <w:b w:val="false"/>
                  <w:color w:val="0000FF"/>
                  <w:sz w:val="18"/>
                  <w:u w:val="single"/>
                </w:rPr>
                <w:t>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6">
              <w:r>
                <w:rPr>
                  <w:rStyle w:val="InternetLink"/>
                  <w:rFonts w:ascii="Times New Roman;serif" w:hAnsi="Times New Roman;serif"/>
                  <w:b w:val="false"/>
                  <w:color w:val="000080"/>
                  <w:sz w:val="18"/>
                  <w:u w:val="single"/>
                </w:rPr>
                <w:t xml:space="preserve">Condensed Consolidated Statements of Operations and Comprehensive Income for the Three and </w:t>
              </w:r>
            </w:hyperlink>
            <w:hyperlink w:anchor="i8ca4c120fbaf4ed1ac8960f1774b9f8a_16">
              <w:r>
                <w:rPr>
                  <w:rStyle w:val="InternetLink"/>
                  <w:rFonts w:ascii="Times New Roman;serif" w:hAnsi="Times New Roman;serif"/>
                  <w:b w:val="false"/>
                  <w:color w:val="000080"/>
                  <w:sz w:val="18"/>
                  <w:u w:val="single"/>
                </w:rPr>
                <w:t>Nine</w:t>
              </w:r>
            </w:hyperlink>
            <w:hyperlink w:anchor="i8ca4c120fbaf4ed1ac8960f1774b9f8a_16">
              <w:r>
                <w:rPr>
                  <w:rStyle w:val="InternetLink"/>
                  <w:rFonts w:ascii="Times New Roman;serif" w:hAnsi="Times New Roman;serif"/>
                  <w:b w:val="false"/>
                  <w:color w:val="000080"/>
                  <w:sz w:val="18"/>
                  <w:u w:val="single"/>
                </w:rPr>
                <w:t xml:space="preserve"> Months Ended </w:t>
              </w:r>
            </w:hyperlink>
            <w:hyperlink w:anchor="i8ca4c120fbaf4ed1ac8960f1774b9f8a_16">
              <w:r>
                <w:rPr>
                  <w:rStyle w:val="InternetLink"/>
                  <w:rFonts w:ascii="Times New Roman;serif" w:hAnsi="Times New Roman;serif"/>
                  <w:b w:val="false"/>
                  <w:color w:val="000080"/>
                  <w:sz w:val="18"/>
                  <w:u w:val="single"/>
                </w:rPr>
                <w:t>Septemb</w:t>
              </w:r>
            </w:hyperlink>
            <w:hyperlink w:anchor="i8ca4c120fbaf4ed1ac8960f1774b9f8a_16">
              <w:r>
                <w:rPr>
                  <w:rStyle w:val="InternetLink"/>
                  <w:rFonts w:ascii="Times New Roman;serif" w:hAnsi="Times New Roman;serif"/>
                  <w:b w:val="false"/>
                  <w:color w:val="000080"/>
                  <w:sz w:val="18"/>
                  <w:u w:val="single"/>
                </w:rPr>
                <w:t>er</w:t>
              </w:r>
            </w:hyperlink>
            <w:hyperlink w:anchor="i8ca4c120fbaf4ed1ac8960f1774b9f8a_16">
              <w:r>
                <w:rPr>
                  <w:rStyle w:val="InternetLink"/>
                  <w:rFonts w:ascii="Times New Roman;serif" w:hAnsi="Times New Roman;serif"/>
                  <w:b w:val="false"/>
                  <w:color w:val="000080"/>
                  <w:sz w:val="18"/>
                  <w:u w:val="single"/>
                </w:rPr>
                <w:t xml:space="preserve"> 30, 2025 and 2024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6">
              <w:r>
                <w:rPr>
                  <w:rStyle w:val="InternetLink"/>
                  <w:rFonts w:ascii="Times New Roman;serif" w:hAnsi="Times New Roman;serif"/>
                  <w:b w:val="false"/>
                  <w:color w:val="0000FF"/>
                  <w:sz w:val="18"/>
                  <w:u w:val="single"/>
                </w:rPr>
                <w:t>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9">
              <w:r>
                <w:rPr>
                  <w:rStyle w:val="InternetLink"/>
                  <w:rFonts w:ascii="Times New Roman;serif" w:hAnsi="Times New Roman;serif"/>
                  <w:b w:val="false"/>
                  <w:color w:val="000080"/>
                  <w:sz w:val="18"/>
                  <w:u w:val="single"/>
                </w:rPr>
                <w:t xml:space="preserve">Condensed Consolidated Balance Sheets as of </w:t>
              </w:r>
            </w:hyperlink>
            <w:hyperlink w:anchor="i8ca4c120fbaf4ed1ac8960f1774b9f8a_19">
              <w:r>
                <w:rPr>
                  <w:rStyle w:val="InternetLink"/>
                  <w:rFonts w:ascii="Times New Roman;serif" w:hAnsi="Times New Roman;serif"/>
                  <w:b w:val="false"/>
                  <w:color w:val="000080"/>
                  <w:sz w:val="18"/>
                  <w:u w:val="single"/>
                </w:rPr>
                <w:t>September</w:t>
              </w:r>
            </w:hyperlink>
            <w:hyperlink w:anchor="i8ca4c120fbaf4ed1ac8960f1774b9f8a_19">
              <w:r>
                <w:rPr>
                  <w:rStyle w:val="InternetLink"/>
                  <w:rFonts w:ascii="Times New Roman;serif" w:hAnsi="Times New Roman;serif"/>
                  <w:b w:val="false"/>
                  <w:color w:val="000080"/>
                  <w:sz w:val="18"/>
                  <w:u w:val="single"/>
                </w:rPr>
                <w:t xml:space="preserve"> 30, 2025 and December 31, 2024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9">
              <w:r>
                <w:rPr>
                  <w:rStyle w:val="InternetLink"/>
                  <w:rFonts w:ascii="Times New Roman;serif" w:hAnsi="Times New Roman;serif"/>
                  <w:b w:val="false"/>
                  <w:color w:val="0000FF"/>
                  <w:sz w:val="18"/>
                  <w:u w:val="single"/>
                </w:rPr>
                <w:t>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25">
              <w:r>
                <w:rPr>
                  <w:rStyle w:val="InternetLink"/>
                  <w:rFonts w:ascii="Times New Roman;serif" w:hAnsi="Times New Roman;serif"/>
                  <w:b w:val="false"/>
                  <w:color w:val="000080"/>
                  <w:sz w:val="18"/>
                  <w:u w:val="single"/>
                </w:rPr>
                <w:t xml:space="preserve">Condensed Consolidated Statements of Cash Flows for the </w:t>
              </w:r>
            </w:hyperlink>
            <w:hyperlink w:anchor="i8ca4c120fbaf4ed1ac8960f1774b9f8a_25">
              <w:r>
                <w:rPr>
                  <w:rStyle w:val="InternetLink"/>
                  <w:rFonts w:ascii="Times New Roman;serif" w:hAnsi="Times New Roman;serif"/>
                  <w:b w:val="false"/>
                  <w:color w:val="000080"/>
                  <w:sz w:val="18"/>
                  <w:u w:val="single"/>
                </w:rPr>
                <w:t>Nine</w:t>
              </w:r>
            </w:hyperlink>
            <w:hyperlink w:anchor="i8ca4c120fbaf4ed1ac8960f1774b9f8a_25">
              <w:r>
                <w:rPr>
                  <w:rStyle w:val="InternetLink"/>
                  <w:rFonts w:ascii="Times New Roman;serif" w:hAnsi="Times New Roman;serif"/>
                  <w:b w:val="false"/>
                  <w:color w:val="000080"/>
                  <w:sz w:val="18"/>
                  <w:u w:val="single"/>
                </w:rPr>
                <w:t xml:space="preserve"> Months Ended </w:t>
              </w:r>
            </w:hyperlink>
            <w:hyperlink w:anchor="i8ca4c120fbaf4ed1ac8960f1774b9f8a_25">
              <w:r>
                <w:rPr>
                  <w:rStyle w:val="InternetLink"/>
                  <w:rFonts w:ascii="Times New Roman;serif" w:hAnsi="Times New Roman;serif"/>
                  <w:b w:val="false"/>
                  <w:color w:val="000080"/>
                  <w:sz w:val="18"/>
                  <w:u w:val="single"/>
                </w:rPr>
                <w:t>September</w:t>
              </w:r>
            </w:hyperlink>
            <w:hyperlink w:anchor="i8ca4c120fbaf4ed1ac8960f1774b9f8a_25">
              <w:r>
                <w:rPr>
                  <w:rStyle w:val="InternetLink"/>
                  <w:rFonts w:ascii="Times New Roman;serif" w:hAnsi="Times New Roman;serif"/>
                  <w:b w:val="false"/>
                  <w:color w:val="000080"/>
                  <w:sz w:val="18"/>
                  <w:u w:val="single"/>
                </w:rPr>
                <w:t xml:space="preserve"> 30, 2025 and 2024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25">
              <w:r>
                <w:rPr>
                  <w:rStyle w:val="InternetLink"/>
                  <w:rFonts w:ascii="Times New Roman;serif" w:hAnsi="Times New Roman;serif"/>
                  <w:b w:val="false"/>
                  <w:color w:val="0000FF"/>
                  <w:sz w:val="18"/>
                  <w:u w:val="single"/>
                </w:rPr>
                <w:t>5</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28">
              <w:r>
                <w:rPr>
                  <w:rStyle w:val="InternetLink"/>
                  <w:rFonts w:ascii="Times New Roman;serif" w:hAnsi="Times New Roman;serif"/>
                  <w:b w:val="false"/>
                  <w:color w:val="000080"/>
                  <w:sz w:val="18"/>
                  <w:u w:val="single"/>
                </w:rPr>
                <w:t xml:space="preserve">Condensed Consolidated Statements of Changes in Shareholders' Equity for the </w:t>
              </w:r>
            </w:hyperlink>
            <w:hyperlink w:anchor="i8ca4c120fbaf4ed1ac8960f1774b9f8a_28">
              <w:r>
                <w:rPr>
                  <w:rStyle w:val="InternetLink"/>
                  <w:rFonts w:ascii="Times New Roman;serif" w:hAnsi="Times New Roman;serif"/>
                  <w:b w:val="false"/>
                  <w:color w:val="000080"/>
                  <w:sz w:val="18"/>
                  <w:u w:val="single"/>
                </w:rPr>
                <w:t>Nine</w:t>
              </w:r>
            </w:hyperlink>
            <w:hyperlink w:anchor="i8ca4c120fbaf4ed1ac8960f1774b9f8a_28">
              <w:r>
                <w:rPr>
                  <w:rStyle w:val="InternetLink"/>
                  <w:rFonts w:ascii="Times New Roman;serif" w:hAnsi="Times New Roman;serif"/>
                  <w:b w:val="false"/>
                  <w:color w:val="000080"/>
                  <w:sz w:val="18"/>
                  <w:u w:val="single"/>
                </w:rPr>
                <w:t xml:space="preserve"> Months Ended </w:t>
              </w:r>
            </w:hyperlink>
            <w:hyperlink w:anchor="i8ca4c120fbaf4ed1ac8960f1774b9f8a_28">
              <w:r>
                <w:rPr>
                  <w:rStyle w:val="InternetLink"/>
                  <w:rFonts w:ascii="Times New Roman;serif" w:hAnsi="Times New Roman;serif"/>
                  <w:b w:val="false"/>
                  <w:color w:val="000080"/>
                  <w:sz w:val="18"/>
                  <w:u w:val="single"/>
                </w:rPr>
                <w:t>Septemb</w:t>
              </w:r>
            </w:hyperlink>
            <w:hyperlink w:anchor="i8ca4c120fbaf4ed1ac8960f1774b9f8a_28">
              <w:r>
                <w:rPr>
                  <w:rStyle w:val="InternetLink"/>
                  <w:rFonts w:ascii="Times New Roman;serif" w:hAnsi="Times New Roman;serif"/>
                  <w:b w:val="false"/>
                  <w:color w:val="000080"/>
                  <w:sz w:val="18"/>
                  <w:u w:val="single"/>
                </w:rPr>
                <w:t>er</w:t>
              </w:r>
            </w:hyperlink>
            <w:hyperlink w:anchor="i8ca4c120fbaf4ed1ac8960f1774b9f8a_28">
              <w:r>
                <w:rPr>
                  <w:rStyle w:val="InternetLink"/>
                  <w:rFonts w:ascii="Times New Roman;serif" w:hAnsi="Times New Roman;serif"/>
                  <w:b w:val="false"/>
                  <w:color w:val="000080"/>
                  <w:sz w:val="18"/>
                  <w:u w:val="single"/>
                </w:rPr>
                <w:t xml:space="preserve"> 30, 2025 and 2024 (Unaudited)</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28">
              <w:r>
                <w:rPr>
                  <w:rStyle w:val="InternetLink"/>
                  <w:rFonts w:ascii="Times New Roman;serif" w:hAnsi="Times New Roman;serif"/>
                  <w:b w:val="false"/>
                  <w:color w:val="0000FF"/>
                  <w:sz w:val="18"/>
                  <w:u w:val="single"/>
                </w:rPr>
                <w:t>6</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31">
              <w:r>
                <w:rPr>
                  <w:rStyle w:val="InternetLink"/>
                  <w:rFonts w:ascii="Times New Roman;serif" w:hAnsi="Times New Roman;serif"/>
                  <w:b w:val="false"/>
                  <w:color w:val="0000FF"/>
                  <w:sz w:val="18"/>
                  <w:u w:val="single"/>
                </w:rPr>
                <w:t>Notes to Unaudited Condensed Consolidated Financial Statements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31">
              <w:r>
                <w:rPr>
                  <w:rStyle w:val="InternetLink"/>
                  <w:rFonts w:ascii="Times New Roman;serif" w:hAnsi="Times New Roman;serif"/>
                  <w:b w:val="false"/>
                  <w:color w:val="0000FF"/>
                  <w:sz w:val="18"/>
                  <w:u w:val="single"/>
                </w:rPr>
                <w:t>8</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91">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91">
              <w:r>
                <w:rPr>
                  <w:rStyle w:val="InternetLink"/>
                  <w:rFonts w:ascii="Times New Roman;serif" w:hAnsi="Times New Roman;serif"/>
                  <w:b w:val="false"/>
                  <w:color w:val="0000FF"/>
                  <w:sz w:val="18"/>
                  <w:u w:val="single"/>
                </w:rPr>
                <w:t>38</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15">
              <w:r>
                <w:rPr>
                  <w:rStyle w:val="InternetLink"/>
                  <w:rFonts w:ascii="Times New Roman;serif" w:hAnsi="Times New Roman;serif"/>
                  <w:b w:val="false"/>
                  <w:color w:val="0000FF"/>
                  <w:sz w:val="18"/>
                  <w:u w:val="single"/>
                </w:rPr>
                <w:t>Item 3. Quantitative and Qualitative Disclosures About Market Risk</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15">
              <w:r>
                <w:rPr>
                  <w:rStyle w:val="InternetLink"/>
                  <w:rFonts w:ascii="Times New Roman;serif" w:hAnsi="Times New Roman;serif"/>
                  <w:b w:val="false"/>
                  <w:color w:val="0000FF"/>
                  <w:sz w:val="18"/>
                  <w:u w:val="single"/>
                </w:rPr>
                <w:t>52</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18">
              <w:r>
                <w:rPr>
                  <w:rStyle w:val="InternetLink"/>
                  <w:rFonts w:ascii="Times New Roman;serif" w:hAnsi="Times New Roman;serif"/>
                  <w:b w:val="false"/>
                  <w:color w:val="0000FF"/>
                  <w:sz w:val="18"/>
                  <w:u w:val="single"/>
                </w:rPr>
                <w:t>Item 4. Controls and Procedures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18">
              <w:r>
                <w:rPr>
                  <w:rStyle w:val="InternetLink"/>
                  <w:rFonts w:ascii="Times New Roman;serif" w:hAnsi="Times New Roman;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21">
              <w:r>
                <w:rPr>
                  <w:rStyle w:val="InternetLink"/>
                  <w:rFonts w:ascii="Times New Roman;serif" w:hAnsi="Times New Roman;serif"/>
                  <w:b w:val="false"/>
                  <w:color w:val="0000FF"/>
                  <w:sz w:val="18"/>
                  <w:u w:val="single"/>
                </w:rPr>
                <w:t>PART II. OTHER INFORMATION</w:t>
              </w:r>
            </w:hyperlink>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24">
              <w:r>
                <w:rPr>
                  <w:rStyle w:val="InternetLink"/>
                  <w:rFonts w:ascii="Times New Roman;serif" w:hAnsi="Times New Roman;serif"/>
                  <w:b w:val="false"/>
                  <w:color w:val="0000FF"/>
                  <w:sz w:val="18"/>
                  <w:u w:val="single"/>
                </w:rPr>
                <w:t>Item 1. Legal Proceedings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24">
              <w:r>
                <w:rPr>
                  <w:rStyle w:val="InternetLink"/>
                  <w:rFonts w:ascii="Times New Roman;serif" w:hAnsi="Times New Roman;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27">
              <w:r>
                <w:rPr>
                  <w:rStyle w:val="InternetLink"/>
                  <w:rFonts w:ascii="Times New Roman;serif" w:hAnsi="Times New Roman;serif"/>
                  <w:b w:val="false"/>
                  <w:color w:val="0000FF"/>
                  <w:sz w:val="18"/>
                  <w:u w:val="single"/>
                </w:rPr>
                <w:t>Item 1A. Risk Factors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27">
              <w:r>
                <w:rPr>
                  <w:rStyle w:val="InternetLink"/>
                  <w:rFonts w:ascii="Times New Roman;serif" w:hAnsi="Times New Roman;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30">
              <w:r>
                <w:rPr>
                  <w:rStyle w:val="InternetLink"/>
                  <w:rFonts w:ascii="Times New Roman;serif" w:hAnsi="Times New Roman;serif"/>
                  <w:b w:val="false"/>
                  <w:color w:val="0000FF"/>
                  <w:sz w:val="18"/>
                  <w:u w:val="single"/>
                </w:rPr>
                <w:t>Item 2. Unregistered Sales of Equity Securities and Use of Proceeds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30">
              <w:r>
                <w:rPr>
                  <w:rStyle w:val="InternetLink"/>
                  <w:rFonts w:ascii="Times New Roman;serif" w:hAnsi="Times New Roman;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33">
              <w:r>
                <w:rPr>
                  <w:rStyle w:val="InternetLink"/>
                  <w:rFonts w:ascii="Times New Roman;serif" w:hAnsi="Times New Roman;serif"/>
                  <w:b w:val="false"/>
                  <w:color w:val="0000FF"/>
                  <w:sz w:val="18"/>
                  <w:u w:val="single"/>
                </w:rPr>
                <w:t>Item 3. Defaults Upon Senior Securities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33">
              <w:r>
                <w:rPr>
                  <w:rStyle w:val="InternetLink"/>
                  <w:rFonts w:ascii="Times New Roman;serif" w:hAnsi="Times New Roman;serif"/>
                  <w:b w:val="false"/>
                  <w:color w:val="0000FF"/>
                  <w:sz w:val="18"/>
                  <w:u w:val="single"/>
                </w:rPr>
                <w:t>53</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36">
              <w:r>
                <w:rPr>
                  <w:rStyle w:val="InternetLink"/>
                  <w:rFonts w:ascii="Times New Roman;serif" w:hAnsi="Times New Roman;serif"/>
                  <w:b w:val="false"/>
                  <w:color w:val="0000FF"/>
                  <w:sz w:val="18"/>
                  <w:u w:val="single"/>
                </w:rPr>
                <w:t>Item 4. Mine Safety Disclosures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36">
              <w:r>
                <w:rPr>
                  <w:rStyle w:val="InternetLink"/>
                  <w:rFonts w:ascii="Times New Roman;serif" w:hAnsi="Times New Roman;serif"/>
                  <w:b w:val="false"/>
                  <w:color w:val="0000FF"/>
                  <w:sz w:val="18"/>
                  <w:u w:val="single"/>
                </w:rPr>
                <w:t>54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39">
              <w:r>
                <w:rPr>
                  <w:rStyle w:val="InternetLink"/>
                  <w:rFonts w:ascii="Times New Roman;serif" w:hAnsi="Times New Roman;serif"/>
                  <w:b w:val="false"/>
                  <w:color w:val="0000FF"/>
                  <w:sz w:val="18"/>
                  <w:u w:val="single"/>
                </w:rPr>
                <w:t>Item 5. Other Information</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39">
              <w:r>
                <w:rPr>
                  <w:rStyle w:val="InternetLink"/>
                  <w:rFonts w:ascii="Times New Roman;serif" w:hAnsi="Times New Roman;serif"/>
                  <w:b w:val="false"/>
                  <w:color w:val="0000FF"/>
                  <w:sz w:val="18"/>
                  <w:u w:val="single"/>
                </w:rPr>
                <w:t>54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45">
              <w:r>
                <w:rPr>
                  <w:rStyle w:val="InternetLink"/>
                  <w:rFonts w:ascii="Times New Roman;serif" w:hAnsi="Times New Roman;serif"/>
                  <w:b w:val="false"/>
                  <w:color w:val="0000FF"/>
                  <w:sz w:val="18"/>
                  <w:u w:val="single"/>
                </w:rPr>
                <w:t>Item 6. Exhibits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45">
              <w:r>
                <w:rPr>
                  <w:rStyle w:val="InternetLink"/>
                  <w:rFonts w:ascii="Times New Roman;serif" w:hAnsi="Times New Roman;serif"/>
                  <w:b w:val="false"/>
                  <w:color w:val="0000FF"/>
                  <w:sz w:val="18"/>
                  <w:u w:val="single"/>
                </w:rPr>
                <w:t>54</w:t>
              </w:r>
            </w:hyperlink>
          </w:p>
        </w:tc>
      </w:tr>
      <w:tr>
        <w:trPr/>
        <w:tc>
          <w:tcPr>
            <w:tcW w:w="9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ca4c120fbaf4ed1ac8960f1774b9f8a_148">
              <w:r>
                <w:rPr>
                  <w:rStyle w:val="InternetLink"/>
                  <w:rFonts w:ascii="Times New Roman;serif" w:hAnsi="Times New Roman;serif"/>
                  <w:b w:val="false"/>
                  <w:color w:val="0000FF"/>
                  <w:sz w:val="18"/>
                  <w:u w:val="single"/>
                </w:rPr>
                <w:t>SIGNATURES</w:t>
              </w:r>
            </w:hyperlink>
          </w:p>
        </w:tc>
        <w:tc>
          <w:tcPr>
            <w:tcW w:w="7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ca4c120fbaf4ed1ac8960f1774b9f8a_148">
              <w:r>
                <w:rPr>
                  <w:rStyle w:val="InternetLink"/>
                  <w:rFonts w:ascii="Times New Roman;serif" w:hAnsi="Times New Roman;serif"/>
                  <w:b w:val="false"/>
                  <w:color w:val="0000FF"/>
                  <w:sz w:val="18"/>
                  <w:u w:val="single"/>
                </w:rPr>
                <w:t>56</w:t>
              </w:r>
            </w:hyperlink>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10205" w:type="dxa"/>
        <w:jc w:val="left"/>
        <w:tblInd w:w="0" w:type="dxa"/>
        <w:tblLayout w:type="fixed"/>
        <w:tblCellMar>
          <w:top w:w="28" w:type="dxa"/>
          <w:left w:w="28" w:type="dxa"/>
          <w:bottom w:w="28" w:type="dxa"/>
          <w:right w:w="28" w:type="dxa"/>
        </w:tblCellMar>
      </w:tblPr>
      <w:tblGrid>
        <w:gridCol w:w="1658"/>
        <w:gridCol w:w="1415"/>
        <w:gridCol w:w="1423"/>
        <w:gridCol w:w="216"/>
        <w:gridCol w:w="812"/>
        <w:gridCol w:w="119"/>
        <w:gridCol w:w="119"/>
        <w:gridCol w:w="119"/>
        <w:gridCol w:w="119"/>
        <w:gridCol w:w="216"/>
        <w:gridCol w:w="812"/>
        <w:gridCol w:w="119"/>
        <w:gridCol w:w="109"/>
        <w:gridCol w:w="109"/>
        <w:gridCol w:w="109"/>
        <w:gridCol w:w="196"/>
        <w:gridCol w:w="871"/>
        <w:gridCol w:w="109"/>
        <w:gridCol w:w="109"/>
        <w:gridCol w:w="109"/>
        <w:gridCol w:w="109"/>
        <w:gridCol w:w="196"/>
        <w:gridCol w:w="871"/>
        <w:gridCol w:w="161"/>
      </w:tblGrid>
      <w:tr>
        <w:trPr/>
        <w:tc>
          <w:tcPr>
            <w:tcW w:w="1658"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4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bookmarkStart w:id="0" w:name="i4f212b2c24724cc8acac3511c163f829_2-3-26"/>
            <w:bookmarkEnd w:id="0"/>
            <w:r>
              <w:rPr>
                <w:rFonts w:ascii="Times New Roman;serif" w:hAnsi="Times New Roman;serif"/>
                <w:b w:val="false"/>
                <w:color w:val="000000"/>
                <w:sz w:val="18"/>
              </w:rPr>
              <w:t>380,834 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1,167,881 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169,046 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538,463 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 charge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costs and expenses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390,301 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388,984 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1,175,097 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 net</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(40,778)</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for income taxes</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per share</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Weighted average common shares outstanding (See Note 13):</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6"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Comprehensive loss (See Note 14)</w:t>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(16,823)</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2765"/>
        <w:gridCol w:w="2115"/>
        <w:gridCol w:w="2123"/>
        <w:gridCol w:w="238"/>
        <w:gridCol w:w="1061"/>
        <w:gridCol w:w="132"/>
        <w:gridCol w:w="109"/>
        <w:gridCol w:w="109"/>
        <w:gridCol w:w="109"/>
        <w:gridCol w:w="231"/>
        <w:gridCol w:w="1028"/>
        <w:gridCol w:w="185"/>
      </w:tblGrid>
      <w:tr>
        <w:trPr/>
        <w:tc>
          <w:tcPr>
            <w:tcW w:w="276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allowances of $5,637 and $6,917</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262,160 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272,370 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429,090 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94,111 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1,143,582 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1,081,681 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437,367 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405,723 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 - operating leases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144,042 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1,160,145 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1,207,588 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615,199 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1,096,952 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 net</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42,244 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3,646,452 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4,037,424 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borrowings under senior credit facility</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33,906 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liability - operating leases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securities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573,170 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92,305 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82,502 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85,617 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132,860 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364,054 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922,126 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senior credit facility</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1,708,851 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1,087,917 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borrowings under securitization facility</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vAlign w:val="center"/>
          </w:tcPr>
          <w:p>
            <w:pPr>
              <w:pStyle w:val="TableContents"/>
              <w:bidi w:val="0"/>
              <w:spacing w:before="0" w:after="283"/>
              <w:jc w:val="left"/>
              <w:rPr>
                <w:sz w:val="4"/>
                <w:szCs w:val="4"/>
              </w:rPr>
            </w:pPr>
            <w:r>
              <w:rPr>
                <w:sz w:val="4"/>
                <w:szCs w:val="4"/>
              </w:rPr>
            </w:r>
          </w:p>
        </w:tc>
        <w:tc>
          <w:tcPr>
            <w:tcW w:w="14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160,933 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58,285 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233,255 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146,238 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2,608,878 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2,492,144 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no par value; 15,000 authorized shares; none outstanding</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240,000 authorized shares; 92,251 and 91,610 issued at September 30, 2025 and December 31, 2024, respectively</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1,333,506 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1,323,431 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at cost; 14,416 shares and 14,445 shares at September 30, 2025 and December 31, 2024, respectively</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(690,025)</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(691,411)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939,915 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1,037,574 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1,545,280 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3,646,452 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4,037,424 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9083" w:type="dxa"/>
        <w:jc w:val="center"/>
        <w:tblInd w:w="0" w:type="dxa"/>
        <w:tblLayout w:type="fixed"/>
        <w:tblCellMar>
          <w:top w:w="28" w:type="dxa"/>
          <w:left w:w="28" w:type="dxa"/>
          <w:bottom w:w="28" w:type="dxa"/>
          <w:right w:w="28" w:type="dxa"/>
        </w:tblCellMar>
      </w:tblPr>
      <w:tblGrid>
        <w:gridCol w:w="2259"/>
        <w:gridCol w:w="1985"/>
        <w:gridCol w:w="1995"/>
        <w:gridCol w:w="220"/>
        <w:gridCol w:w="914"/>
        <w:gridCol w:w="122"/>
        <w:gridCol w:w="122"/>
        <w:gridCol w:w="122"/>
        <w:gridCol w:w="122"/>
        <w:gridCol w:w="220"/>
        <w:gridCol w:w="829"/>
        <w:gridCol w:w="173"/>
      </w:tblGrid>
      <w:tr>
        <w:trPr/>
        <w:tc>
          <w:tcPr>
            <w:tcW w:w="2259"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62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impairment charges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(55,316)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expenses associated with debt refinancing</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disposal of property and equipment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and others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15,967 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(34,401)</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operating activities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(64,222)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(74,818)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business acquisitions, net of cash acquired</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(281,994)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short-term investments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(48,997)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short-term investments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19,250 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payments from swaps designated as net investment hedges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investing activities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(386,559)</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of long-term indebtedness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671,000 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451,100 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debt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(69,819)</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(147,188)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convertible debt</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(574,983)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treasury stock</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Payments for contingent considerations </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(16,451)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exercised stock options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taxes paid in net equity settlement</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(3,374)</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financing activities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245,013 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cash and cash equivalents</w:t>
            </w:r>
          </w:p>
        </w:tc>
        <w:tc>
          <w:tcPr>
            <w:tcW w:w="11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(61,245)</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11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276,402 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232,186 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215,157 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(Dollars in thousands)</w:t>
      </w:r>
    </w:p>
    <w:tbl>
      <w:tblPr>
        <w:tblW w:w="11685" w:type="dxa"/>
        <w:jc w:val="center"/>
        <w:tblInd w:w="0" w:type="dxa"/>
        <w:tblLayout w:type="fixed"/>
        <w:tblCellMar>
          <w:top w:w="28" w:type="dxa"/>
          <w:left w:w="28" w:type="dxa"/>
          <w:bottom w:w="28" w:type="dxa"/>
          <w:right w:w="28" w:type="dxa"/>
        </w:tblCellMar>
      </w:tblPr>
      <w:tblGrid>
        <w:gridCol w:w="697"/>
        <w:gridCol w:w="244"/>
        <w:gridCol w:w="245"/>
        <w:gridCol w:w="330"/>
        <w:gridCol w:w="331"/>
        <w:gridCol w:w="196"/>
        <w:gridCol w:w="109"/>
        <w:gridCol w:w="109"/>
        <w:gridCol w:w="109"/>
        <w:gridCol w:w="196"/>
        <w:gridCol w:w="436"/>
        <w:gridCol w:w="109"/>
        <w:gridCol w:w="109"/>
        <w:gridCol w:w="109"/>
        <w:gridCol w:w="109"/>
        <w:gridCol w:w="330"/>
        <w:gridCol w:w="331"/>
        <w:gridCol w:w="196"/>
        <w:gridCol w:w="109"/>
        <w:gridCol w:w="109"/>
        <w:gridCol w:w="109"/>
        <w:gridCol w:w="196"/>
        <w:gridCol w:w="75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91,609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(14,445)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(691,411)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1,323,431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939,915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1,545,280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92,136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(690,379)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1,323,081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(24,106)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914,622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1,524,139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(484,073)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92,337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(14,416)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1,328,130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(30,907)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430,549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1,038,661</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2025</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92,251</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(14,416)</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(690,025)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1,333,506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(31,975)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425,145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1,037,574</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tbl>
      <w:tblPr>
        <w:tblW w:w="11685" w:type="dxa"/>
        <w:jc w:val="center"/>
        <w:tblInd w:w="0" w:type="dxa"/>
        <w:tblLayout w:type="fixed"/>
        <w:tblCellMar>
          <w:top w:w="28" w:type="dxa"/>
          <w:left w:w="28" w:type="dxa"/>
          <w:bottom w:w="28" w:type="dxa"/>
          <w:right w:w="28" w:type="dxa"/>
        </w:tblCellMar>
      </w:tblPr>
      <w:tblGrid>
        <w:gridCol w:w="697"/>
        <w:gridCol w:w="244"/>
        <w:gridCol w:w="245"/>
        <w:gridCol w:w="330"/>
        <w:gridCol w:w="331"/>
        <w:gridCol w:w="196"/>
        <w:gridCol w:w="109"/>
        <w:gridCol w:w="109"/>
        <w:gridCol w:w="109"/>
        <w:gridCol w:w="196"/>
        <w:gridCol w:w="436"/>
        <w:gridCol w:w="109"/>
        <w:gridCol w:w="109"/>
        <w:gridCol w:w="109"/>
        <w:gridCol w:w="109"/>
        <w:gridCol w:w="330"/>
        <w:gridCol w:w="331"/>
        <w:gridCol w:w="196"/>
        <w:gridCol w:w="109"/>
        <w:gridCol w:w="109"/>
        <w:gridCol w:w="109"/>
        <w:gridCol w:w="196"/>
        <w:gridCol w:w="751"/>
        <w:gridCol w:w="109"/>
        <w:gridCol w:w="109"/>
        <w:gridCol w:w="109"/>
        <w:gridCol w:w="109"/>
        <w:gridCol w:w="196"/>
        <w:gridCol w:w="886"/>
        <w:gridCol w:w="109"/>
        <w:gridCol w:w="109"/>
        <w:gridCol w:w="109"/>
        <w:gridCol w:w="109"/>
        <w:gridCol w:w="246"/>
        <w:gridCol w:w="832"/>
        <w:gridCol w:w="138"/>
        <w:gridCol w:w="109"/>
        <w:gridCol w:w="109"/>
        <w:gridCol w:w="109"/>
        <w:gridCol w:w="196"/>
        <w:gridCol w:w="751"/>
        <w:gridCol w:w="109"/>
        <w:gridCol w:w="109"/>
        <w:gridCol w:w="109"/>
        <w:gridCol w:w="109"/>
        <w:gridCol w:w="196"/>
        <w:gridCol w:w="88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Loss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January 1,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90,920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(12,751)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(647,262)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1,302,484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(15,106)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946,859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1,587,884</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through employee stock purchase plan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91,484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(12,735)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(646,422)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1,310,527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(10,646)</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943,578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1,597,952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shares repurchased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June 30, 2024</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91,591</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(14,008)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(680,753)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1,301,582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(18,726)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931,176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1,534,195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for vesting of share based awards, net of shares withheld for taxes and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shares repurchased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September 30, 2024</w:t>
            </w:r>
          </w:p>
        </w:tc>
        <w:tc>
          <w:tcPr>
            <w:tcW w:w="6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91,588</w:t>
            </w:r>
            <w:r>
              <w:rPr>
                <w:color w:val="000000"/>
              </w:rPr>
              <w:t>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916</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(14,454)</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(691,810)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1,316,854</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(24,854)</w:t>
            </w:r>
          </w:p>
        </w:tc>
        <w:tc>
          <w:tcPr>
            <w:tcW w:w="13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920,481</w:t>
            </w: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1,521,587</w:t>
            </w:r>
            <w:r>
              <w:rPr>
                <w:color w:val="000000"/>
              </w:rPr>
              <w:t>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The accompanying unaudited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BASIS OF PRESENTATION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terms “we,” “our,” “us,” “Company” and “Integra” refer to Integra LifeSciences Holdings Corporation, a Delaware corporation, and its subsidiaries unless the context suggests otherwise.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September 30, 2025 unaudited condensed consolidated financial statements contain all adjustments (consisting only of normal recurring adjustments) necessary for a fair statement of the financial position, statement of changes in shareholders’ equity, results of operations and cash flows of the Company for the periods presented. Certain information and footnote disclosures normally included in financial statements prepared in accordance with generally accepted accounting principles in the United States (“GAAP”)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2024 included in the Company’s Annual Report on Form 10-K. The consolidated balance sheet as of December 31, 2024 was derived from audited financial statements, but does not include all disclosures required by GAAP. Operating results for the three and nine-month period ended September 30, 2025 are not necessarily indicative of the results to be expected for the entire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consolidated financial statements is in conformity with GAAP, which requires management to make estimates and assumptions that affect the reported amount of assets and liabilities, the disclosure of contingent liabilities, and the reported amounts of revenues and expenses. Significant estimates affecting amounts reported or disclosed in the unaudited condensed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 </w:t>
      </w:r>
    </w:p>
    <w:p>
      <w:pPr>
        <w:pStyle w:val="TextBody"/>
        <w:bidi w:val="0"/>
        <w:spacing w:lineRule="auto" w:line="288" w:before="120" w:after="120"/>
        <w:jc w:val="left"/>
        <w:rPr/>
      </w:pPr>
      <w:r>
        <w:rPr>
          <w:rFonts w:ascii="Times New Roman;serif" w:hAnsi="Times New Roman;serif"/>
          <w:b/>
          <w:i/>
          <w:color w:val="000000"/>
          <w:sz w:val="20"/>
        </w:rPr>
        <w:t>Recent Accounting Pronouncements</w:t>
      </w:r>
      <w:r>
        <w:rPr>
          <w:color w:val="000000"/>
        </w:rPr>
        <w:t xml:space="preserve"> </w:t>
      </w:r>
    </w:p>
    <w:p>
      <w:pPr>
        <w:pStyle w:val="TextBody"/>
        <w:bidi w:val="0"/>
        <w:spacing w:lineRule="auto" w:line="288" w:before="120" w:after="120"/>
        <w:jc w:val="both"/>
        <w:rPr/>
      </w:pPr>
      <w:r>
        <w:rPr>
          <w:rFonts w:ascii="Times New Roman;serif" w:hAnsi="Times New Roman;serif"/>
          <w:b w:val="false"/>
          <w:color w:val="000000"/>
          <w:sz w:val="20"/>
        </w:rPr>
        <w:t xml:space="preserve">In December 2023, the Financial Accounting Standards Board (“FASB”) issued Accounting Standards Update (“ASU”) 2023-09, </w:t>
      </w:r>
      <w:r>
        <w:rPr>
          <w:rFonts w:ascii="Times New Roman;serif" w:hAnsi="Times New Roman;serif"/>
          <w:b w:val="false"/>
          <w:i/>
          <w:color w:val="000000"/>
          <w:sz w:val="20"/>
        </w:rPr>
        <w:t xml:space="preserve">Income Taxes (Topic 740): Improvements to Income Tax Disclosures </w:t>
      </w:r>
      <w:r>
        <w:rPr>
          <w:rFonts w:ascii="Times New Roman;serif" w:hAnsi="Times New Roman;serif"/>
          <w:b w:val="false"/>
          <w:color w:val="000000"/>
          <w:sz w:val="20"/>
        </w:rPr>
        <w:t>(“ASU 2023-09”) which enhances the transparency of income tax disclosures by expanding annual disclosure requirements related to the rate reconciliation and income taxes paid. The amendments are effective for fiscal years beginning after December 15, 2024. The amendments should be applied on a prospective basis. Retrospective application to all prior periods presented in the financial statements is permitted. The Company will adopt ASU 2023-09 for the annual period ending on December 31, 2025 on a prospective basis. The Company is currently evaluating the impact that the adoption of this guidance will have on its disclosures.</w:t>
      </w:r>
    </w:p>
    <w:p>
      <w:pPr>
        <w:pStyle w:val="TextBody"/>
        <w:bidi w:val="0"/>
        <w:spacing w:lineRule="auto" w:line="288" w:before="120" w:after="12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0"/>
        </w:rPr>
        <w:t xml:space="preserve">(“ASU 2024-03”), and in January 2025, the FASB issued ASU 2025-01, </w:t>
      </w:r>
      <w:r>
        <w:rPr>
          <w:rFonts w:ascii="Times New Roman;serif" w:hAnsi="Times New Roman;serif"/>
          <w:b w:val="false"/>
          <w:i/>
          <w:color w:val="000000"/>
          <w:sz w:val="20"/>
        </w:rPr>
        <w:t xml:space="preserve">Income Statement - Reporting Comprehensive Income - Expense Disaggregation Disclosures (Subtopic 220-40): Clarifying the Effective Date </w:t>
      </w:r>
      <w:r>
        <w:rPr>
          <w:rFonts w:ascii="Times New Roman;serif" w:hAnsi="Times New Roman;serif"/>
          <w:b w:val="false"/>
          <w:color w:val="000000"/>
          <w:sz w:val="20"/>
        </w:rPr>
        <w:t>(“ASU 2025-01”). ASU 2024-03 requires additional disclosure of 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is permitted. The Company is currently evaluating the impact that the adoption of this guidance will have on its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 xml:space="preserve">Intangibles - Goodwill and Other - Internal-Use Software (Subtopic 350-40): Targeted Improvements to the Accounting for Internal-Use Software </w:t>
      </w:r>
      <w:r>
        <w:rPr>
          <w:rFonts w:ascii="Times New Roman;serif" w:hAnsi="Times New Roman;serif"/>
          <w:b w:val="false"/>
          <w:color w:val="000000"/>
          <w:sz w:val="20"/>
        </w:rPr>
        <w:t>(“ASU 2025-06”),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This ASU is effective for fiscal years beginning after December 15, 2027, and interim periods within those fiscal years, with early adoption permitted as of the beginning of a fiscal year. The amendments may be applied prospectively, retrospectively, or via a modified prospective transition method. The Company is currently evaluating the impact that the adoption of this guidance will have on its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are no other recently issued accounting pronouncements that are expected to have any significant effect on the Company’s financial position, results of operations, or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cash and cash equivalents, primarily consisting of cash on-hand, as well as time deposits with original maturities of three months or less and money market funds, which are highly liquid and readily convertible to cash, totaling approximately $232.2 million and $246.4 million at September 30, 2025 and December 31, 2024, respectively.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short-term investments, primarily consisting of time deposits with original maturities between three months and one year, totaling approximately $35.7 million and $27.2 million at September 30, 2025 and December 31, 2024, respectively. The short-term investments are valued based on Level 1 measurements in the fair value hierarchy. </w:t>
      </w:r>
    </w:p>
    <w:p>
      <w:pPr>
        <w:pStyle w:val="TextBody"/>
        <w:bidi w:val="0"/>
        <w:spacing w:lineRule="auto" w:line="268" w:before="120" w:after="120"/>
        <w:jc w:val="both"/>
        <w:rPr>
          <w:rFonts w:ascii="Times New Roman;serif" w:hAnsi="Times New Roman;serif"/>
          <w:b/>
          <w:i/>
          <w:color w:val="000000"/>
          <w:sz w:val="20"/>
        </w:rPr>
      </w:pPr>
      <w:r>
        <w:rPr>
          <w:rFonts w:ascii="Times New Roman;serif" w:hAnsi="Times New Roman;serif"/>
          <w:b/>
          <w:i/>
          <w:color w:val="000000"/>
          <w:sz w:val="20"/>
        </w:rPr>
        <w:t>Employee termination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have a written severance plan but has a history of providing benefits for employees in the case of involuntary termination. In situations outside the U.S., there are minimum statutory termination benefits requirements by country that must be paid to the affected employees. The Company records employee severance costs associated with these restructuring activities in accordance with the authoritative guidance for non-retirement post-employment benefits. Charges associated with these activities are recorded when the payment of benefits is probable and can be reasonably estimated. In situations where the Company pays out termination benefits in excess of statutory minimum amounts based on management’s discretion, the Company records these termination costs once communication is made to the affected employees.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timing of the recognition of charges for employee severance costs other than minimum statutory benefits depends on whether the affected employees are required to render service beyond their legal notification period in order to receive the benefits. If affected employees are required to render service beyond their legal notification period, charges are recognized over the future service period. Otherwise, charges are recognized when management has approved a specific plan and employee communication requirements have been met.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incurred employee termination costs on restructuring activities in the consolidated statement of operations for the nine months ended September 30, 2025 and 2024. The following table summarizes the activity in the restructuring related accrual balances included within accrued expenses and other current liabilities in the consolidated balance sheet for the nine months ended September 30, 2025 and 2024.</w:t>
      </w:r>
    </w:p>
    <w:tbl>
      <w:tblPr>
        <w:tblW w:w="5722" w:type="dxa"/>
        <w:jc w:val="left"/>
        <w:tblInd w:w="0" w:type="dxa"/>
        <w:tblLayout w:type="fixed"/>
        <w:tblCellMar>
          <w:top w:w="28" w:type="dxa"/>
          <w:left w:w="28" w:type="dxa"/>
          <w:bottom w:w="28" w:type="dxa"/>
          <w:right w:w="28" w:type="dxa"/>
        </w:tblCellMar>
      </w:tblPr>
      <w:tblGrid>
        <w:gridCol w:w="924"/>
        <w:gridCol w:w="812"/>
        <w:gridCol w:w="814"/>
        <w:gridCol w:w="109"/>
        <w:gridCol w:w="109"/>
        <w:gridCol w:w="109"/>
        <w:gridCol w:w="266"/>
        <w:gridCol w:w="756"/>
        <w:gridCol w:w="148"/>
        <w:gridCol w:w="148"/>
        <w:gridCol w:w="148"/>
        <w:gridCol w:w="148"/>
        <w:gridCol w:w="266"/>
        <w:gridCol w:w="756"/>
        <w:gridCol w:w="209"/>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2,113 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and 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4,332 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2. ACQUISITIONS AND DIVESTITURES</w:t>
      </w:r>
    </w:p>
    <w:p>
      <w:pPr>
        <w:pStyle w:val="TextBody"/>
        <w:bidi w:val="0"/>
        <w:spacing w:lineRule="auto" w:line="256" w:before="120" w:after="120"/>
        <w:jc w:val="both"/>
        <w:rPr>
          <w:rFonts w:ascii="Times New Roman;serif" w:hAnsi="Times New Roman;serif"/>
          <w:b/>
          <w:i/>
          <w:color w:val="000000"/>
          <w:sz w:val="20"/>
        </w:rPr>
      </w:pPr>
      <w:r>
        <w:rPr>
          <w:rFonts w:ascii="Times New Roman;serif" w:hAnsi="Times New Roman;serif"/>
          <w:b/>
          <w:i/>
          <w:color w:val="000000"/>
          <w:sz w:val="20"/>
        </w:rPr>
        <w:t>Acquisition of Durepair®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October 2, 2024, the Company completed the acquisition of the product rights for Durepair Regeneration Matrix (“Durepair”), a non-synthetic dura substitute for repair of the dura mater during neurosurgical procedures, from Medtronic plc for total consideration of $45.0 million. The Company made cash payments of $10.0 million upon the closing of the acquisition in October 2024, $15.0 million on the first anniversary of the acquisition in October 2025, and will make an additional cash payment of $20.0 million upon the second anniversary of the acquisition in October 2026. The additional cash payments in October 2025 and October 2026 are included at present value in accrued expenses and other current liabilities and other liabilities, respectively, as of September 30, 2025.</w:t>
      </w:r>
    </w:p>
    <w:p>
      <w:pPr>
        <w:pStyle w:val="TextBody"/>
        <w:bidi w:val="0"/>
        <w:spacing w:lineRule="auto" w:line="288" w:before="120" w:after="120"/>
        <w:jc w:val="both"/>
        <w:rPr/>
      </w:pPr>
      <w:r>
        <w:rPr>
          <w:rFonts w:ascii="Times New Roman;serif" w:hAnsi="Times New Roman;serif"/>
          <w:b w:val="false"/>
          <w:color w:val="000000"/>
          <w:sz w:val="20"/>
        </w:rPr>
        <w:t xml:space="preserve">The acquisition of the product rights for Durepair, which consist of certain patents and trademarks, regulatory approvals, and other records, has been accounted for as an asset acquisition in accordance with FASB Topic 805, </w:t>
      </w:r>
      <w:r>
        <w:rPr>
          <w:rFonts w:ascii="Times New Roman;serif" w:hAnsi="Times New Roman;serif"/>
          <w:b w:val="false"/>
          <w:i/>
          <w:color w:val="000000"/>
          <w:sz w:val="20"/>
        </w:rPr>
        <w:t xml:space="preserve">Business Combinations </w:t>
      </w:r>
      <w:r>
        <w:rPr>
          <w:rFonts w:ascii="Times New Roman;serif" w:hAnsi="Times New Roman;serif"/>
          <w:b w:val="false"/>
          <w:color w:val="000000"/>
          <w:sz w:val="20"/>
        </w:rPr>
        <w:t>(“ASC 805”) as the acquisition does not include an assembled workforce and substantially all of the fair value of the assets acquired is concentrated in a single identifiable intangible asset.</w:t>
      </w:r>
    </w:p>
    <w:p>
      <w:pPr>
        <w:pStyle w:val="TextBody"/>
        <w:bidi w:val="0"/>
        <w:spacing w:lineRule="auto" w:line="288" w:before="240" w:after="120"/>
        <w:jc w:val="both"/>
        <w:rPr>
          <w:rFonts w:ascii="Times New Roman;serif" w:hAnsi="Times New Roman;serif"/>
          <w:b/>
          <w:i/>
          <w:color w:val="000000"/>
          <w:sz w:val="20"/>
        </w:rPr>
      </w:pPr>
      <w:r>
        <w:rPr>
          <w:rFonts w:ascii="Times New Roman;serif" w:hAnsi="Times New Roman;serif"/>
          <w:b/>
          <w:i/>
          <w:color w:val="000000"/>
          <w:sz w:val="20"/>
        </w:rPr>
        <w:t>Acquisition of Acclarent,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April 1, 2024, the Company completed the acquisition of all of the outstanding capital stock of Acclarent, Inc. (“Acclarent”), a developer and marketer of medical devices used in ear, nose, throat (“ENT”) procedures, from Ethicon, Inc., a subsidiary of Johnson &amp; Johnson, for approximately $282.0 million in cash, subject to customary adjustments set forth in the purchase agreement related to working capital balances transferred to the Company. In the second half of 2024, the Company finalized and settled the working capital adjustment in the amount of $4.2 million, which resulted in a reduction to goodwill and also recognized a measurement period adjustment to recognize deferred tax liabilities of $1.1 million with a corresponding increase to goodwill as a result of a change to the estimated deferred tax rate applied and the book-to-tax difference associated with fixed assets acquired.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addition of Acclarent’s ENT </w:t>
      </w:r>
      <w:bookmarkStart w:id="1" w:name="i4cd348f18bab4cd88d801851202dd2c8_5411"/>
      <w:bookmarkEnd w:id="1"/>
      <w:r>
        <w:rPr>
          <w:rFonts w:ascii="Times New Roman;serif" w:hAnsi="Times New Roman;serif"/>
          <w:b w:val="false"/>
          <w:color w:val="000000"/>
          <w:sz w:val="20"/>
        </w:rPr>
        <w:t xml:space="preserve">product portfolio, including sinus balloon dilation, eustachian tube balloon dilation, and surgical navigation systems technologies, and dedicated salesforce enhanced the Company’s position in the ENT specialty device market. Acclarent’s results of operations have been reported in the Company’s Codman Specialty Surgical reportable segment from the date of acquisition.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Assets Acquired and Liabilities Assumed at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Acclarent acquisition has been accounted for using the acquisition method of accounting in accordance with ASC 805. This method requires that assets acquired and liabilities assumed in a business combination are recognized at their fair values as of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values of the assets acquired and liabilities assumed at the acquisition date:</w:t>
      </w:r>
    </w:p>
    <w:tbl>
      <w:tblPr>
        <w:tblW w:w="8198" w:type="dxa"/>
        <w:jc w:val="left"/>
        <w:tblInd w:w="0" w:type="dxa"/>
        <w:tblLayout w:type="fixed"/>
        <w:tblCellMar>
          <w:top w:w="28" w:type="dxa"/>
          <w:left w:w="28" w:type="dxa"/>
          <w:bottom w:w="28" w:type="dxa"/>
          <w:right w:w="28" w:type="dxa"/>
        </w:tblCellMar>
      </w:tblPr>
      <w:tblGrid>
        <w:gridCol w:w="1443"/>
        <w:gridCol w:w="1272"/>
        <w:gridCol w:w="1275"/>
        <w:gridCol w:w="323"/>
        <w:gridCol w:w="1238"/>
        <w:gridCol w:w="179"/>
        <w:gridCol w:w="109"/>
        <w:gridCol w:w="109"/>
        <w:gridCol w:w="109"/>
        <w:gridCol w:w="589"/>
        <w:gridCol w:w="589"/>
        <w:gridCol w:w="591"/>
        <w:gridCol w:w="109"/>
        <w:gridCol w:w="109"/>
        <w:gridCol w:w="154"/>
      </w:tblGrid>
      <w:tr>
        <w:trPr/>
        <w:tc>
          <w:tcPr>
            <w:tcW w:w="1443"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Useful Life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7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w:t>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accounts receivable, net of allowances of $3,885</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44,759 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 of use asset - operating leases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62,482 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acquired</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344,841</w:t>
            </w: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trade</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liability - operating leases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 operating leases</w:t>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54,753 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assumed</w:t>
            </w:r>
          </w:p>
        </w:tc>
        <w:tc>
          <w:tcPr>
            <w:tcW w:w="15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67,030</w:t>
            </w:r>
            <w:r>
              <w:rPr>
                <w:color w:val="000000"/>
              </w:rPr>
              <w:t>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assets acquired</w:t>
            </w:r>
          </w:p>
        </w:tc>
        <w:tc>
          <w:tcPr>
            <w:tcW w:w="3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277,811</w:t>
            </w:r>
            <w:r>
              <w:rPr>
                <w:color w:val="000000"/>
              </w:rPr>
              <w:t>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carrying value of trade accounts receivable, prepaid expenses, other current assets, accounts payable, contract liabilities, accrued compensation, accrued expenses and other current liabilities, as well as certain other current and non-current assets and liabilities, generally represented the fair value at the date of acquisition.</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the intangible assets acquired was determined using the multi-period, excess earnings method of the income approach, which estimates value based on the present value of future economic benefits attributable to the intangible assets. The significant assumptions used in developing the valuation included the estimated annual net cash flows including application of revenue growth rates, cost of sales, the discount rate that appropriately reflects the risk inherent in each future cash flow stream, obsolescence rate, and an assessment of the asset’s life cycle, as well as other factors. The assumptions used in the financial forecasts were based on historical data, supplemented by current and anticipated growth rates, management plans, and market-comparable information. Fair value determinations require considerable judgment and are sensitive to changes in underlying assumptions and factors. The intangible assets acquired have a weighted average useful life of 11 years.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used a discount rate of 12.2% to arrive at the present value for the acquired intangible assets to reflect the rate of return a market participant would expect to earn and incremental commercial uncertainty in the cash flow projections. No assurances can be given that the underlying assumptions used to prepare the discounted cash flow analysis will not change. For these and other reasons, actual results may vary significantly from estimated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20" w:after="120"/>
        <w:jc w:val="both"/>
        <w:rPr/>
      </w:pPr>
      <w:r>
        <w:rPr>
          <w:rFonts w:ascii="Times New Roman;serif" w:hAnsi="Times New Roman;serif"/>
          <w:b w:val="false"/>
          <w:color w:val="000000"/>
          <w:sz w:val="20"/>
        </w:rPr>
        <w:t xml:space="preserve">Goodwill is the excess of the consideration transferred over the net assets recognized and represents the expected synergies of the combined company and assembled workforce. Goodwill has been allocated to the Codman Specialty Surgical segment, as shown in </w:t>
      </w:r>
      <w:r>
        <w:rPr>
          <w:rFonts w:ascii="Times New Roman;serif" w:hAnsi="Times New Roman;serif"/>
          <w:b w:val="false"/>
          <w:i/>
          <w:color w:val="000000"/>
          <w:sz w:val="20"/>
        </w:rPr>
        <w:t>Note 5. Goodwill and Other Intangible Assets</w:t>
      </w:r>
      <w:r>
        <w:rPr>
          <w:rFonts w:ascii="Times New Roman;serif" w:hAnsi="Times New Roman;serif"/>
          <w:b w:val="false"/>
          <w:color w:val="000000"/>
          <w:sz w:val="20"/>
        </w:rPr>
        <w:t>. Goodwill recognized as a result of this acquisition is non-deductible for income tax purposes.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Deferred Tax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Deferred tax liabilities result from identifiable intangible assets’ fair value adjustments. These adjustments create excess book basis over tax basis which is tax-effected by the statutory tax rates of applicable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3. REVENUES FROM CONTRACTS WITH CUSTOMERS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Summary of Accounting Policies on Revenue Recognition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 is recognized upon the transfer of control of promised products or services to the customers in an amount that reflects the consideration the Company expects to receive in exchange for those products and services.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performance obligations consist mainly of transferring control of goods and services identified in the contracts, purchase orders, or invoices. The Company has no significant multi-element contracts with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Significant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estimates returns, price concessions, and discount allowances using the expected value method based on historical trends and other known factors. Rebate allowances are estimated using the most likely method based on each customer contract.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return policy, as set forth in its product catalogs and sales invoices, requires review and authorization in advance prior to the return of product. Upon the authorization, a credit will be issued for the goods returned within a set amount of days from the shipment, which is generally 90 days.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disregards the effects of a financing component if the Company expects, at contract inception, that the period between the transfer and customer payment for the goods or services will be one year or less. The Company has no significant revenues recognized on payments expected to be received more than one year after the transfer of control of products or services to customers.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 Upon invoicing to the customer, the balance is recorded in trade receivable, net in the consolidated balance sheet.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changes in the contract asset and liability balances for the nine months ended September 30, 2025:</w:t>
      </w:r>
    </w:p>
    <w:tbl>
      <w:tblPr>
        <w:tblW w:w="9057" w:type="dxa"/>
        <w:jc w:val="center"/>
        <w:tblInd w:w="0" w:type="dxa"/>
        <w:tblLayout w:type="fixed"/>
        <w:tblCellMar>
          <w:top w:w="28" w:type="dxa"/>
          <w:left w:w="28" w:type="dxa"/>
          <w:bottom w:w="28" w:type="dxa"/>
          <w:right w:w="28" w:type="dxa"/>
        </w:tblCellMar>
      </w:tblPr>
      <w:tblGrid>
        <w:gridCol w:w="2569"/>
        <w:gridCol w:w="2254"/>
        <w:gridCol w:w="2257"/>
        <w:gridCol w:w="109"/>
        <w:gridCol w:w="109"/>
        <w:gridCol w:w="109"/>
        <w:gridCol w:w="109"/>
        <w:gridCol w:w="109"/>
        <w:gridCol w:w="109"/>
        <w:gridCol w:w="196"/>
        <w:gridCol w:w="646"/>
        <w:gridCol w:w="109"/>
        <w:gridCol w:w="109"/>
        <w:gridCol w:w="109"/>
        <w:gridCol w:w="154"/>
      </w:tblGrid>
      <w:tr>
        <w:trPr/>
        <w:tc>
          <w:tcPr>
            <w:tcW w:w="2569"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7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Transferred to trade receivables from contract asset included in beginning of the year contract asset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 net of transferred to trade receivables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January 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revenue included in beginning of year contract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liability, net of revenue recognized on contracts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liability,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22,348 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As of September 30, 2025, the short-term portion of the contract liability of $11.3 million, representing 51% of unsatisfied or partially unsatisfied performance obligations, is expected to be recognized as revenue within 12 months and is included in current liabilities in the consolidated balance sheet. The long-term portion of $11.0 million, representing the remaining balance to be recognized thereafter, is included in other liabilities in the consolidated balance sheet.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Shipping and Handling Fees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Product Warranties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Taxes Collected from Customers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elected to exclude from the measurement of the transaction price all taxes assessed by a governmental authority that are both imposed on and concurrent with a specific revenue-producing transaction and collected by the entity from a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Disaggregated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revenues disaggregated by the major sources of revenues for the three and nine months ended September 30, 2025 and 2024 (dollar amounts in thousands):</w:t>
      </w:r>
    </w:p>
    <w:tbl>
      <w:tblPr>
        <w:tblW w:w="10205" w:type="dxa"/>
        <w:jc w:val="center"/>
        <w:tblInd w:w="0" w:type="dxa"/>
        <w:tblLayout w:type="fixed"/>
        <w:tblCellMar>
          <w:top w:w="28" w:type="dxa"/>
          <w:left w:w="28" w:type="dxa"/>
          <w:bottom w:w="28" w:type="dxa"/>
          <w:right w:w="28" w:type="dxa"/>
        </w:tblCellMar>
      </w:tblPr>
      <w:tblGrid>
        <w:gridCol w:w="638"/>
        <w:gridCol w:w="522"/>
        <w:gridCol w:w="523"/>
        <w:gridCol w:w="348"/>
        <w:gridCol w:w="1308"/>
        <w:gridCol w:w="193"/>
        <w:gridCol w:w="109"/>
        <w:gridCol w:w="109"/>
        <w:gridCol w:w="109"/>
        <w:gridCol w:w="348"/>
        <w:gridCol w:w="1308"/>
        <w:gridCol w:w="193"/>
        <w:gridCol w:w="109"/>
        <w:gridCol w:w="109"/>
        <w:gridCol w:w="109"/>
        <w:gridCol w:w="316"/>
        <w:gridCol w:w="1405"/>
        <w:gridCol w:w="175"/>
        <w:gridCol w:w="109"/>
        <w:gridCol w:w="109"/>
        <w:gridCol w:w="109"/>
        <w:gridCol w:w="311"/>
        <w:gridCol w:w="1385"/>
        <w:gridCol w:w="251"/>
      </w:tblGrid>
      <w:tr>
        <w:trPr/>
        <w:tc>
          <w:tcPr>
            <w:tcW w:w="63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1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 2024</w:t>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Neurosurgery</w:t>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201,563 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175,956 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601,466 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583,726 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Instruments</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154,181 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153,148 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40,869 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40,588 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121,557 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92,103 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Codman Specialty Surgical</w:t>
            </w:r>
          </w:p>
        </w:tc>
        <w:tc>
          <w:tcPr>
            <w:tcW w:w="16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292,583 </w:t>
            </w:r>
          </w:p>
        </w:tc>
        <w:tc>
          <w:tcPr>
            <w:tcW w:w="19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270,782 </w:t>
            </w:r>
          </w:p>
        </w:tc>
        <w:tc>
          <w:tcPr>
            <w:tcW w:w="193"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877,204 </w:t>
            </w:r>
          </w:p>
        </w:tc>
        <w:tc>
          <w:tcPr>
            <w:tcW w:w="17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828,977 </w:t>
            </w:r>
          </w:p>
        </w:tc>
        <w:tc>
          <w:tcPr>
            <w:tcW w:w="2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Wound Reconstruction and Care</w:t>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80,460 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243,514 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249,032 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Label</w:t>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25,491 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29,592 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79,602 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89,872 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Tissue Technologies</w:t>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109,479 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110,052 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323,116 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338,904 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380,834 </w:t>
            </w:r>
          </w:p>
        </w:tc>
        <w:tc>
          <w:tcPr>
            <w:tcW w:w="1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1,167,881 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See</w:t>
      </w:r>
      <w:r>
        <w:rPr>
          <w:color w:val="000000"/>
        </w:rPr>
        <w:t xml:space="preserve"> </w:t>
      </w:r>
      <w:r>
        <w:rPr>
          <w:rFonts w:ascii="Times New Roman;serif" w:hAnsi="Times New Roman;serif"/>
          <w:b w:val="false"/>
          <w:i/>
          <w:color w:val="000000"/>
          <w:sz w:val="20"/>
        </w:rPr>
        <w:t>Note 15. Segment and Geographic Information</w:t>
      </w:r>
      <w:r>
        <w:rPr>
          <w:rFonts w:ascii="Times New Roman;serif" w:hAnsi="Times New Roman;serif"/>
          <w:b w:val="false"/>
          <w:color w:val="000000"/>
          <w:sz w:val="20"/>
        </w:rPr>
        <w:t>, for details of revenues based on the location of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INVENTORIES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Inventories, net consisted of the following:</w:t>
      </w:r>
    </w:p>
    <w:tbl>
      <w:tblPr>
        <w:tblW w:w="5127" w:type="dxa"/>
        <w:jc w:val="left"/>
        <w:tblInd w:w="0" w:type="dxa"/>
        <w:tblLayout w:type="fixed"/>
        <w:tblCellMar>
          <w:top w:w="28" w:type="dxa"/>
          <w:left w:w="28" w:type="dxa"/>
          <w:bottom w:w="28" w:type="dxa"/>
          <w:right w:w="28" w:type="dxa"/>
        </w:tblCellMar>
      </w:tblPr>
      <w:tblGrid>
        <w:gridCol w:w="582"/>
        <w:gridCol w:w="511"/>
        <w:gridCol w:w="512"/>
        <w:gridCol w:w="302"/>
        <w:gridCol w:w="1135"/>
        <w:gridCol w:w="168"/>
        <w:gridCol w:w="109"/>
        <w:gridCol w:w="109"/>
        <w:gridCol w:w="109"/>
        <w:gridCol w:w="287"/>
        <w:gridCol w:w="1078"/>
        <w:gridCol w:w="225"/>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258,774 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223,729 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100,010 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79,423 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130,322 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125,938 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 net</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489,106 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429,090 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5. GOODWILL AND OTHER INTANGIBLE ASSETS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Changes in the carrying amount of goodwill for the nine-month period ended September 30, 2025 were as follows:</w:t>
      </w:r>
    </w:p>
    <w:tbl>
      <w:tblPr>
        <w:tblW w:w="7499" w:type="dxa"/>
        <w:jc w:val="left"/>
        <w:tblInd w:w="0" w:type="dxa"/>
        <w:tblLayout w:type="fixed"/>
        <w:tblCellMar>
          <w:top w:w="28" w:type="dxa"/>
          <w:left w:w="28" w:type="dxa"/>
          <w:bottom w:w="28" w:type="dxa"/>
          <w:right w:w="28" w:type="dxa"/>
        </w:tblCellMar>
      </w:tblPr>
      <w:tblGrid>
        <w:gridCol w:w="881"/>
        <w:gridCol w:w="774"/>
        <w:gridCol w:w="775"/>
        <w:gridCol w:w="293"/>
        <w:gridCol w:w="1103"/>
        <w:gridCol w:w="163"/>
        <w:gridCol w:w="109"/>
        <w:gridCol w:w="109"/>
        <w:gridCol w:w="109"/>
        <w:gridCol w:w="307"/>
        <w:gridCol w:w="1155"/>
        <w:gridCol w:w="173"/>
        <w:gridCol w:w="109"/>
        <w:gridCol w:w="109"/>
        <w:gridCol w:w="109"/>
        <w:gridCol w:w="196"/>
        <w:gridCol w:w="871"/>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Codman Specialty </w:t>
              <w:br/>
              <w:t>Surgical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Technologies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at December 31, 2024</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715,730 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381,222 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13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(388,106)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13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16,567 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at September 30, 2025</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344,191 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271,008 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In accordance with FASB Topic 350, </w:t>
      </w:r>
      <w:r>
        <w:rPr>
          <w:rFonts w:ascii="Times New Roman;serif" w:hAnsi="Times New Roman;serif"/>
          <w:b w:val="false"/>
          <w:i/>
          <w:color w:val="000000"/>
          <w:sz w:val="20"/>
        </w:rPr>
        <w:t xml:space="preserve">Intangibles—Goodwill and Other </w:t>
      </w:r>
      <w:r>
        <w:rPr>
          <w:rFonts w:ascii="Times New Roman;serif" w:hAnsi="Times New Roman;serif"/>
          <w:b w:val="false"/>
          <w:color w:val="000000"/>
          <w:sz w:val="20"/>
        </w:rPr>
        <w:t xml:space="preserve">(“ASC 350”), goodwill is not subject to amortization but is tested for impairment at the reporting unit level annually in the third quarter. Additionally, the Company may perform interim tests of goodwill for impairment if an event occurs or circumstances change that could potentially reduce the fair value of a reporting unit below its carrying amount. The carrying value of each reporting unit is determined by assigning the assets and liabilities, including the existing goodwill and intangible assets, to those reporting units. An impairment loss is recognized when the reporting unit’s carrying amount exceeds its estimated fair value.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tests for impairment by either performing a qualitative evaluation or a quantitative test. The qualitative evaluation is an assessment of factors, including reporting unit specific operating results as well as industry, market and general economic conditions, to determine whether it is more likely than not that the fair values of a reporting unit is less than its carrying amount, including goodwill. The Company may elect to bypass this qualitative evaluation for some or all of its reporting units and perform a quantitative test. The quantitative test uses a combination of both an income approach and a market approach to determine the fair value of the reporting unit. The income approach utilizes the estimated discounted cash flows for the reporting unit, while the market approach utilizes comparable publicly-traded companies’ revenue and earnings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before interest, taxes, depreciation, and amortization (“EBITDA”) multiples. Estimates and assumptions used in the income approach to calculate projected future discounted cash flows included revenue growth rates, cost of sales, terminal growth rates, and a discount rate for each reporting unit. Discount rates are determined using a weighted average cost of capital for risk factors specific to each reporting unit and other market and industry data. The assumptions used are inherently subject to uncertainty and slight changes in these assumptions could have a significant impact on the concluded value. The estimates and assumptions applied represent a Level 3 measurement in the fair value hierarchy. Level 3 inputs are supported by limited or no market activity and reflect the Company’s assumptions in measuring fair value.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2025, the Company performed a quantitative assessment of its Tissue Technologies, Neurosurgery, and Instruments and ENT reporting units in accordance with ASC 350 due to the decrease in the price per share of the Company’s common stock related to a number of factors including recent tariff changes that have created broad economic uncertainty and the impact of quality, operational, and supply issues. The Company recognized an aggregate charge of $511.4 million in goodwill impairment expense in the consolidated statement of operations in the second quarter of 2025. The quantitative test for the Tissue Technologies reporting unit utilized a terminal growth rate of 2.5% and a discount rate of 13.5% in the income approach. The Company determined, after performing the quantitative analysis, that the fair value of the Tissue Technologies reporting unit was less than its carrying amount and recognized an impairment of $123.3 million. The quantitative test for the Neurosurgery reporting unit utilized a terminal growth rate of 2.5% and a discount rate of 13.5% in the income approach. The Company determined, after performing the quantitative analysis, that the fair value of the Neurosurgery reporting unit was less than its carrying amount and recognized an impairment of $249.0 million. The quantitative test for the Instruments and ENT reporting unit utilized a terminal growth rate of 2.5% and a discount rate of 12.0% in the income approach. The Company determined, after performing the quantitative analysis, that the fair value of the Instruments and ENT reporting unit was less than its carrying amount and recognized an impairment of $139.1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performed its annual test of its reporting units for impairment and completed a qualitative evaluation of its Tissue Technologies and Neurosurgery reporting units. The Instruments and ENT reporting unit had been deemed fully-impaired during the second quarter of 2025 and was excluded from this evaluation. After performing the qualitative analysis, the Company concluded that it was more likely than not that the fair values of the Tissue Technologies and Neurosurgery reporting units were greater than their carrying amounts. Therefore, it was not necessary to perform a quantitative impairment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goodwill impairment charges during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Other Intangible Assets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the Company’s identifiable intangible assets were as follows:</w:t>
      </w:r>
    </w:p>
    <w:tbl>
      <w:tblPr>
        <w:tblW w:w="7261" w:type="dxa"/>
        <w:jc w:val="left"/>
        <w:tblInd w:w="0" w:type="dxa"/>
        <w:tblLayout w:type="fixed"/>
        <w:tblCellMar>
          <w:top w:w="28" w:type="dxa"/>
          <w:left w:w="28" w:type="dxa"/>
          <w:bottom w:w="28" w:type="dxa"/>
          <w:right w:w="28" w:type="dxa"/>
        </w:tblCellMar>
      </w:tblPr>
      <w:tblGrid>
        <w:gridCol w:w="692"/>
        <w:gridCol w:w="606"/>
        <w:gridCol w:w="607"/>
        <w:gridCol w:w="280"/>
        <w:gridCol w:w="280"/>
        <w:gridCol w:w="281"/>
        <w:gridCol w:w="109"/>
        <w:gridCol w:w="109"/>
        <w:gridCol w:w="109"/>
        <w:gridCol w:w="196"/>
        <w:gridCol w:w="871"/>
        <w:gridCol w:w="109"/>
        <w:gridCol w:w="109"/>
        <w:gridCol w:w="109"/>
        <w:gridCol w:w="109"/>
        <w:gridCol w:w="208"/>
        <w:gridCol w:w="811"/>
        <w:gridCol w:w="118"/>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(608,295)</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876,310 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(143,789)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(46,639)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(19,860)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(830,201)</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1,160,145 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61" w:type="dxa"/>
        <w:jc w:val="center"/>
        <w:tblInd w:w="0" w:type="dxa"/>
        <w:tblLayout w:type="fixed"/>
        <w:tblCellMar>
          <w:top w:w="28" w:type="dxa"/>
          <w:left w:w="28" w:type="dxa"/>
          <w:bottom w:w="28" w:type="dxa"/>
          <w:right w:w="28" w:type="dxa"/>
        </w:tblCellMar>
      </w:tblPr>
      <w:tblGrid>
        <w:gridCol w:w="692"/>
        <w:gridCol w:w="606"/>
        <w:gridCol w:w="607"/>
        <w:gridCol w:w="280"/>
        <w:gridCol w:w="280"/>
        <w:gridCol w:w="281"/>
        <w:gridCol w:w="109"/>
        <w:gridCol w:w="109"/>
        <w:gridCol w:w="109"/>
        <w:gridCol w:w="196"/>
        <w:gridCol w:w="871"/>
        <w:gridCol w:w="109"/>
        <w:gridCol w:w="109"/>
        <w:gridCol w:w="109"/>
        <w:gridCol w:w="109"/>
        <w:gridCol w:w="208"/>
        <w:gridCol w:w="811"/>
        <w:gridCol w:w="118"/>
        <w:gridCol w:w="109"/>
        <w:gridCol w:w="109"/>
        <w:gridCol w:w="109"/>
        <w:gridCol w:w="196"/>
        <w:gridCol w:w="871"/>
        <w:gridCol w:w="154"/>
      </w:tblGrid>
      <w:tr>
        <w:trPr/>
        <w:tc>
          <w:tcPr>
            <w:tcW w:w="69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Life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Completed technology</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(525,959)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926,586 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Trademarks/brand names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tradename</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relationships</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(19,126)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other</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1,939,767 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(732,179)</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1,207,588 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Indefinite Lives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amortize intangible assets with indefinite lives but tests its intangible assets with indefinite lives for impairment annually in the third quarter in accordance with ASC 350. Additionally, the Company performs interim tests of its intangible assets with indefinite lives for impairment if an event occurs or circumstances change that could potentially reduce the fair value of an indefinite lived intangible asset below its carrying amount. The Company tests for impairment by either performing a qualitative evaluation or a quantitative test. The qualitative evaluation is an assessment of factors, including specific operating results as well as industry, market and general economic conditions, to determine whether it is more likely than not that the fair values of the intangible asset is less than its carrying amount. The Company may elect to bypass this qualitative evaluation and perform a quantitative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2025 the Company performed a quantitative assessment of its Codman tradename intangible asset in accordance with ASC 350 due to the decrease in the price per share of the Company’s common stock related to a number of factors including recent tariff changes that have created broad economic uncertainty and the impact of quality, operational, and supply issues. In performing this test, the Company utilized a discount rate of 14.5%. The assumptions used in evaluating the Codman tradename for impairment are subject to change and are tracked against historical results by management. Based on the results of the quantitative test, the Company recorded no impairment to the Codman tradename intangible asset.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the Company performed its annual test of its intangible assets with indefinite lives for impairment and completed a qualitative evaluation of its Codman tradename intangible asset. After performing the qualitative analysis, the Company concluded that it was more likely than not that the fair value of the Codman tradename intangible asset was greater than its carrying amount. Therefore, it was not necessary to perform a quantitative impairment test.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did not recognize any impairment charges on its intangible assets with indefinite lives during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Assets with Definite Lives</w:t>
      </w:r>
    </w:p>
    <w:p>
      <w:pPr>
        <w:pStyle w:val="TextBody"/>
        <w:bidi w:val="0"/>
        <w:spacing w:lineRule="auto" w:line="288" w:before="120" w:after="120"/>
        <w:jc w:val="both"/>
        <w:rPr/>
      </w:pPr>
      <w:r>
        <w:rPr>
          <w:rFonts w:ascii="Times New Roman;serif" w:hAnsi="Times New Roman;serif"/>
          <w:b w:val="false"/>
          <w:color w:val="000000"/>
          <w:sz w:val="20"/>
        </w:rPr>
        <w:t xml:space="preserve">Developed technologies and other definite-lived intangible assets are amortized over their estimated useful lives either using the straight-line method or, if reliably determinable, based on the pattern of which the economic benefit of the asset is expected to be utilized. Definite-lived intangible assets are periodically evaluated for impairment in accordance with FASB Topic 360, </w:t>
      </w:r>
      <w:r>
        <w:rPr>
          <w:rFonts w:ascii="Times New Roman;serif" w:hAnsi="Times New Roman;serif"/>
          <w:b w:val="false"/>
          <w:i/>
          <w:color w:val="000000"/>
          <w:sz w:val="20"/>
        </w:rPr>
        <w:t>Property, Plant and Equipment</w:t>
      </w:r>
      <w:r>
        <w:rPr>
          <w:color w:val="000000"/>
        </w:rPr>
        <w:t xml:space="preserve"> </w:t>
      </w:r>
      <w:r>
        <w:rPr>
          <w:rFonts w:ascii="Times New Roman;serif" w:hAnsi="Times New Roman;serif"/>
          <w:b w:val="false"/>
          <w:color w:val="000000"/>
          <w:sz w:val="20"/>
        </w:rPr>
        <w:t xml:space="preserve">(“ASC 360”) whenever events or changes in circumstances indicate that a definite-lived intangible asset’s carrying value may not be recoverable.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Total amortization of intangible assets for the three and nine months ended September 30, 2025 was $26.9 million and $80.1 million, respectively. Of this amount, $23.1 million and $69.0 million, respectively, was related to amortization of technology based intangibles and included in cost of goods sold.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amortization of intangible assets for the three and nine months ended September 30, 2024 was $25.6 million and $78.7 million, respectively. Of this amount, $21.8 million and $61.1 million, respectively, was related to amortization of technology based intangibles and included in cost of goods sold. $7.1 million related to the impairment of a customer relationship intangible and the remainder were included in intangible amortization in the statement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Based on quarter-end exchange rates, amortization expense (including amounts reported in cost of goods sold) is expected to be approximately $26.9 million for the remainder of 2025, $107.6 million in 2026, $106.5 million in 2027, $103.0 million in 2028, $97.7 million in 2029, $91.6 million in 2030 and $447.6 million thereafter.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2024, due to third-party audit findings and an update to the estimated timeframe to resume the commercial distribution of products manufactured in the Company's manufacturing facility located in Boston, Massachusetts (the “Boston facility”), the Company elected to perform quantitative impairment testing on certain definite-lived intangible assets including completed technology and customer relationships in accordance with ASC 360. The Company recorded an impairment charge related to the definite-lived intangible asset associated with the customer relationships of $7.1 million in intangible asset amortization in the consolidated statement of operations. With respect to the definite-lived intangible assets associated with the completed technology of SurgiMend® and PriMatrix®, the Company determined that the carrying amount of these definite-lived intangible assets were recoverable and, therefore, the intangible assets were not deemed to be impaired. In the second quarter of 2024, the Company approved a plan to transition the commercial distribution of SurgiMend and PriMatrix from the Boston facility to the Company’s manufacturing facility in Braintree, Massachusetts (the “Braintree facility”). The Company considered the impact to the update to the estimated timeframe to resume the commercial distribution of products manufactured in the Boston facility on the assumptions used in the quantitative assessment of the definite-lived intangible assets completed in the first quarter of 2024, which did not require further evaluation for impairment. The carrying values of SurgiMend and PriMatrix are $27.4 million and $21.1 million, respectively, as of September 30,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Potential Impact of Risks and Uncertainties on Management’s Estimates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rapidly evolving tariff changes imposed by the U.S. and other countries since early 2025 have created increased risks and uncertainties surrounding the Company’s future results of operations. In 2025 President Trump has announced reciprocal tariffs on many countries and certain countries, such as China, have responded with retaliatory tariffs. In September 2025, the U.S. Department of Commerce initiated national security investigations into medical equipment, devices, and robotics. The tariff environment has continued to shift throughout the 2025 calendar year, with new measures being proposed, paused, implemented, and countered, contributing to broader trade policy uncertainty. The assumptions used by the Company in its quantitative tests of goodwill and intangible assets are inherently subject to uncertainty and slight changes in these assumptions, including the extent and duration of any subsequent changes in U.S. import tariffs and reciprocal measures by China and the resulting impact on general economic conditions and on the Company’s business, could have a significant impact on the concluded values.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6. DEBT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Amendment to the Seventh Amended and Restated Credit Agreement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June 6, 2025, in response to the risks and uncertainties surrounding the Company’s future results of operations due to tariffs, the Company entered into the June 2025 Amendment of the Senior Credit Facility with a syndicate of lending banks with Bank of America, N.A., as Administrative Agent. The June 2025 Amendment did not increase the Company’s total indebtedness or extend the maturity date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Under the terms of the June 2025 Amendment, the Company’s Consolidated Total Leverage Ratio (defined, as of any date of determination, as the ratio of (a) Consolidated Funded Indebtedness as of such date (as defined in the Senior Credit Facility) less cash that is not subject to any restriction on the use or investment thereof to (b) Consolidated EBITDA (as defined in the Senior Credit Facility)) for the period of four consecutive fiscal quarters ending on such date was modified to the following:</w:t>
      </w:r>
    </w:p>
    <w:tbl>
      <w:tblPr>
        <w:tblW w:w="8607" w:type="dxa"/>
        <w:jc w:val="left"/>
        <w:tblInd w:w="0" w:type="dxa"/>
        <w:tblLayout w:type="fixed"/>
        <w:tblCellMar>
          <w:top w:w="28" w:type="dxa"/>
          <w:left w:w="28" w:type="dxa"/>
          <w:bottom w:w="28" w:type="dxa"/>
          <w:right w:w="28" w:type="dxa"/>
        </w:tblCellMar>
      </w:tblPr>
      <w:tblGrid>
        <w:gridCol w:w="1669"/>
        <w:gridCol w:w="1469"/>
        <w:gridCol w:w="1482"/>
        <w:gridCol w:w="109"/>
        <w:gridCol w:w="109"/>
        <w:gridCol w:w="109"/>
        <w:gridCol w:w="1072"/>
        <w:gridCol w:w="1072"/>
        <w:gridCol w:w="1516"/>
      </w:tblGrid>
      <w:tr>
        <w:trPr/>
        <w:tc>
          <w:tcPr>
            <w:tcW w:w="166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Quarter Ending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Consolidated Total Leverage Ratio</w:t>
            </w:r>
          </w:p>
        </w:tc>
      </w:tr>
      <w:tr>
        <w:trPr/>
        <w:tc>
          <w:tcPr>
            <w:tcW w:w="46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5.00 to 1.00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4.75 to 1.00</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4.50 to 1.00</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2027 and the last day of each fiscal quarter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4.00 to 1.00</w:t>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addition to the foregoing, from the date of the June 2025 Amendment through the fiscal quarter ending December 31, 2026 (the “Covenant Relief Period”), the Amendment, among other things, also: (i) temporarily establishes, during the Covenant Relief Period, a revised applicable rate schedule; (ii) temporarily limits, during the Covenant Relief Period, the Company’s ability to make certain investments; (iii) temporarily restricts, during the Covenant Relief Period, the Company’s ability to incur incremental indebtedness under the Senior Credit Facility, create certain liens, make certain restricted payments and incur or guarantee indebtedness of excluded subsidiaries; and (iv) temporarily prohibits, during the Covenant Relief Period, the Company from selling, transferring or exclusively licensing material intellectual property to a subsidiary of the Company that is not a loan party under the Senior Credit Facility or designating any subsidiary that owns or exclusively licenses any material intellectual property as an excluded subsidiary under the Senior Credit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Borrowings under the Senior Credit Facility bear interest under the applicable rate schedule, at the Company’s option, at a rate equal to the following:</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i.Term SOFR in effect from time to time plus 0.10% plus the applicable rate (ranging from 1.00% to 2.13% during the Covenant Relief Period and from 1.00% to 1.75% thereafter) or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ii.The highest of: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weighted average overnight Federal funds rate, as published by the Federal Reserve Bank of New York, plus 0.50%; </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prime lending rate of Bank of America, N.A.; or</w:t>
      </w:r>
    </w:p>
    <w:p>
      <w:pPr>
        <w:pStyle w:val="TextBody"/>
        <w:bidi w:val="0"/>
        <w:spacing w:lineRule="auto" w:line="288" w:before="12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one-month Term SOFR plus 1.00%.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applicable rates are based on the Company’s Consolidated Total Leverage Ratio for the period of four consecutive fiscal quarters ending on such date.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pay an annual commitment fee (ranging from 0.15% to 0.33% during the Covenant Relief Period and from 0.15% to 0.30% thereafter), based on the Company’s Consolidated Total Leverage Ratio, on the amount available for borrowing under the revolving credit facility component of the Senior Credit Facility.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June 2025 Amendment, the Company incurred $3.9 million in fees to creditors and third 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2023, the Company entered into the Senior Credit Facility with a syndicate of lending banks with Bank of America, N.A., as Administrative Agent. The Senior Credit Facility extended the maturity date to March 24, 2028, amended the contractual repayments of the term loan component, and amended the interest rate from LIBOR to SOFR-indexed interest.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have the aggregate principal amount of up to approximately $2.1 billion available to it through the following facilities: (i) a $775 million term loan facility, and (ii) a $1.3 billion revolving credit facility, which includes a $60 million sublimit for the issuance of standby letters of credit and a $60 million sublimit for swingline loans. The terms of the Senior Credit Facility limit the amount of dividends the Company may pay.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Senior Credit Facility is collateralized by substantially all of the assets of the Company’s U.S. subsidiaries, excluding intangible assets. The Senior Credit Facility is subject to various financial and negative covenants and, at September 30, 2025, the Company was in compliance with all such covenants.</w:t>
      </w:r>
    </w:p>
    <w:p>
      <w:pPr>
        <w:pStyle w:val="TextBody"/>
        <w:bidi w:val="0"/>
        <w:spacing w:lineRule="auto" w:line="288" w:before="120" w:after="120"/>
        <w:jc w:val="both"/>
        <w:rPr/>
      </w:pPr>
      <w:r>
        <w:rPr>
          <w:rFonts w:ascii="Times New Roman;serif" w:hAnsi="Times New Roman;serif"/>
          <w:b w:val="false"/>
          <w:color w:val="000000"/>
          <w:sz w:val="20"/>
        </w:rPr>
        <w:t>At September 30, 2025 and December 31, 2024, there wa</w:t>
      </w:r>
      <w:r>
        <w:rPr>
          <w:rFonts w:ascii="Times New Roman;serif" w:hAnsi="Times New Roman;serif"/>
          <w:b w:val="false"/>
          <w:color w:val="000000"/>
          <w:sz w:val="20"/>
          <w:shd w:fill="FFFFFF" w:val="clear"/>
        </w:rPr>
        <w:t xml:space="preserve">s </w:t>
      </w:r>
      <w:r>
        <w:rPr>
          <w:rFonts w:ascii="Times New Roman;serif" w:hAnsi="Times New Roman;serif"/>
          <w:b w:val="false"/>
          <w:color w:val="000000"/>
          <w:sz w:val="20"/>
        </w:rPr>
        <w:t>$1.0 billion</w:t>
      </w:r>
      <w:r>
        <w:rPr>
          <w:color w:val="000000"/>
          <w:shd w:fill="FFFFFF" w:val="clear"/>
        </w:rPr>
        <w:t xml:space="preserve"> </w:t>
      </w:r>
      <w:r>
        <w:rPr>
          <w:rFonts w:ascii="Times New Roman;serif" w:hAnsi="Times New Roman;serif"/>
          <w:b w:val="false"/>
          <w:color w:val="000000"/>
          <w:sz w:val="20"/>
          <w:shd w:fill="FFFFFF" w:val="clear"/>
        </w:rPr>
        <w:t>and $365.0 million, respectively, ou</w:t>
      </w:r>
      <w:r>
        <w:rPr>
          <w:rFonts w:ascii="Times New Roman;serif" w:hAnsi="Times New Roman;serif"/>
          <w:b w:val="false"/>
          <w:color w:val="000000"/>
          <w:sz w:val="20"/>
        </w:rPr>
        <w:t>tstanding under the revolving credit facility component of the Senior Credit Facility. At September 30, 2025 and December 31, 2024, there was $736.3 million and $760.5 million outstanding under the term loan component of the Senior Credit Facility at a weighted average interest rate of 6.4% and 6.0%, respectively. As of September 30, 2025 and December 31, 2024 there was $38.8 million and $33.9 million, respectively, of the term loan component of the Senior Credit Facility classified as current on the condensed consolidated balance sheet.</w:t>
      </w:r>
    </w:p>
    <w:p>
      <w:pPr>
        <w:pStyle w:val="TextBody"/>
        <w:bidi w:val="0"/>
        <w:spacing w:lineRule="auto" w:line="288" w:before="120" w:after="120"/>
        <w:jc w:val="both"/>
        <w:rPr/>
      </w:pPr>
      <w:r>
        <w:rPr>
          <w:rFonts w:ascii="Times New Roman;serif" w:hAnsi="Times New Roman;serif"/>
          <w:b w:val="false"/>
          <w:color w:val="000000"/>
          <w:sz w:val="20"/>
        </w:rPr>
        <w:t>The fair value of the term loan component and revolving credit facility component of the Senior Credit Facility at September 30, 2025</w:t>
      </w:r>
      <w:r>
        <w:rPr>
          <w:color w:val="000000"/>
          <w:shd w:fill="FFFFFF" w:val="clear"/>
        </w:rPr>
        <w:t xml:space="preserve"> </w:t>
      </w:r>
      <w:r>
        <w:rPr>
          <w:rFonts w:ascii="Times New Roman;serif" w:hAnsi="Times New Roman;serif"/>
          <w:b w:val="false"/>
          <w:color w:val="000000"/>
          <w:sz w:val="20"/>
          <w:shd w:fill="FFFFFF" w:val="clear"/>
        </w:rPr>
        <w:t>was</w:t>
      </w:r>
      <w:r>
        <w:rPr>
          <w:color w:val="000000"/>
        </w:rPr>
        <w:t xml:space="preserve"> </w:t>
      </w:r>
      <w:r>
        <w:rPr>
          <w:rFonts w:ascii="Times New Roman;serif" w:hAnsi="Times New Roman;serif"/>
          <w:b w:val="false"/>
          <w:color w:val="000000"/>
          <w:sz w:val="20"/>
        </w:rPr>
        <w:t>$734.0 million, and $1,011.6 million, respectively. The fair value was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erif" w:hAnsi="Times New Roman;serif"/>
          <w:b w:val="false"/>
          <w:color w:val="000000"/>
          <w:sz w:val="20"/>
          <w:shd w:fill="FFFFFF" w:val="clear"/>
        </w:rPr>
        <w:t>nputs that reflect unadjusted quoted prices for identical assets or liabilities.</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and December 31, 2024, letters of credit outstanding to</w:t>
      </w:r>
      <w:r>
        <w:rPr>
          <w:rFonts w:ascii="Times New Roman;serif" w:hAnsi="Times New Roman;serif"/>
          <w:b w:val="false"/>
          <w:color w:val="000000"/>
          <w:sz w:val="20"/>
        </w:rPr>
        <w:t>taled $3.0 million and $1.7 million, respectively. There were no amounts drawn under the letters of credit outstanding as of September 30, 2025.</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Contractual repayments of the term loan component of the </w:t>
      </w:r>
      <w:r>
        <w:rPr>
          <w:rFonts w:ascii="Times New Roman;serif" w:hAnsi="Times New Roman;serif"/>
          <w:b w:val="false"/>
          <w:color w:val="000000"/>
          <w:sz w:val="20"/>
        </w:rPr>
        <w:t>Senior Credit Facility</w:t>
      </w:r>
      <w:r>
        <w:rPr>
          <w:color w:val="000000"/>
          <w:shd w:fill="FFFFFF" w:val="clear"/>
        </w:rPr>
        <w:t xml:space="preserve"> </w:t>
      </w:r>
      <w:r>
        <w:rPr>
          <w:rFonts w:ascii="Times New Roman;serif" w:hAnsi="Times New Roman;serif"/>
          <w:b w:val="false"/>
          <w:color w:val="000000"/>
          <w:sz w:val="20"/>
          <w:shd w:fill="FFFFFF" w:val="clear"/>
        </w:rPr>
        <w:t>are due as follows:</w:t>
      </w:r>
    </w:p>
    <w:tbl>
      <w:tblPr>
        <w:tblW w:w="4167" w:type="dxa"/>
        <w:jc w:val="center"/>
        <w:tblInd w:w="0" w:type="dxa"/>
        <w:tblLayout w:type="fixed"/>
        <w:tblCellMar>
          <w:top w:w="28" w:type="dxa"/>
          <w:left w:w="28" w:type="dxa"/>
          <w:bottom w:w="28" w:type="dxa"/>
          <w:right w:w="28" w:type="dxa"/>
        </w:tblCellMar>
      </w:tblPr>
      <w:tblGrid>
        <w:gridCol w:w="749"/>
        <w:gridCol w:w="659"/>
        <w:gridCol w:w="662"/>
        <w:gridCol w:w="109"/>
        <w:gridCol w:w="109"/>
        <w:gridCol w:w="109"/>
        <w:gridCol w:w="319"/>
        <w:gridCol w:w="1200"/>
        <w:gridCol w:w="251"/>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As of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Principal Repayment</w:t>
            </w:r>
          </w:p>
        </w:tc>
      </w:tr>
      <w:tr>
        <w:trPr/>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9,688 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634,531 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736,250 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interest payments on the term loan component of the Senior Credit Facility based on current interest rates are expected to approximate $11.8 million for the remainder of 2025, $45.5 million in 2026, $42.8 million in 2027, and $9.3 million in 2028. Interest is calculated on the term loan component of the Senior Credit Facility based on SOFR plus the certain amounts set forth in the Senior Credit Facility. As the revolving credit facility component of the Senior Credit Facility and Securitization Facility (defined below) can be repaid at any time, no interest has been included in the calculation.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outstanding borrowings on the revolving credit facility component of the Senior Credit Facility are due on March 24, 2028.</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Convertible Senior Notes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0.5% Convertible Senior Notes due 2025 (the “2025 Notes”) issued in February 2020 pursuant to an indenture, dated as of February 7, 2020 (the “Original Indenture”), between the Company and Citibank, N.A., as trustee, matured on August 15, 2025. The 2025 Notes were settled upon maturity for $575.0 million in cash, excluding accrued interest, funded by borrowings on the revolving credit facility component of the Senior Credit Facility. No shares were issued to settle the 2025 Notes.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2025 Notes, the Company entered into call transactions and warrant transactions, primarily with affiliates of the initial purchasers of the 2025 Notes (the “hedge participants”). The cost of the call transactions was $104.2 million for the 2025 Notes. The Company received $44.5 million of proceeds from the warrant transactions for the 2025 Notes. The call transactions involved purchasing call options from the hedge participants, and the warrant transactions involved selling call options to the hedge participants with a higher strike price than the purchased call options. The initial strike price of the call transactions was $73.67, subject to anti-dilution adjustments substantially similar to those in the 2025 Notes. The initial strike price of the warrant transactions was $113.34 for the 2025 Notes, subject to customary anti-dilution adjustments. The call transactions entered into with the hedge participants expired in August 2025 and the warrant transactions entered into with the hedge participants expire ratably over the period from November 2025 through February 2026.</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Securitization Facility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(“Securitization Agreement”) governing the Securitization Facility contains certain covenants and termination events. An occurrence of an event of default or a termination event under this Securitization Agreement may give rise to the right of its counterparty to terminate this facility. As of September 30, 2025, the Company was in compliance with the covenants and none of the termination events had occurred.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15, 2023, the Company entered into an amendment (the “December 2023 Amendment”) of the Securitization Facility which extended the maturity date from May 28, 2024 to December 15, 2026. The Company incurred approximately $0.3 million of new issuance costs associated with the December 2023 Amendment which will be amortized over 3 years, the length of the Securitization Agreement as amended by the December 2023 Amendment. Due to the increase in borrowing capacity, the remaining $0.1 million of unamortized costs from the previous agreement will also be amortized over the length of the amended agreement, three years. In addition, on April 17, 2023 the Company entered into an amendment (the “April 2023 Amendment”) of the Securitization Facility and amended the interest rate from LIBOR to SOFR-indexed rate. The December 2023 Amendment and April 2023 Amendment did not increase the Company’s total indebtedness.</w:t>
      </w:r>
    </w:p>
    <w:p>
      <w:pPr>
        <w:pStyle w:val="TextBody"/>
        <w:bidi w:val="0"/>
        <w:spacing w:lineRule="auto" w:line="288" w:before="120" w:after="120"/>
        <w:jc w:val="both"/>
        <w:rPr/>
      </w:pPr>
      <w:r>
        <w:rPr>
          <w:rFonts w:ascii="Times New Roman;serif" w:hAnsi="Times New Roman;serif"/>
          <w:b w:val="false"/>
          <w:color w:val="000000"/>
          <w:sz w:val="20"/>
        </w:rPr>
        <w:t>At September 30, 2025 and December 31, 2024, the Company had $83.5 million and $108.1 million, respectively, of outstanding borrowings under its Securitization Facility with an interest rate of 5.2% and 5.4%, respectively. The fair value of the outstanding borrowing of the Securitization Facility at September 30, 2025 was $82.0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w:t>
      </w:r>
      <w:r>
        <w:rPr>
          <w:rFonts w:ascii="Times New Roman;serif" w:hAnsi="Times New Roman;serif"/>
          <w:b w:val="false"/>
          <w:color w:val="000000"/>
          <w:sz w:val="20"/>
          <w:shd w:fill="FFFFFF" w:val="clear"/>
        </w:rPr>
        <w:t>nputs that reflect unadjusted quoted prices for identical assets or liabilities.</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Debt Issuance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Debt issuance costs associated with the Senior Credit Facility (other than the revolving credit facility component) and the 2025 Notes are presented as a reduction to the carrying value of the related debt. Debt issuance costs associated with the revolving credit facility component of the Senior Credit Facility are capitalized within other long-term assets on the consolidated balance sheet.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Estimated Fair Value of Debt Measurements</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carrying amounts and the estimated fair values of debt as of </w:t>
      </w:r>
      <w:r>
        <w:rPr>
          <w:rFonts w:ascii="Times New Roman;serif" w:hAnsi="Times New Roman;serif"/>
          <w:b w:val="false"/>
          <w:color w:val="000000"/>
          <w:sz w:val="20"/>
        </w:rPr>
        <w:t xml:space="preserve">September 30, 2025 and December 31, 2024 </w:t>
      </w:r>
      <w:r>
        <w:rPr>
          <w:rFonts w:ascii="Times New Roman;serif" w:hAnsi="Times New Roman;serif"/>
          <w:b w:val="false"/>
          <w:color w:val="000000"/>
          <w:sz w:val="20"/>
          <w:shd w:fill="FFFFFF" w:val="clear"/>
        </w:rPr>
        <w:t>are as follows:</w:t>
      </w:r>
    </w:p>
    <w:tbl>
      <w:tblPr>
        <w:tblW w:w="10205" w:type="dxa"/>
        <w:jc w:val="left"/>
        <w:tblInd w:w="0" w:type="dxa"/>
        <w:tblLayout w:type="fixed"/>
        <w:tblCellMar>
          <w:top w:w="28" w:type="dxa"/>
          <w:left w:w="28" w:type="dxa"/>
          <w:bottom w:w="28" w:type="dxa"/>
          <w:right w:w="28" w:type="dxa"/>
        </w:tblCellMar>
      </w:tblPr>
      <w:tblGrid>
        <w:gridCol w:w="996"/>
        <w:gridCol w:w="823"/>
        <w:gridCol w:w="824"/>
        <w:gridCol w:w="595"/>
        <w:gridCol w:w="595"/>
        <w:gridCol w:w="596"/>
        <w:gridCol w:w="211"/>
        <w:gridCol w:w="941"/>
        <w:gridCol w:w="117"/>
        <w:gridCol w:w="265"/>
        <w:gridCol w:w="1180"/>
        <w:gridCol w:w="147"/>
        <w:gridCol w:w="211"/>
        <w:gridCol w:w="941"/>
        <w:gridCol w:w="117"/>
        <w:gridCol w:w="262"/>
        <w:gridCol w:w="1169"/>
        <w:gridCol w:w="215"/>
      </w:tblGrid>
      <w:tr>
        <w:trPr/>
        <w:tc>
          <w:tcPr>
            <w:tcW w:w="996"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291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Measurement</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1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26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term loan</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733,980 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760,469 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751,143 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Senior credit facility - revolving component</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1,011,573 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365,000 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360,144 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 Notes</w:t>
            </w:r>
          </w:p>
        </w:tc>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1</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555,594 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Securitization</w:t>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Level 2</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82,046 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1,834,750 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1,827,599 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1,808,569 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1,772,712 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costs</w:t>
            </w:r>
          </w:p>
        </w:tc>
        <w:tc>
          <w:tcPr>
            <w:tcW w:w="1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1,831,101 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1,827,599 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1,803,093 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1,772,712 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 xml:space="preserve">7. DERIVATIVE INSTRUMENTS </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Rate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the Company’s expected SOFR-indexed borrowings. Additionally, the Company entered into a basis swap where the Company receives Term SOFR and pays daily compounded SOFR to convert the portfolio of swaps from daily compounded SOFR to Term SOFR.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interest rate swaps as of September 30, 2025 and December 31, 2024 (dollar amounts in thousands):</w:t>
      </w:r>
    </w:p>
    <w:tbl>
      <w:tblPr>
        <w:tblW w:w="1155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09"/>
        <w:gridCol w:w="109"/>
        <w:gridCol w:w="196"/>
        <w:gridCol w:w="736"/>
        <w:gridCol w:w="109"/>
        <w:gridCol w:w="109"/>
        <w:gridCol w:w="109"/>
        <w:gridCol w:w="109"/>
        <w:gridCol w:w="196"/>
        <w:gridCol w:w="871"/>
        <w:gridCol w:w="109"/>
        <w:gridCol w:w="109"/>
        <w:gridCol w:w="109"/>
        <w:gridCol w:w="109"/>
        <w:gridCol w:w="340"/>
        <w:gridCol w:w="340"/>
        <w:gridCol w:w="341"/>
        <w:gridCol w:w="109"/>
        <w:gridCol w:w="109"/>
        <w:gridCol w:w="109"/>
        <w:gridCol w:w="315"/>
        <w:gridCol w:w="255"/>
        <w:gridCol w:w="256"/>
        <w:gridCol w:w="109"/>
        <w:gridCol w:w="109"/>
        <w:gridCol w:w="109"/>
        <w:gridCol w:w="355"/>
        <w:gridCol w:w="355"/>
        <w:gridCol w:w="356"/>
        <w:gridCol w:w="109"/>
        <w:gridCol w:w="109"/>
        <w:gridCol w:w="109"/>
        <w:gridCol w:w="361"/>
        <w:gridCol w:w="195"/>
        <w:gridCol w:w="382"/>
        <w:gridCol w:w="109"/>
        <w:gridCol w:w="109"/>
        <w:gridCol w:w="109"/>
        <w:gridCol w:w="196"/>
        <w:gridCol w:w="646"/>
        <w:gridCol w:w="109"/>
        <w:gridCol w:w="109"/>
        <w:gridCol w:w="109"/>
        <w:gridCol w:w="109"/>
        <w:gridCol w:w="196"/>
        <w:gridCol w:w="646"/>
        <w:gridCol w:w="15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Hedged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Designation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 (Liability)</w:t>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10,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3.220 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10,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October 10,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3.209 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18, 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18,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30,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15, 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1.415 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1-month Term SOFR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15,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July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Basis Swap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March 24,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4" w:type="dxa"/>
            <w:gridSpan w:val="41"/>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notional of the basis swap amortizes to match the total notional of the interest rate swap portfolio over time</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interest rate swaps were carried on the consolidated balance sheet at fair value and changes in the fair values were recorded as unrealized gains or losses in accumulated other comprehensive income (“AOCI”). For the three and nine months ended September 30, 2025, the Company recorded a gain of $1.3 million and a loss of $(9.6) million, respectively, in AOCI related to the change in fair value of the interest rate swaps. For the three and nine months ended September 30, 2024, the Company recorded a loss of $(17.1) million and a gain of $2.7 million, respectively, in AOCI related to the change in fair value of the interest rate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recorded gains of $4.6 million and $7.5 million, respectively, in the consolidated statements of operations related to the interest rate differential of the interest rate swaps. For the three and nine months ended September 30, 2024, the Company recorded gains of $4.1 million and $14.4 million, respectively, in the consolidated statements of operations related to the interest rate differential of the interest rate swaps. The estimated gain that is expected to be reclassified to interest income from AOCI as of September 30, 2025 within the next twelve months is $16.9 million.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Hedging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Those amounts are subsequently reclassified to earnings from AOCI as impacted by the hedged item when the hedged item affects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net in the consolidated statements of operation, along with the offsetting foreign currency gain or loss on the underlying assets or liabilities.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success of the Company’s hedging 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Cross-Currency Rate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(“CHFs”) and receive interest in U.S. dollars. Upon the maturity of these contracts, the Company will pay the principal amount of the loans in CHFs and receive U.S. dollars from the counterparties.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2020, the Company entered into cross-currency swap agreements to convert a notional amount of $471.6 million equivalent to 420.1 million of a CHF-denominated intercompany loan into U.S. dollars. The CHF-denominated intercompany loan was the result of an intra-entity transfer of certain intellectual property rights to a subsidiary in Switzerland completed during the fourth quarter of 2020. The intercompany loan requires quarterly principal payments of CHF 5.8 million plus accrued interest. As a result, the aggregate notional amount of the related cross-currency swaps will decrease by a corresponding amount.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February 2025, the Company amended the CHF-denominated intercompany loan to extend the maturity to December 2030. Concurrently, the Company amended the cross-currency swap agreement, with a notional amount of $368.4 million, equivalent to CHF 328.1 million, to extend the maturity to December 2030.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as of September 30, 2025 and December 31, 2024 (dollar amounts in thousands):</w:t>
      </w:r>
    </w:p>
    <w:tbl>
      <w:tblPr>
        <w:tblW w:w="10205" w:type="dxa"/>
        <w:jc w:val="center"/>
        <w:tblInd w:w="0" w:type="dxa"/>
        <w:tblLayout w:type="fixed"/>
        <w:tblCellMar>
          <w:top w:w="28" w:type="dxa"/>
          <w:left w:w="28" w:type="dxa"/>
          <w:bottom w:w="28" w:type="dxa"/>
          <w:right w:w="28" w:type="dxa"/>
        </w:tblCellMar>
      </w:tblPr>
      <w:tblGrid>
        <w:gridCol w:w="307"/>
        <w:gridCol w:w="256"/>
        <w:gridCol w:w="188"/>
        <w:gridCol w:w="109"/>
        <w:gridCol w:w="109"/>
        <w:gridCol w:w="109"/>
        <w:gridCol w:w="345"/>
        <w:gridCol w:w="295"/>
        <w:gridCol w:w="296"/>
        <w:gridCol w:w="109"/>
        <w:gridCol w:w="109"/>
        <w:gridCol w:w="109"/>
        <w:gridCol w:w="378"/>
        <w:gridCol w:w="378"/>
        <w:gridCol w:w="380"/>
        <w:gridCol w:w="109"/>
        <w:gridCol w:w="109"/>
        <w:gridCol w:w="109"/>
        <w:gridCol w:w="197"/>
        <w:gridCol w:w="197"/>
        <w:gridCol w:w="198"/>
        <w:gridCol w:w="109"/>
        <w:gridCol w:w="109"/>
        <w:gridCol w:w="109"/>
        <w:gridCol w:w="155"/>
        <w:gridCol w:w="155"/>
        <w:gridCol w:w="156"/>
        <w:gridCol w:w="443"/>
        <w:gridCol w:w="347"/>
        <w:gridCol w:w="348"/>
        <w:gridCol w:w="457"/>
        <w:gridCol w:w="327"/>
        <w:gridCol w:w="328"/>
        <w:gridCol w:w="109"/>
        <w:gridCol w:w="109"/>
        <w:gridCol w:w="109"/>
        <w:gridCol w:w="214"/>
        <w:gridCol w:w="738"/>
        <w:gridCol w:w="119"/>
        <w:gridCol w:w="109"/>
        <w:gridCol w:w="109"/>
        <w:gridCol w:w="109"/>
        <w:gridCol w:w="216"/>
        <w:gridCol w:w="645"/>
        <w:gridCol w:w="180"/>
      </w:tblGrid>
      <w:tr>
        <w:trPr/>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1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328,136 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w:t>
            </w:r>
          </w:p>
        </w:tc>
        <w:tc>
          <w:tcPr>
            <w:tcW w:w="18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368,362 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9"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0"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20, 2025</w:t>
            </w:r>
          </w:p>
        </w:tc>
        <w:tc>
          <w:tcPr>
            <w:tcW w:w="327" w:type="dxa"/>
            <w:gridSpan w:val="3"/>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310,887 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(57,034)</w:t>
            </w:r>
          </w:p>
        </w:tc>
        <w:tc>
          <w:tcPr>
            <w:tcW w:w="119"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1136"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348,997 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9"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80"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(57,034)</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cross-currency swaps designated as cash flow hedges are carried on the consolidated balance sheet at fair value, and changes in the fair values are recorded as unrealized gains or losses in AOCI. For the three and nine months ended September 30, 2025, the Company recorded a gain of $9.0 million and a loss of $(40.5) million, respectively, in AOCI related to change in fair value of the cross-currency swaps. For the three and nine months ended September 30, 2024, the Company recorded a loss of $(16.6) million and a gain of $13.5 million, respectively, in AOCI related to change in fair value of the cross-currency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recorded a gain of $2.8 million and a loss of $(47.1) million, respectively, in other income, net related to the change in fair value related to the foreign currency rate translation to offset the gains and losses, respectively, recognized on the intercompany loans. For the three and nine months ended September 30, 2024, the Company recorded a loss of $(23.2) million and a gain of $5.4 million, respectively, in other income, net related to change in fair value related to the foreign currency rate translation to offset the gains and losses, respectively, recognized on the intercompany loans.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recorded gains of $2.3 million and $5.7 million, respectively, in other income, net included in the consolidated statements of operations related to the interest rate differential of the cross-currency swaps. For the three and nine months ended September 30, 2024, the Company recorded gains of $1.1 million and $3.7 million, respectively, in other income, net included in the consolidated statements of operations related to the interest rate differential of the cross-currency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gain that is expected to be reclassified to other income (expense), net from AOCI as of September 30, 2025 within the next twelve months is $5.2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Net Investment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manages certain foreign exchange risks through a variety of strategies, including hedging. The Company is exposed to foreign exchange risk from its international operations through foreign currency purchases, net investments in foreign subsidiaries, and foreign currency assets and liabilities created in the normal course of business.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2025, the Company entered into a cross-currency swap agreement with a notional amount of CHF 67.8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25, 2025, the Company entered into a cross-currency swap agreement with a notional amount of CHF 59.7 million, equivalent to $75.0 million, where the Company agreed with third-parties to sell CHF in exchange for U.S. dollars at a specified rate at the maturity of the contract. The new cross-currency swap agreement was designated as a net investment hedge to partially offset the effects of foreign currency on foreign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held the following cross-currency rate swaps designated as net investment hedges as of September 30, 2025 and December 31, 2024, respectively (dollar amounts in thousands):</w:t>
      </w:r>
    </w:p>
    <w:tbl>
      <w:tblPr>
        <w:tblW w:w="10205" w:type="dxa"/>
        <w:jc w:val="center"/>
        <w:tblInd w:w="0" w:type="dxa"/>
        <w:tblLayout w:type="fixed"/>
        <w:tblCellMar>
          <w:top w:w="28" w:type="dxa"/>
          <w:left w:w="28" w:type="dxa"/>
          <w:bottom w:w="28" w:type="dxa"/>
          <w:right w:w="28" w:type="dxa"/>
        </w:tblCellMar>
      </w:tblPr>
      <w:tblGrid>
        <w:gridCol w:w="295"/>
        <w:gridCol w:w="243"/>
        <w:gridCol w:w="167"/>
        <w:gridCol w:w="109"/>
        <w:gridCol w:w="109"/>
        <w:gridCol w:w="109"/>
        <w:gridCol w:w="355"/>
        <w:gridCol w:w="271"/>
        <w:gridCol w:w="272"/>
        <w:gridCol w:w="109"/>
        <w:gridCol w:w="109"/>
        <w:gridCol w:w="109"/>
        <w:gridCol w:w="364"/>
        <w:gridCol w:w="364"/>
        <w:gridCol w:w="365"/>
        <w:gridCol w:w="109"/>
        <w:gridCol w:w="109"/>
        <w:gridCol w:w="109"/>
        <w:gridCol w:w="183"/>
        <w:gridCol w:w="183"/>
        <w:gridCol w:w="184"/>
        <w:gridCol w:w="109"/>
        <w:gridCol w:w="109"/>
        <w:gridCol w:w="109"/>
        <w:gridCol w:w="155"/>
        <w:gridCol w:w="155"/>
        <w:gridCol w:w="156"/>
        <w:gridCol w:w="432"/>
        <w:gridCol w:w="324"/>
        <w:gridCol w:w="325"/>
        <w:gridCol w:w="109"/>
        <w:gridCol w:w="109"/>
        <w:gridCol w:w="109"/>
        <w:gridCol w:w="450"/>
        <w:gridCol w:w="304"/>
        <w:gridCol w:w="305"/>
        <w:gridCol w:w="109"/>
        <w:gridCol w:w="109"/>
        <w:gridCol w:w="109"/>
        <w:gridCol w:w="203"/>
        <w:gridCol w:w="690"/>
        <w:gridCol w:w="112"/>
        <w:gridCol w:w="109"/>
        <w:gridCol w:w="109"/>
        <w:gridCol w:w="109"/>
        <w:gridCol w:w="202"/>
        <w:gridCol w:w="687"/>
        <w:gridCol w:w="170"/>
      </w:tblGrid>
      <w:tr>
        <w:trPr/>
        <w:tc>
          <w:tcPr>
            <w:tcW w:w="29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Fixed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3"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br/>
              <w:t>Asset (Liability)</w:t>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EUR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October 3, 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EUR</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38,820 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4,827 </w:t>
            </w:r>
          </w:p>
        </w:tc>
        <w:tc>
          <w:tcPr>
            <w:tcW w:w="17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0"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26,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16,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240,175 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240,175 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(58,351)</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(27,951)</w:t>
            </w:r>
          </w:p>
        </w:tc>
        <w:tc>
          <w:tcPr>
            <w:tcW w:w="17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0"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November 17,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17,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66,525 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(10,982)</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(3,248)</w:t>
            </w:r>
          </w:p>
        </w:tc>
        <w:tc>
          <w:tcPr>
            <w:tcW w:w="17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0"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18,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68,483 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(12,761)</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(4,741)</w:t>
            </w:r>
          </w:p>
        </w:tc>
        <w:tc>
          <w:tcPr>
            <w:tcW w:w="17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0"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21,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(9,602)</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0"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 CHF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July 25,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15,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CHF</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59,693 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12"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vMerge w:val="restart"/>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Receive 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12" w:type="dxa"/>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vMerge w:val="continue"/>
            <w:tcBorders/>
            <w:shd w:fill="CCEEFF" w:val="clear"/>
            <w:tcMar>
              <w:top w:w="0" w:type="dxa"/>
              <w:left w:w="0" w:type="dxa"/>
              <w:bottom w:w="0" w:type="dxa"/>
              <w:right w:w="0" w:type="dxa"/>
            </w:tcMar>
            <w:vAlign w:val="center"/>
          </w:tcPr>
          <w:p>
            <w:pPr>
              <w:pStyle w:val="Normal"/>
              <w:bidi w:val="0"/>
              <w:jc w:val="left"/>
              <w:rPr/>
            </w:pPr>
            <w:r>
              <w:rPr/>
            </w:r>
          </w:p>
        </w:tc>
        <w:tc>
          <w:tcPr>
            <w:tcW w:w="170" w:type="dxa"/>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(94,174)</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cross-currency swaps were carried on the consolidated balance sheet at fair value and changes in the fair values were recorded as unrealized gains or losses in AOCI. For the three and nine months ended September 30, 2025, the Company recorded a gain of $5.0 million and a loss of $(54.4) million, respectively, in AOCI related to the change in fair value of the cross-currency swaps. For the three and nine months ended September 30, 2024, the Company recorded losses of $(21.1) million and $(0.4) million, respectively, in AOCI related to the change in fair value of the cross-currency swaps.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recorded gains of $3.4 million and $9.1 million, respectively, in interest income included in the consolidated statements of operations related to the interest rate differential of the cross-currency swaps. For the three and nine months ended September 30, 2024, the Company recorded gains of $2.7 million and $7.4 million, respectively, in interest income included in the consolidated statements of operations related to the interest rate differential of the cross-currency swaps.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estimated gain that is expected to be reclassified to interest income from AOCI as of September 30, 2025 within the next twelve months is $11.4 million.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Forward Contracts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entered into forward contracts designated as cash flow hedges for forecasted purchases in foreign currencies, primarily CHF denominated intercompany purchases. To the extent these forward contracts meet hedge accounting criteria, changes in their fair value are included in accumulated other comprehensive loss. These changes in fair value will be recognized into earnings as a component of cost of sales when the forecasted-transaction occurs. These contracts typically settle at various dates within twelve months of execution. As of September 30, 2025 the notional amount of foreign currency forward contracts was CHF 12.3 million.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recorded a loss of $(0.2) million and a gain of $1.9 million, respectively, in AOCI related to the change in fair value of the foreign currency forward contracts. For the three and nine months ended September 30, 2024, the Company recorded a gain of $0.5 million and a loss of $(0.2) million, respectively, in AOCI related to the change in fair value of the foreign currency forward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2025, the Company recorded an immaterial loss and a loss of $(0.4) million, respectively, in other income and cost of goods sold included in the consolidated statements of operations related to the amortization of forward points and rate translation on the foreign currency forward contracts. For the three and nine months ended September 30, 2024, the Company recorded losses of $(0.1) million and $(0.3) million, respectively, in other income and cost of goods sold included in the consolidated statements of operations related to the amortization of forward points and rate translation on the foreign currency forward contracts.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Counterparty Credit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Fair Value of Derivative Instruments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classified all of its derivative instruments within Level 2 of the fair value hierarchy because observable inputs are available for the derivative instruments. The fair values of the interest rate swaps and cross-currency swaps were developed using a market approach based on publicly available market yield curves and the terms of the swap. The Company performs ongoing assessments of counterparty credit risk.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fair value for derivatives designated as hedging instruments in the condensed consolidated balance sheets as of September 30, 2025 and December 31, 2024:</w:t>
      </w:r>
    </w:p>
    <w:tbl>
      <w:tblPr>
        <w:tblW w:w="8349" w:type="dxa"/>
        <w:jc w:val="left"/>
        <w:tblInd w:w="0" w:type="dxa"/>
        <w:tblLayout w:type="fixed"/>
        <w:tblCellMar>
          <w:top w:w="28" w:type="dxa"/>
          <w:left w:w="28" w:type="dxa"/>
          <w:bottom w:w="28" w:type="dxa"/>
          <w:right w:w="28" w:type="dxa"/>
        </w:tblCellMar>
      </w:tblPr>
      <w:tblGrid>
        <w:gridCol w:w="1470"/>
        <w:gridCol w:w="1294"/>
        <w:gridCol w:w="1300"/>
        <w:gridCol w:w="109"/>
        <w:gridCol w:w="109"/>
        <w:gridCol w:w="109"/>
        <w:gridCol w:w="302"/>
        <w:gridCol w:w="1135"/>
        <w:gridCol w:w="168"/>
        <w:gridCol w:w="109"/>
        <w:gridCol w:w="109"/>
        <w:gridCol w:w="109"/>
        <w:gridCol w:w="318"/>
        <w:gridCol w:w="1050"/>
        <w:gridCol w:w="177"/>
        <w:gridCol w:w="109"/>
        <w:gridCol w:w="109"/>
        <w:gridCol w:w="109"/>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Location on Balance Sheet </w:t>
            </w:r>
            <w:r>
              <w:rPr>
                <w:rFonts w:ascii="Times New Roman;serif" w:hAnsi="Times New Roman;serif"/>
                <w:b/>
                <w:color w:val="000000"/>
                <w:sz w:val="10"/>
              </w:rPr>
              <w:t>(1)</w:t>
            </w: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44,848 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59,227 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60,552 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94,988 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derivatives designated as hedges —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164,074 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46,827 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Company classifies derivative assets and liabilities as current based on the cash flows expected to be incurred within the following 12 months.</w:t>
      </w:r>
    </w:p>
    <w:p>
      <w:pPr>
        <w:pStyle w:val="TextBody"/>
        <w:bidi w:val="0"/>
        <w:spacing w:before="0" w:after="240"/>
        <w:ind w:left="0" w:right="0" w:hanging="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00" w:after="200"/>
        <w:jc w:val="both"/>
        <w:rPr>
          <w:rFonts w:ascii="Times New Roman;serif" w:hAnsi="Times New Roman;serif"/>
          <w:b w:val="false"/>
          <w:color w:val="000000"/>
          <w:sz w:val="20"/>
        </w:rPr>
      </w:pPr>
      <w:r>
        <w:rPr>
          <w:rFonts w:ascii="Times New Roman;serif" w:hAnsi="Times New Roman;serif"/>
          <w:b w:val="false"/>
          <w:color w:val="000000"/>
          <w:sz w:val="20"/>
        </w:rPr>
        <w:t>The following presents the effect of derivative instruments designated as cash flow hedges and net investment hedges on the accompanying condensed consolidated statement of operations during the three and nine months ended September 30, 2025 and 2024:</w:t>
      </w:r>
    </w:p>
    <w:tbl>
      <w:tblPr>
        <w:tblW w:w="10205" w:type="dxa"/>
        <w:jc w:val="left"/>
        <w:tblInd w:w="0" w:type="dxa"/>
        <w:tblLayout w:type="fixed"/>
        <w:tblCellMar>
          <w:top w:w="28" w:type="dxa"/>
          <w:left w:w="28" w:type="dxa"/>
          <w:bottom w:w="28" w:type="dxa"/>
          <w:right w:w="28" w:type="dxa"/>
        </w:tblCellMar>
      </w:tblPr>
      <w:tblGrid>
        <w:gridCol w:w="850"/>
        <w:gridCol w:w="498"/>
        <w:gridCol w:w="500"/>
        <w:gridCol w:w="289"/>
        <w:gridCol w:w="975"/>
        <w:gridCol w:w="162"/>
        <w:gridCol w:w="109"/>
        <w:gridCol w:w="109"/>
        <w:gridCol w:w="109"/>
        <w:gridCol w:w="217"/>
        <w:gridCol w:w="832"/>
        <w:gridCol w:w="122"/>
        <w:gridCol w:w="109"/>
        <w:gridCol w:w="109"/>
        <w:gridCol w:w="109"/>
        <w:gridCol w:w="309"/>
        <w:gridCol w:w="1042"/>
        <w:gridCol w:w="172"/>
        <w:gridCol w:w="109"/>
        <w:gridCol w:w="109"/>
        <w:gridCol w:w="109"/>
        <w:gridCol w:w="289"/>
        <w:gridCol w:w="975"/>
        <w:gridCol w:w="162"/>
        <w:gridCol w:w="109"/>
        <w:gridCol w:w="109"/>
        <w:gridCol w:w="109"/>
        <w:gridCol w:w="438"/>
        <w:gridCol w:w="438"/>
        <w:gridCol w:w="627"/>
      </w:tblGrid>
      <w:tr>
        <w:trPr/>
        <w:tc>
          <w:tcPr>
            <w:tcW w:w="85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Beginning of</w:t>
              <w:b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in</w:t>
              <w:br/>
              <w:t>Statements of</w:t>
              <w:br/>
              <w:t>Operations</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(73,983)</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(71,986)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53,116 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(17,133)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(16,867)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6,353 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(54,335)</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Beginning of</w:t>
              <w:b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w:t>
              <w:br/>
              <w:t>Gain (Loss)</w:t>
              <w:br/>
              <w:t>Recognized in</w:t>
              <w:br/>
              <w:t>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of Gain (Loss)</w:t>
              <w:br/>
              <w:t>Reclassified from</w:t>
              <w:br/>
              <w:t>AOCI into</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Balance in AOCI</w:t>
              <w:br/>
              <w:t>End of 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Location in</w:t>
              <w:br/>
              <w:t>Statements of</w:t>
              <w:br/>
              <w:t>Operations</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(40,504)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(41,345)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income (expense), net </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(54,356)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(102,549)</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(25,144)</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(71,986)</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Cash Flow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Net Investment Hedges</w:t>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Cross-currency swap</w:t>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(53,256)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1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(17,705)</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15,660 </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(32,648)</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Derivative Instruments not Designated Hedges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enters into foreign currency forward contracts to mitigate risk from the fluctuations in foreign currency exchange rates associated with intercompany balances in Chinese yuan (“CNH”) CHF, and EUR. These contracts typically settle at various dates within twelve months of execution. As of September 30, 2025, the notional amounts totaled CNH 30.0 million and EUR 14.0 million, equivalent to $4.1 million, and $16.5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2021, the Company entered into a foreign currency swap, with a notional amount of JPY 800.0 million, equivalent to $7.3 million, to mitigate the risk from fluctuations in foreign currency exchange rates associated with an intercompany loan denominated in Japanese yen. In a foreign currency swap transaction, the Company agrees with another party to exchange, at specified intervals, the difference between one currency and another currency at a fixed exchange rate, generally set at inception, calculated by reference to an agreed upon notional amount. The notional amount of each currency is exchanged at the inception and termination of the currency swap by each party. The Company subsequently paid down a portion of this swap, bringing the notional amount down to JPY 400.0 million, equivalent to $3.6 million as of September 30,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foreign currency swaps not designated as hedges was $0.9 million and $1.7 million as of September 30, 2025 and December 31, 2024,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not designated as hedges on the condensed consolidated statements of income, which was included in other income:</w:t>
      </w:r>
    </w:p>
    <w:tbl>
      <w:tblPr>
        <w:tblW w:w="9012" w:type="dxa"/>
        <w:jc w:val="center"/>
        <w:tblInd w:w="0" w:type="dxa"/>
        <w:tblLayout w:type="fixed"/>
        <w:tblCellMar>
          <w:top w:w="28" w:type="dxa"/>
          <w:left w:w="28" w:type="dxa"/>
          <w:bottom w:w="28" w:type="dxa"/>
          <w:right w:w="28" w:type="dxa"/>
        </w:tblCellMar>
      </w:tblPr>
      <w:tblGrid>
        <w:gridCol w:w="952"/>
        <w:gridCol w:w="835"/>
        <w:gridCol w:w="837"/>
        <w:gridCol w:w="109"/>
        <w:gridCol w:w="109"/>
        <w:gridCol w:w="109"/>
        <w:gridCol w:w="321"/>
        <w:gridCol w:w="814"/>
        <w:gridCol w:w="178"/>
        <w:gridCol w:w="178"/>
        <w:gridCol w:w="178"/>
        <w:gridCol w:w="178"/>
        <w:gridCol w:w="321"/>
        <w:gridCol w:w="543"/>
        <w:gridCol w:w="178"/>
        <w:gridCol w:w="109"/>
        <w:gridCol w:w="109"/>
        <w:gridCol w:w="109"/>
        <w:gridCol w:w="274"/>
        <w:gridCol w:w="884"/>
        <w:gridCol w:w="152"/>
        <w:gridCol w:w="152"/>
        <w:gridCol w:w="152"/>
        <w:gridCol w:w="152"/>
        <w:gridCol w:w="274"/>
        <w:gridCol w:w="590"/>
        <w:gridCol w:w="215"/>
      </w:tblGrid>
      <w:tr>
        <w:trPr/>
        <w:tc>
          <w:tcPr>
            <w:tcW w:w="952"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(1,904)</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 Company had stock options, restricted stock awards, performance stock awards, contract stock awards and restricted stock unit awards outstanding under the Integra LifeSciences Holdings Corporation Fifth Amended and Restated 2003 Equity Incentive Plan, as amended (the “2003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Stock options issued under the 2003 Plan become exercisable over specified periods, generally within four years from the date of grant for officers and employees, within one year from date of grant for directors which generally expire eight years from the grant date for employees, and from six to ten years for directors and certain executive officers, except in certain instances that result in accelerated vesting due to death, disability, retirement age or change-in-control provisions within their grant agreements. The Company values stock option grants using the binomial distribution model. Restricted stock issued under the 2003 Plan vests over specified periods, generally three years after the date of grant. The vesting of performance stock issued under the 2003 Plan is subject to service and performance conditions.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there were approximately $4.9 million of total unrecognized compensation costs related to unvested stock options. These costs are expected to be recognized over a weighted-average period of approximately three years. There were 395,252 stock options granted during the nine months ended September 30, 2025. For the nine months ended September 30, 2025, the weighted average grant date fair value for stock options granted was $10.77 per option.</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Awards of Restricted Stock and Performance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Performance stock and restricted stock awards generally have requisite service periods of three years, except in certain instances that result in accelerated vesting due to death, disability, retirement age provision or change-in-control provisions in their grant agreements. Performance stock units are subject to graded vesting conditions based on revenue goals of the Company. The Company expenses the fair value of restricted stock awards on a straight-line basis over the requisite service period. As of September 30, 2025, there was approximately $33.0 million of total unrecognized compensation costs related to these unvested awards. The Company expects to recognize these costs over a weighted-average period of approximately two years. The Company granted 1,012,799 restricted stock awards and 395,781 performance stock awards during the nine months ended September 30, 2025. For the nine months ended September 30, 2025, the weighted average grant date fair value for restricted stock awards and performance stock units granted was $21.09 and $23.95 per award, respectively.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9. RETIREMENT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various defined benefit plans which cover certain employees in France, Japan, Germany and Switzerland.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three and nine months ended September 30, 2025 were $0.4 million and $1.1 million. The components of the net periodic benefit costs other than the service cost component of $0.8 million and $2.5 million for the three and nine months ended September 30, 2025 are included in other income, net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periodic benefit costs for the Company’s defined benefit pension plans for the three and nine months ended September 30, 2024 were $0.4 million and $1.3 million. The components of the net periodic benefit costs other than the service cost component of $0.8 million and $2.4 million for the three and nine months ended September 30, 2024 are included in other income, net in the consolidated statements of operations.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plan assets were $61.6 million and $51.8 million as of September 30, 2025 and December 31, 2024, respectively. The net plan assets of the pension plans are invested in common trusts as of September 30, 2025 and December 31, 2024.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Deferred Compensation Plan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maintains a deferred compensation plan in which certain employees of the Company may defer the payment and taxation of up to 75% of their base salary and up to 100% of bonus amounts and other eligible cash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This deferred compensation is invested in funds offered under this plan and is valued based on Level 1 measurements in the fair value hierarchy. Assets of the Company’s deferred compensation plan are included in other current assets and recorded at fair value based on their quoted market prices. The fair value of these assets were $7.6 million and $6.7 million as of September 30, 2025 and December 31, 2024, respectively. Offsetting liabilities relating to the deferred compensation plan are included in other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10. LEASES AND 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leases administrative, manufacturing, research and distribution facilities, and vehicles through operating lease agreements. The Company has no finance leases as of September 30, 2025. Many of the Company’s leases include both lease (e.g., fixed payments including rent) and non-lease components (e.g., common-area or other maintenance costs). For vehicles, the Company has elected the practical expedient to group lease and non-lease components.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Most facility leases include one or more options to renew. The exercise of lease renewal options is typically at the Company’s sole discretion, therefore, the majority of renewals to extend the lease terms are not included in the Right of Use (“ROU”) assets and lease liabilities as they are not reasonably certain of exercise. The Company regularly evaluates renewal options and when they are reasonably certain of exercise, the renewal period is included in the lease term.</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most of the Company’s leases do not provide an implicit rate, the Company uses a collateralized incremental borrowing rate based on the information available at the lease commencement date in determining the present value of the lease payments.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lease expense for the nine months ended September 30, 2025 and September 30, 2024 was $17.8 million and $18.8 million, respectively, which includes $0.2 million in related party operating lease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operating leases were as follows:</w:t>
      </w:r>
    </w:p>
    <w:tbl>
      <w:tblPr>
        <w:tblW w:w="7990" w:type="dxa"/>
        <w:jc w:val="center"/>
        <w:tblInd w:w="0" w:type="dxa"/>
        <w:tblLayout w:type="fixed"/>
        <w:tblCellMar>
          <w:top w:w="28" w:type="dxa"/>
          <w:left w:w="28" w:type="dxa"/>
          <w:bottom w:w="28" w:type="dxa"/>
          <w:right w:w="28" w:type="dxa"/>
        </w:tblCellMar>
      </w:tblPr>
      <w:tblGrid>
        <w:gridCol w:w="1461"/>
        <w:gridCol w:w="1282"/>
        <w:gridCol w:w="1291"/>
        <w:gridCol w:w="109"/>
        <w:gridCol w:w="109"/>
        <w:gridCol w:w="109"/>
        <w:gridCol w:w="109"/>
        <w:gridCol w:w="264"/>
        <w:gridCol w:w="994"/>
        <w:gridCol w:w="346"/>
        <w:gridCol w:w="109"/>
        <w:gridCol w:w="109"/>
        <w:gridCol w:w="109"/>
        <w:gridCol w:w="252"/>
        <w:gridCol w:w="949"/>
        <w:gridCol w:w="388"/>
      </w:tblGrid>
      <w:tr>
        <w:trPr/>
        <w:tc>
          <w:tcPr>
            <w:tcW w:w="1461"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 except lease term and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138,187 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144,042 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14,540 </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160,933 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166,930 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174,759 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181,470 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remaining lease term (in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years</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years</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facilities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Leased vehicles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for the nine months ended September 30, 2025 and 2024 were as follows:</w:t>
      </w:r>
    </w:p>
    <w:tbl>
      <w:tblPr>
        <w:tblW w:w="9129" w:type="dxa"/>
        <w:jc w:val="center"/>
        <w:tblInd w:w="0" w:type="dxa"/>
        <w:tblLayout w:type="fixed"/>
        <w:tblCellMar>
          <w:top w:w="28" w:type="dxa"/>
          <w:left w:w="28" w:type="dxa"/>
          <w:bottom w:w="28" w:type="dxa"/>
          <w:right w:w="28" w:type="dxa"/>
        </w:tblCellMar>
      </w:tblPr>
      <w:tblGrid>
        <w:gridCol w:w="2013"/>
        <w:gridCol w:w="1766"/>
        <w:gridCol w:w="1770"/>
        <w:gridCol w:w="330"/>
        <w:gridCol w:w="1090"/>
        <w:gridCol w:w="184"/>
        <w:gridCol w:w="109"/>
        <w:gridCol w:w="109"/>
        <w:gridCol w:w="109"/>
        <w:gridCol w:w="324"/>
        <w:gridCol w:w="1070"/>
        <w:gridCol w:w="255"/>
      </w:tblGrid>
      <w:tr>
        <w:trPr/>
        <w:tc>
          <w:tcPr>
            <w:tcW w:w="2013"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2024</w:t>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paid for amounts included in the measurement of lease liabilities:</w:t>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17,729 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ROU assets obtained in exchange for lease liabilities, net of modifications:</w:t>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operating leases at September 30, 2025 were as follows:</w:t>
      </w:r>
    </w:p>
    <w:tbl>
      <w:tblPr>
        <w:tblW w:w="6328" w:type="dxa"/>
        <w:jc w:val="left"/>
        <w:tblInd w:w="0" w:type="dxa"/>
        <w:tblLayout w:type="fixed"/>
        <w:tblCellMar>
          <w:top w:w="28" w:type="dxa"/>
          <w:left w:w="28" w:type="dxa"/>
          <w:bottom w:w="28" w:type="dxa"/>
          <w:right w:w="28" w:type="dxa"/>
        </w:tblCellMar>
      </w:tblPr>
      <w:tblGrid>
        <w:gridCol w:w="838"/>
        <w:gridCol w:w="735"/>
        <w:gridCol w:w="737"/>
        <w:gridCol w:w="276"/>
        <w:gridCol w:w="785"/>
        <w:gridCol w:w="153"/>
        <w:gridCol w:w="109"/>
        <w:gridCol w:w="109"/>
        <w:gridCol w:w="109"/>
        <w:gridCol w:w="200"/>
        <w:gridCol w:w="753"/>
        <w:gridCol w:w="111"/>
        <w:gridCol w:w="109"/>
        <w:gridCol w:w="109"/>
        <w:gridCol w:w="109"/>
        <w:gridCol w:w="196"/>
        <w:gridCol w:w="736"/>
        <w:gridCol w:w="154"/>
      </w:tblGrid>
      <w:tr>
        <w:trPr/>
        <w:tc>
          <w:tcPr>
            <w:tcW w:w="838"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Third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Remainder of 2025</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minimum lease payments</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2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87,314 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lease liabilities</w:t>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liabilities</w:t>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future minimum lease payments under finance leases at September 30,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Related Party Leases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one of its manufacturing facilities in Plainsboro, New Jersey, from a general partnership that is 50% owned by a principal stockholder of the Company. The term of the current lease agreement is through October 31, 2029 at an annual rate of approximately $0.3 million. The current lease agreement also provides (i) a 5-year renewal option for the Company to extend the lease from November 1, 2029 through October 31, 2034 at the fair market rental rate of the premises, and (ii) another 5-year renewal option to extend the lease from November 1, 2034 through October 31, 2039 at the fair market rental rate of the premises.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11. TREASURY STOCK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company held 14.4 million shares of treasury stock outstanding with a cost of $690.0 million and $691.4 million, respectively, at a weighted average cost per share of $47.86 for both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the Company entered into a $50 million accelerated share repurchase (“the 2024 ASR”) and received 1.3 million shares of common stock at inception of the 2024 ASR, which represented approximately 70% of the expected total shares under the 2024 ASR. The early exercise provision was exercised by the 2024 ASR counterparty. The Company received an additional 0.4 million shares determined using the volume-weighted average price of the Company’s common stock during the term of the 2024 ASR.</w:t>
      </w:r>
    </w:p>
    <w:p>
      <w:pPr>
        <w:pStyle w:val="TextBody"/>
        <w:bidi w:val="0"/>
        <w:spacing w:lineRule="auto" w:line="288" w:before="120" w:after="120"/>
        <w:jc w:val="both"/>
        <w:rPr/>
      </w:pPr>
      <w:r>
        <w:rPr>
          <w:rFonts w:ascii="Times New Roman;serif" w:hAnsi="Times New Roman;serif"/>
          <w:b w:val="false"/>
          <w:color w:val="000000"/>
          <w:sz w:val="20"/>
        </w:rPr>
        <w:t>On July 18, 2023, the Board of Directors authorized a new $225 million share repurchase program. A</w:t>
      </w:r>
      <w:r>
        <w:rPr>
          <w:rFonts w:ascii="Times New Roman;serif" w:hAnsi="Times New Roman;serif"/>
          <w:b w:val="false"/>
          <w:color w:val="000000"/>
          <w:sz w:val="20"/>
          <w:shd w:fill="FFFFFF" w:val="clear"/>
        </w:rPr>
        <w:t xml:space="preserve">s of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rPr>
        <w:t>$50 million remained</w:t>
      </w:r>
      <w:r>
        <w:rPr>
          <w:color w:val="000000"/>
          <w:shd w:fill="FFFFFF" w:val="clear"/>
        </w:rPr>
        <w:t xml:space="preserve"> </w:t>
      </w:r>
      <w:r>
        <w:rPr>
          <w:rFonts w:ascii="Times New Roman;serif" w:hAnsi="Times New Roman;serif"/>
          <w:b w:val="false"/>
          <w:color w:val="000000"/>
          <w:sz w:val="20"/>
          <w:shd w:fill="FFFFFF" w:val="clear"/>
        </w:rPr>
        <w:t>authorized</w:t>
      </w:r>
      <w:r>
        <w:rPr>
          <w:rFonts w:ascii="Times New Roman;serif" w:hAnsi="Times New Roman;serif"/>
          <w:b w:val="false"/>
          <w:color w:val="000000"/>
          <w:sz w:val="20"/>
        </w:rPr>
        <w:t>. The program, which was authorized in July 2023 and expires on December 31, 2025, allows the Company to repurchase its shares opportunistically from time to time. The Company may utilize various methods to effect any repurchases, including open market transactions, privately negotiated transactions, transactions structured through investment banking institutions, including accelerated share repurchases, or a combination of the foregoing, some of which may be effected through Rule 10b5-1 plans. The price and timing of any future purchases under the share repurchase program will depend on factors such as levels of cash generation from operations, the volume of stock option exercises by employees, cash requirements for acquisitions, dividends, economic and market conditions and stock price, and such repurchases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the Company’s effective tax rate:</w:t>
      </w:r>
    </w:p>
    <w:tbl>
      <w:tblPr>
        <w:tblW w:w="7384" w:type="dxa"/>
        <w:jc w:val="center"/>
        <w:tblInd w:w="0" w:type="dxa"/>
        <w:tblLayout w:type="fixed"/>
        <w:tblCellMar>
          <w:top w:w="28" w:type="dxa"/>
          <w:left w:w="28" w:type="dxa"/>
          <w:bottom w:w="28" w:type="dxa"/>
          <w:right w:w="28" w:type="dxa"/>
        </w:tblCellMar>
      </w:tblPr>
      <w:tblGrid>
        <w:gridCol w:w="477"/>
        <w:gridCol w:w="420"/>
        <w:gridCol w:w="422"/>
        <w:gridCol w:w="247"/>
        <w:gridCol w:w="247"/>
        <w:gridCol w:w="581"/>
        <w:gridCol w:w="247"/>
        <w:gridCol w:w="247"/>
        <w:gridCol w:w="247"/>
        <w:gridCol w:w="247"/>
        <w:gridCol w:w="247"/>
        <w:gridCol w:w="581"/>
        <w:gridCol w:w="109"/>
        <w:gridCol w:w="109"/>
        <w:gridCol w:w="109"/>
        <w:gridCol w:w="235"/>
        <w:gridCol w:w="235"/>
        <w:gridCol w:w="552"/>
        <w:gridCol w:w="235"/>
        <w:gridCol w:w="235"/>
        <w:gridCol w:w="235"/>
        <w:gridCol w:w="235"/>
        <w:gridCol w:w="235"/>
        <w:gridCol w:w="650"/>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tax rate</w:t>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months ended September 30, 2025 and 2024 were 20.8% and 47.5%, respectively. For the three months ended September 30, 2025, the Company’s effective tax rate was primarily driven by the tax expense generated in certain profitable foreign jurisdictions and the inclusion of Global Intangible Low Taxed Income (“GILTI”); offset by federal, state, and international tax benefits generated from operating losses and favorable prior year tax return positions. For the three months ended September 30, 2024, the tax rate is primarily due to the limitation of foreign tax credits in the U.S. and the limitation of federal tax credits in Switzerland, caused by lower book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nine months ended September 30, 2025 and 2024 were 9.3% and 35.3%, respectively. For the nine months ended September 30, 2025, the Company’s effective tax rate was primarily driven by the goodwill impairment charge, as a portion of the charge is non-deductible for tax, as well as the inclusion of GILTI and the global minimum tax in certain foreign jurisdictions; offset by federal, state, and international tax benefits generated from operating losses and favorable prior year tax return positions. For the nine months ended September 30, 2024, the tax rate is primarily due to the limitation of foreign tax credits in the U.S. and the limitation of federal tax credits in Switzerland, caused by lower book income and a $1.9 million shortfall from stock-based compensation.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to income tax laws and regulations, in any of the tax jurisdictions in which the Company operates, could impact the effective tax rate. Various governments, both U.S. and non-U.S., are increasingly focused on tax reform and revenue-raising legislation. On July 4, 2025, the One Big Beautiful Bill Act (“OBBBA”) was enacted in the U.S. The OBBBA includes a number of significant provisions, including the permanent extension of certain expiring provisions of the 2017 Tax Cuts and Jobs Act. Additionally, the OBBBA contains changes to the capitalization of research and development expenses, accelerated fixed asset depreciation, and limitations on deductions for interest expense, among other provisions. The Company has evaluated the impact of the OBBBA on its financial statements and estimates the financial impact for the year ended December 31, 2025 to be approximately $4.4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legislation in foreign jurisdictions may be enacted, in continued response to the ongoing base erosion and profit-sharing (“BEPS”) project led by the Organization for Economic Cooperation and Development (“OECD”). The OECD released model rules related to a new 15% global minimum tax regime (“Pillar 2”). A number of the jurisdictions that the Company operates in have adopted some form of the model rules, which became effective beginning in 2024. The Pillar 2 rules are complex and provide for delays for implementing the tax during the early transition years, if certain conditions are met. The Company is calculating an immaterial expense related to Pillar 2 tax liability for the year ending December 31, 2025. Related changes in U.S. and non-U.S. jurisdictions could have an adverse effect on the Company’s effective tax rate. The Company will continue to monitor legislative activity across its U.S. and non-U.S.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 was as follows:</w:t>
      </w:r>
    </w:p>
    <w:tbl>
      <w:tblPr>
        <w:tblW w:w="10205" w:type="dxa"/>
        <w:jc w:val="left"/>
        <w:tblInd w:w="0" w:type="dxa"/>
        <w:tblLayout w:type="fixed"/>
        <w:tblCellMar>
          <w:top w:w="28" w:type="dxa"/>
          <w:left w:w="28" w:type="dxa"/>
          <w:bottom w:w="28" w:type="dxa"/>
          <w:right w:w="28" w:type="dxa"/>
        </w:tblCellMar>
      </w:tblPr>
      <w:tblGrid>
        <w:gridCol w:w="1548"/>
        <w:gridCol w:w="1355"/>
        <w:gridCol w:w="1360"/>
        <w:gridCol w:w="241"/>
        <w:gridCol w:w="774"/>
        <w:gridCol w:w="134"/>
        <w:gridCol w:w="134"/>
        <w:gridCol w:w="134"/>
        <w:gridCol w:w="134"/>
        <w:gridCol w:w="241"/>
        <w:gridCol w:w="885"/>
        <w:gridCol w:w="134"/>
        <w:gridCol w:w="109"/>
        <w:gridCol w:w="109"/>
        <w:gridCol w:w="109"/>
        <w:gridCol w:w="219"/>
        <w:gridCol w:w="901"/>
        <w:gridCol w:w="121"/>
        <w:gridCol w:w="121"/>
        <w:gridCol w:w="121"/>
        <w:gridCol w:w="121"/>
        <w:gridCol w:w="219"/>
        <w:gridCol w:w="800"/>
        <w:gridCol w:w="181"/>
      </w:tblGrid>
      <w:tr>
        <w:trPr/>
        <w:tc>
          <w:tcPr>
            <w:tcW w:w="1548"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2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Dollars in thousands, except per share amounts</w:t>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Basic net loss per share:</w:t>
            </w:r>
          </w:p>
        </w:tc>
        <w:tc>
          <w:tcPr>
            <w:tcW w:w="11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per common share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u w:val="single"/>
              </w:rPr>
            </w:pPr>
            <w:r>
              <w:rPr>
                <w:rFonts w:ascii="Times New Roman;serif" w:hAnsi="Times New Roman;serif"/>
                <w:b/>
                <w:color w:val="000000"/>
                <w:sz w:val="18"/>
                <w:u w:val="single"/>
              </w:rPr>
              <w:t>Diluted net loss per share:</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 Basic</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 and restricted stock</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for diluted earnings per share</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76,753 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76,448 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per common share</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by the weighted-average common shares outstanding during the period. Diluted earnings per share is computed based on the weighted-average common shares outstanding plus the effect of dilutive potential common shares outstanding during the period calculated using the treasury stock method. Dilutive potential common shares include employee equity share options, non-vested shares, and similar equity instruments granted by the Company. Potential common share equivalents have been excluded where their inclusion would be anti-dilutive. For periods in which the Company generated a net loss, the Company does not include the potential impact of dilutive securities in diluted net loss per share, as the impact of these items is anti-dilutive.</w:t>
      </w:r>
    </w:p>
    <w:p>
      <w:pPr>
        <w:pStyle w:val="TextBody"/>
        <w:bidi w:val="0"/>
        <w:spacing w:lineRule="auto" w:line="288" w:before="120" w:after="120"/>
        <w:jc w:val="both"/>
        <w:rPr/>
      </w:pPr>
      <w:r>
        <w:rPr>
          <w:rFonts w:ascii="Times New Roman;serif" w:hAnsi="Times New Roman;serif"/>
          <w:b w:val="false"/>
          <w:color w:val="000000"/>
          <w:sz w:val="20"/>
        </w:rPr>
        <w:t>Common stock of approximately 1.5 million and 1.3 million</w:t>
      </w:r>
      <w:r>
        <w:rPr>
          <w:color w:val="000000"/>
          <w:shd w:fill="FFFFFF" w:val="clear"/>
        </w:rPr>
        <w:t xml:space="preserve"> </w:t>
      </w:r>
      <w:r>
        <w:rPr>
          <w:rFonts w:ascii="Times New Roman;serif" w:hAnsi="Times New Roman;serif"/>
          <w:b w:val="false"/>
          <w:color w:val="000000"/>
          <w:sz w:val="20"/>
          <w:shd w:fill="FFFFFF" w:val="clear"/>
        </w:rPr>
        <w:t xml:space="preserve">shares at </w:t>
      </w:r>
      <w:r>
        <w:rPr>
          <w:rFonts w:ascii="Times New Roman;serif" w:hAnsi="Times New Roman;serif"/>
          <w:b w:val="false"/>
          <w:color w:val="000000"/>
          <w:sz w:val="20"/>
        </w:rPr>
        <w:t>September 30, 2025</w:t>
      </w:r>
      <w:r>
        <w:rPr>
          <w:color w:val="000000"/>
          <w:shd w:fill="FFFFFF" w:val="clear"/>
        </w:rPr>
        <w:t xml:space="preserve"> </w:t>
      </w:r>
      <w:r>
        <w:rPr>
          <w:rFonts w:ascii="Times New Roman;serif" w:hAnsi="Times New Roman;serif"/>
          <w:b w:val="false"/>
          <w:color w:val="000000"/>
          <w:sz w:val="20"/>
          <w:shd w:fill="FFFFFF" w:val="clear"/>
        </w:rPr>
        <w:t>and 2024, res</w:t>
      </w:r>
      <w:r>
        <w:rPr>
          <w:rFonts w:ascii="Times New Roman;serif" w:hAnsi="Times New Roman;serif"/>
          <w:b w:val="false"/>
          <w:color w:val="000000"/>
          <w:sz w:val="20"/>
        </w:rPr>
        <w:t>pectively, were not included in the computation of diluted net loss per share because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ACCUMULATED OTHER COMPREHENSIVE LOSS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Comprehensive loss for the three and nine months ended September 30, 2025 and 2024:</w:t>
      </w:r>
    </w:p>
    <w:tbl>
      <w:tblPr>
        <w:tblW w:w="9826" w:type="dxa"/>
        <w:jc w:val="left"/>
        <w:tblInd w:w="0" w:type="dxa"/>
        <w:tblLayout w:type="fixed"/>
        <w:tblCellMar>
          <w:top w:w="28" w:type="dxa"/>
          <w:left w:w="28" w:type="dxa"/>
          <w:bottom w:w="28" w:type="dxa"/>
          <w:right w:w="28" w:type="dxa"/>
        </w:tblCellMar>
      </w:tblPr>
      <w:tblGrid>
        <w:gridCol w:w="1518"/>
        <w:gridCol w:w="1332"/>
        <w:gridCol w:w="1335"/>
        <w:gridCol w:w="229"/>
        <w:gridCol w:w="740"/>
        <w:gridCol w:w="127"/>
        <w:gridCol w:w="127"/>
        <w:gridCol w:w="127"/>
        <w:gridCol w:w="127"/>
        <w:gridCol w:w="229"/>
        <w:gridCol w:w="846"/>
        <w:gridCol w:w="127"/>
        <w:gridCol w:w="109"/>
        <w:gridCol w:w="109"/>
        <w:gridCol w:w="109"/>
        <w:gridCol w:w="205"/>
        <w:gridCol w:w="851"/>
        <w:gridCol w:w="114"/>
        <w:gridCol w:w="114"/>
        <w:gridCol w:w="114"/>
        <w:gridCol w:w="114"/>
        <w:gridCol w:w="205"/>
        <w:gridCol w:w="757"/>
        <w:gridCol w:w="161"/>
      </w:tblGrid>
      <w:tr>
        <w:trPr/>
        <w:tc>
          <w:tcPr>
            <w:tcW w:w="1518"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(5,404)</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(10,695)</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(514,770)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(26,379)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unrealized (gain) loss on derivatives, net of tax</w:t>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liability adjustment, net of tax</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(6,472)</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(16,823)</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(519,174)</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(36,126)</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Changes in accumulated other comprehensive loss by component between December 31, 2024 and September 30, 2025 are presented in the table below, net of tax:</w:t>
      </w:r>
    </w:p>
    <w:tbl>
      <w:tblPr>
        <w:tblW w:w="10205" w:type="dxa"/>
        <w:jc w:val="left"/>
        <w:tblInd w:w="0" w:type="dxa"/>
        <w:tblLayout w:type="fixed"/>
        <w:tblCellMar>
          <w:top w:w="28" w:type="dxa"/>
          <w:left w:w="28" w:type="dxa"/>
          <w:bottom w:w="28" w:type="dxa"/>
          <w:right w:w="28" w:type="dxa"/>
        </w:tblCellMar>
      </w:tblPr>
      <w:tblGrid>
        <w:gridCol w:w="1329"/>
        <w:gridCol w:w="992"/>
        <w:gridCol w:w="994"/>
        <w:gridCol w:w="109"/>
        <w:gridCol w:w="109"/>
        <w:gridCol w:w="109"/>
        <w:gridCol w:w="339"/>
        <w:gridCol w:w="1118"/>
        <w:gridCol w:w="188"/>
        <w:gridCol w:w="109"/>
        <w:gridCol w:w="109"/>
        <w:gridCol w:w="109"/>
        <w:gridCol w:w="344"/>
        <w:gridCol w:w="978"/>
        <w:gridCol w:w="191"/>
        <w:gridCol w:w="109"/>
        <w:gridCol w:w="109"/>
        <w:gridCol w:w="109"/>
        <w:gridCol w:w="269"/>
        <w:gridCol w:w="960"/>
        <w:gridCol w:w="149"/>
        <w:gridCol w:w="109"/>
        <w:gridCol w:w="109"/>
        <w:gridCol w:w="109"/>
        <w:gridCol w:w="196"/>
        <w:gridCol w:w="689"/>
        <w:gridCol w:w="161"/>
      </w:tblGrid>
      <w:tr>
        <w:trPr/>
        <w:tc>
          <w:tcPr>
            <w:tcW w:w="13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and Losses on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Defined Benefit Pension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(58,211)</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(27,571)</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(27,637)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reclassified from accumulated other comprehensive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(30,742)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(23,233)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current-period other comprehensive (loss)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(51,727)</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(31,975)</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Company reclassified losses of $(35.7) million and $(0.3) million from AOCI to other income and cost of goods sold, respectively. Additionally, the Company reclassified a gain of $12.8 million from AOCI to interest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15. SEGMENT AND GEOGRAPHIC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organized primarily on the basis of products and operates two global reportable segments. Resources are allocated and performance is assessed by the Company’s President and Chief Executive Officer, which the Company has determined to be the Chief Operating Decision Maker (“CODM”).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two reportable segments and their activities are described below.</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Codman Specialty Surgical segment operations consist of (i) the Neurosurgery business, which sells a full line of products for neurosurgery and neuro critical care such as tissue ablation equipment, dural repair products, cerebral spinal fluid management devices, intracranial monitoring equipment, and cranial stabilization equipment; (ii) the Instruments business, which sells more than 40,000 instrument patterns and surgical and lighting products to hospitals, surgery centers, dental, podiatry, and veterinary offices; and (iii) the ENT business, which includes instrumentation, balloon technologies for sinus dilation and eustachian tube dilation, as well as surgical navigation systems.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The Tissue Technologies segment operations consists of Wound Reconstruction and Care business, which sells offerings such as skin and wound repair, plastics and surgical reconstruction products and nerve and tendon repair products. The Tissue Technologies segment also includes the Company’s private label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Corporate and Other category includes (i) various executive, finance, human resource, information systems and legal functions, (ii) brand management, and (iii) share-based compensation costs, which are not allocated to the reportable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both segments, the CODM uses segment revenue and segment operating income to assess the performance for each segment and in the annual budgeting and forecasting process. The CODM considers budget-to-actual variances on a quarterly basis for segment revenue and segment operating income when making decisions about allocating capital and personnel to the segments.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operating results of the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reportable segments.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Net sales and profit by each reportable segment for the three and nine months ended September 30, 2025 and 2024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tbl>
      <w:tblPr>
        <w:tblW w:w="12228" w:type="dxa"/>
        <w:jc w:val="left"/>
        <w:tblInd w:w="0" w:type="dxa"/>
        <w:tblLayout w:type="fixed"/>
        <w:tblCellMar>
          <w:top w:w="28" w:type="dxa"/>
          <w:left w:w="28" w:type="dxa"/>
          <w:bottom w:w="28" w:type="dxa"/>
          <w:right w:w="28" w:type="dxa"/>
        </w:tblCellMar>
      </w:tblPr>
      <w:tblGrid>
        <w:gridCol w:w="727"/>
        <w:gridCol w:w="295"/>
        <w:gridCol w:w="269"/>
        <w:gridCol w:w="196"/>
        <w:gridCol w:w="736"/>
        <w:gridCol w:w="109"/>
        <w:gridCol w:w="109"/>
        <w:gridCol w:w="109"/>
        <w:gridCol w:w="109"/>
        <w:gridCol w:w="206"/>
        <w:gridCol w:w="774"/>
        <w:gridCol w:w="11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06"/>
        <w:gridCol w:w="774"/>
        <w:gridCol w:w="116"/>
        <w:gridCol w:w="109"/>
        <w:gridCol w:w="109"/>
        <w:gridCol w:w="109"/>
        <w:gridCol w:w="196"/>
        <w:gridCol w:w="751"/>
        <w:gridCol w:w="109"/>
        <w:gridCol w:w="109"/>
        <w:gridCol w:w="109"/>
        <w:gridCol w:w="109"/>
        <w:gridCol w:w="196"/>
        <w:gridCol w:w="87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Codman Specialty Surgical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Codman Specialty Surgical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123,259 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511,365 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82,335 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390,301 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899,761 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384,284 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(145,612)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(61,168)</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228" w:type="dxa"/>
        <w:jc w:val="left"/>
        <w:tblInd w:w="0" w:type="dxa"/>
        <w:tblLayout w:type="fixed"/>
        <w:tblCellMar>
          <w:top w:w="28" w:type="dxa"/>
          <w:left w:w="28" w:type="dxa"/>
          <w:bottom w:w="28" w:type="dxa"/>
          <w:right w:w="28" w:type="dxa"/>
        </w:tblCellMar>
      </w:tblPr>
      <w:tblGrid>
        <w:gridCol w:w="727"/>
        <w:gridCol w:w="295"/>
        <w:gridCol w:w="269"/>
        <w:gridCol w:w="196"/>
        <w:gridCol w:w="736"/>
        <w:gridCol w:w="109"/>
        <w:gridCol w:w="109"/>
        <w:gridCol w:w="109"/>
        <w:gridCol w:w="109"/>
        <w:gridCol w:w="206"/>
        <w:gridCol w:w="774"/>
        <w:gridCol w:w="116"/>
        <w:gridCol w:w="109"/>
        <w:gridCol w:w="109"/>
        <w:gridCol w:w="109"/>
        <w:gridCol w:w="196"/>
        <w:gridCol w:w="751"/>
        <w:gridCol w:w="109"/>
        <w:gridCol w:w="109"/>
        <w:gridCol w:w="109"/>
        <w:gridCol w:w="109"/>
        <w:gridCol w:w="196"/>
        <w:gridCol w:w="736"/>
        <w:gridCol w:w="109"/>
        <w:gridCol w:w="109"/>
        <w:gridCol w:w="109"/>
        <w:gridCol w:w="109"/>
        <w:gridCol w:w="196"/>
        <w:gridCol w:w="736"/>
        <w:gridCol w:w="109"/>
        <w:gridCol w:w="109"/>
        <w:gridCol w:w="109"/>
        <w:gridCol w:w="109"/>
        <w:gridCol w:w="206"/>
        <w:gridCol w:w="774"/>
        <w:gridCol w:w="116"/>
        <w:gridCol w:w="109"/>
        <w:gridCol w:w="109"/>
        <w:gridCol w:w="109"/>
        <w:gridCol w:w="196"/>
        <w:gridCol w:w="751"/>
        <w:gridCol w:w="109"/>
        <w:gridCol w:w="109"/>
        <w:gridCol w:w="109"/>
        <w:gridCol w:w="109"/>
        <w:gridCol w:w="196"/>
        <w:gridCol w:w="871"/>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Codman Specialty Surgical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Codman Specialty Surgical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Tissue Technologies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110,052 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&amp;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cost and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242,569 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1,175,097 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96,335 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does not allocate any assets to the reportable segments. No asset information is reported to the CODM and disclosed in the financial information for each segment. The Company attributes revenues to geographic areas based on the location of the customer. Total revenue by major geographic area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tbl>
      <w:tblPr>
        <w:tblW w:w="7599" w:type="dxa"/>
        <w:jc w:val="center"/>
        <w:tblInd w:w="0" w:type="dxa"/>
        <w:tblLayout w:type="fixed"/>
        <w:tblCellMar>
          <w:top w:w="28" w:type="dxa"/>
          <w:left w:w="28" w:type="dxa"/>
          <w:bottom w:w="28" w:type="dxa"/>
          <w:right w:w="28" w:type="dxa"/>
        </w:tblCellMar>
      </w:tblPr>
      <w:tblGrid>
        <w:gridCol w:w="555"/>
        <w:gridCol w:w="487"/>
        <w:gridCol w:w="488"/>
        <w:gridCol w:w="235"/>
        <w:gridCol w:w="884"/>
        <w:gridCol w:w="131"/>
        <w:gridCol w:w="131"/>
        <w:gridCol w:w="131"/>
        <w:gridCol w:w="131"/>
        <w:gridCol w:w="235"/>
        <w:gridCol w:w="884"/>
        <w:gridCol w:w="131"/>
        <w:gridCol w:w="109"/>
        <w:gridCol w:w="109"/>
        <w:gridCol w:w="109"/>
        <w:gridCol w:w="205"/>
        <w:gridCol w:w="911"/>
        <w:gridCol w:w="114"/>
        <w:gridCol w:w="114"/>
        <w:gridCol w:w="114"/>
        <w:gridCol w:w="114"/>
        <w:gridCol w:w="205"/>
        <w:gridCol w:w="911"/>
        <w:gridCol w:w="16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856,646 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380,834 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1,167,881 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ordinary course of its business, the Company is involved in, from time to time, various legal actions, including any matters described below, involving product liability, employment, intellectual property and commercial disputes, shareholder related matters, environmental proceedings, tax disputes, and governmental proceedings and investigations, some of which have been settled by the Company. In the opinion of management, such matters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accrues for loss contingencies when it is deemed probable that a loss has been incurred and that loss is estimable. If the reasonable estimate of a probable loss is a range, and no amount within the range is a better estimate than any other, the minimum amount of the range is recorded. In most cases, significant judgment is required to estimate the amount and timing of a loss to be recorded and actual results may differ from these estimates.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On December 21, 2023, Fortis Advisors, LLC (representative of the security holders of ACell, Inc. (“ACell”)) filed for arbitration against Integra LifeSciences before the Court of International Arbitration of the International Chamber of Commerce claiming breach of contract related to the earnout consideration from the 2021 acquisition of ACell. Refer to the “Contingent Consideration” subheading of this Note for additional information on the ACell contingent consideration. The Company believes that it has strong defenses to the allegations in the arbitration and intends to defend the matter vigorously.</w:t>
      </w:r>
    </w:p>
    <w:p>
      <w:pPr>
        <w:pStyle w:val="TextBody"/>
        <w:bidi w:val="0"/>
        <w:spacing w:lineRule="auto" w:line="288" w:before="120" w:after="120"/>
        <w:jc w:val="both"/>
        <w:rPr/>
      </w:pPr>
      <w:r>
        <w:rPr>
          <w:rFonts w:ascii="Times New Roman;serif" w:hAnsi="Times New Roman;serif"/>
          <w:b w:val="false"/>
          <w:color w:val="000000"/>
          <w:sz w:val="20"/>
        </w:rPr>
        <w:t xml:space="preserve">On September 12, 2023, a securities class action complaint, captioned </w:t>
      </w:r>
      <w:r>
        <w:rPr>
          <w:rFonts w:ascii="Times New Roman;serif" w:hAnsi="Times New Roman;serif"/>
          <w:b w:val="false"/>
          <w:i/>
          <w:color w:val="000000"/>
          <w:sz w:val="20"/>
        </w:rPr>
        <w:t>Pembroke Pines Firefighters &amp; Police Officers Pension Fund v. Integra LifeSciences Holdings Corporation</w:t>
      </w:r>
      <w:r>
        <w:rPr>
          <w:rFonts w:ascii="Times New Roman;serif" w:hAnsi="Times New Roman;serif"/>
          <w:b w:val="false"/>
          <w:color w:val="000000"/>
          <w:sz w:val="20"/>
        </w:rPr>
        <w:t xml:space="preserve">, No. 23-cv-20321 (D.N.J.), was filed by a purported stockholder of the Company in the United States District Court for the District of New Jersey (the “Pembroke Litigation”) against the Company and certain of the Company’s current and former executive officers. The Pembroke Litigation, filed on behalf of a putative class of stockholders who purchased or acquired the Company’s common stock between March 11, 2019 and May 22, 2023, inclusive, alleges violations of Sections 10(b) and 20(a) of the Securities Exchange Act of 1934, as amended, and Rule 10b-5 promulgated thereunder, on the basis of purportedly materially false and misleading statements and omissions relating to certain quality systems issues identified by the FDA at the Company’s Boston facility, the Company’s efforts to remediate those issues, and the Company’s forecasts for certain products in its Tissue Technologies segment. The complaint seeks, among other things, compensatory damages, attorneys’ fees, expert fees, and other costs. The Company believes that it has strong defenses to the allegations in the Pembroke Litigation, and intends to continue to defend the matter vigorously. On July 1, 2025, the class action complaint was dismissed without prejudice. The plaintiffs filed a Second Amended Complaint on August 14, 2025. The Company has filed a motion to dismiss the Second Amended Complaint on October 14, 2025. </w:t>
      </w:r>
    </w:p>
    <w:p>
      <w:pPr>
        <w:pStyle w:val="TextBody"/>
        <w:bidi w:val="0"/>
        <w:spacing w:lineRule="auto" w:line="288" w:before="120" w:after="120"/>
        <w:jc w:val="both"/>
        <w:rPr/>
      </w:pPr>
      <w:r>
        <w:rPr>
          <w:rFonts w:ascii="Times New Roman;serif" w:hAnsi="Times New Roman;serif"/>
          <w:b w:val="false"/>
          <w:color w:val="000000"/>
          <w:sz w:val="20"/>
        </w:rPr>
        <w:t xml:space="preserve">On February 21, 2025, a derivative lawsuit captioned </w:t>
      </w:r>
      <w:r>
        <w:rPr>
          <w:rFonts w:ascii="Times New Roman;serif" w:hAnsi="Times New Roman;serif"/>
          <w:b w:val="false"/>
          <w:i/>
          <w:color w:val="000000"/>
          <w:sz w:val="20"/>
        </w:rPr>
        <w:t>Grabowsky v. Integra LifeSciences Holding Corp. et al,</w:t>
      </w:r>
      <w:r>
        <w:rPr>
          <w:color w:val="000000"/>
        </w:rPr>
        <w:t xml:space="preserve"> </w:t>
      </w:r>
      <w:r>
        <w:rPr>
          <w:rFonts w:ascii="Times New Roman;serif" w:hAnsi="Times New Roman;serif"/>
          <w:b w:val="false"/>
          <w:color w:val="000000"/>
          <w:sz w:val="20"/>
        </w:rPr>
        <w:t>No. 3:25-cv-01399 (D.N.J.) was filed in the United States District Court for the District of New Jersey. The action purports to assert derivative claims on behalf of the Company against its current Board of Directors and certain of its current or former officers and directors. The action asserts claims that the individual defendants breached their fiduciary duties and harmed the Company by making false and misleading statements and omissions relating to certain quality systems issues identified by the U.S. Food and Drug Administration (“FDA”) at the Company’s Boston facility, the Company’s efforts to remediate those issues, and the Company’s forecasts for certain products in its Tissue Technologies segment. On March 28, 2025, the derivative lawsuit was voluntarily dismissed by the plaintiff. On April 1, 2025 the lawsuit was dismissed with prejudice.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120" w:after="120"/>
        <w:jc w:val="both"/>
        <w:rPr/>
      </w:pPr>
      <w:r>
        <w:rPr>
          <w:rFonts w:ascii="Times New Roman;serif" w:hAnsi="Times New Roman;serif"/>
          <w:b w:val="false"/>
          <w:color w:val="000000"/>
          <w:sz w:val="20"/>
        </w:rPr>
        <w:t xml:space="preserve">On May 13, 2025 and May 16, 2025, derivative lawsuits captioned </w:t>
      </w:r>
      <w:r>
        <w:rPr>
          <w:rFonts w:ascii="Times New Roman;serif" w:hAnsi="Times New Roman;serif"/>
          <w:b w:val="false"/>
          <w:i/>
          <w:color w:val="000000"/>
          <w:sz w:val="20"/>
        </w:rPr>
        <w:t>Leverett v. Integra LifeSciences Holding Corp. et al,</w:t>
      </w:r>
      <w:r>
        <w:rPr>
          <w:color w:val="000000"/>
        </w:rPr>
        <w:t xml:space="preserve"> </w:t>
      </w:r>
      <w:r>
        <w:rPr>
          <w:rFonts w:ascii="Times New Roman;serif" w:hAnsi="Times New Roman;serif"/>
          <w:b w:val="false"/>
          <w:color w:val="000000"/>
          <w:sz w:val="20"/>
        </w:rPr>
        <w:t xml:space="preserve">No. 3:2025-cv-04214 (D.N.J.) and </w:t>
      </w:r>
      <w:r>
        <w:rPr>
          <w:rFonts w:ascii="Times New Roman;serif" w:hAnsi="Times New Roman;serif"/>
          <w:b w:val="false"/>
          <w:i/>
          <w:color w:val="000000"/>
          <w:sz w:val="20"/>
        </w:rPr>
        <w:t>Simpkins v. Integra LifeSciences Holding Corp. et al,</w:t>
      </w:r>
      <w:r>
        <w:rPr>
          <w:color w:val="000000"/>
        </w:rPr>
        <w:t xml:space="preserve"> </w:t>
      </w:r>
      <w:r>
        <w:rPr>
          <w:rFonts w:ascii="Times New Roman;serif" w:hAnsi="Times New Roman;serif"/>
          <w:b w:val="false"/>
          <w:color w:val="000000"/>
          <w:sz w:val="20"/>
        </w:rPr>
        <w:t>No. 3:2025-cv-04446 (D.N.J.) were filed in the United States District Court for the District of New Jersey. The actions purport to assert derivative claims on behalf of the Company against its current Board of Directors and certain of its current or former officers and directors. The actions assert claims that the individual defendants breached their fiduciary duties and harmed the Company by making false and misleading statements and omissions relating to certain quality systems issues identified by the U.S. Food and Drug Administration (“FDA”) at the Company’s Boston, Massachusetts manufacturing facility, the Company’s efforts to remediate those issues, and the Company’s forecasts for certain products in its Tissue Technologies segment. The Company believes that it has strong defenses to the allegations in the lawsuits and intends to defend the matters vigorously.</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Contingent Consideration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determined the fair value of contingent consideration during the nine month period ended September 30, 2025 and September 30, 2024 to reflect the change in estimate, additions, payments, transfers and the time value of money during each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 reconciliation of the opening balances to the closing balances of these Level 3 measurements for the nine months ended September 30, 2025 and September 30, 2024 is as follows (in thousands):</w:t>
      </w:r>
    </w:p>
    <w:tbl>
      <w:tblPr>
        <w:tblW w:w="10205" w:type="dxa"/>
        <w:jc w:val="center"/>
        <w:tblInd w:w="0" w:type="dxa"/>
        <w:tblLayout w:type="fixed"/>
        <w:tblCellMar>
          <w:top w:w="28" w:type="dxa"/>
          <w:left w:w="28" w:type="dxa"/>
          <w:bottom w:w="28" w:type="dxa"/>
          <w:right w:w="28" w:type="dxa"/>
        </w:tblCellMar>
      </w:tblPr>
      <w:tblGrid>
        <w:gridCol w:w="1042"/>
        <w:gridCol w:w="833"/>
        <w:gridCol w:w="839"/>
        <w:gridCol w:w="109"/>
        <w:gridCol w:w="109"/>
        <w:gridCol w:w="109"/>
        <w:gridCol w:w="208"/>
        <w:gridCol w:w="686"/>
        <w:gridCol w:w="115"/>
        <w:gridCol w:w="115"/>
        <w:gridCol w:w="115"/>
        <w:gridCol w:w="115"/>
        <w:gridCol w:w="269"/>
        <w:gridCol w:w="766"/>
        <w:gridCol w:w="149"/>
        <w:gridCol w:w="115"/>
        <w:gridCol w:w="115"/>
        <w:gridCol w:w="115"/>
        <w:gridCol w:w="208"/>
        <w:gridCol w:w="255"/>
        <w:gridCol w:w="115"/>
        <w:gridCol w:w="115"/>
        <w:gridCol w:w="115"/>
        <w:gridCol w:w="115"/>
        <w:gridCol w:w="487"/>
        <w:gridCol w:w="1598"/>
        <w:gridCol w:w="263"/>
        <w:gridCol w:w="196"/>
        <w:gridCol w:w="646"/>
        <w:gridCol w:w="168"/>
      </w:tblGrid>
      <w:tr>
        <w:trPr/>
        <w:tc>
          <w:tcPr>
            <w:tcW w:w="104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71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Acquisition of:</w:t>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ACell </w:t>
            </w:r>
            <w:r>
              <w:rPr>
                <w:rFonts w:ascii="Times New Roman;serif" w:hAnsi="Times New Roman;serif"/>
                <w:b/>
                <w:color w:val="000000"/>
                <w:sz w:val="12"/>
              </w:rPr>
              <w:t>(2)</w:t>
            </w:r>
          </w:p>
        </w:tc>
        <w:tc>
          <w:tcPr>
            <w:tcW w:w="23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2,686 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54,000 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(18,075)</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Change in fair value of contingent consideration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(10,525)</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31,938 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31,938 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18"/>
        <w:gridCol w:w="809"/>
        <w:gridCol w:w="814"/>
        <w:gridCol w:w="109"/>
        <w:gridCol w:w="109"/>
        <w:gridCol w:w="109"/>
        <w:gridCol w:w="203"/>
        <w:gridCol w:w="670"/>
        <w:gridCol w:w="112"/>
        <w:gridCol w:w="112"/>
        <w:gridCol w:w="112"/>
        <w:gridCol w:w="112"/>
        <w:gridCol w:w="267"/>
        <w:gridCol w:w="759"/>
        <w:gridCol w:w="148"/>
        <w:gridCol w:w="112"/>
        <w:gridCol w:w="112"/>
        <w:gridCol w:w="112"/>
        <w:gridCol w:w="203"/>
        <w:gridCol w:w="436"/>
        <w:gridCol w:w="112"/>
        <w:gridCol w:w="112"/>
        <w:gridCol w:w="112"/>
        <w:gridCol w:w="112"/>
        <w:gridCol w:w="474"/>
        <w:gridCol w:w="1566"/>
        <w:gridCol w:w="266"/>
        <w:gridCol w:w="196"/>
        <w:gridCol w:w="646"/>
        <w:gridCol w:w="171"/>
      </w:tblGrid>
      <w:tr>
        <w:trPr/>
        <w:tc>
          <w:tcPr>
            <w:tcW w:w="101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6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Nine Months Ended 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Contingent Consideration Liability Related to Acquisition of:</w:t>
            </w:r>
          </w:p>
        </w:tc>
        <w:tc>
          <w:tcPr>
            <w:tcW w:w="1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Arkis </w:t>
            </w:r>
            <w:r>
              <w:rPr>
                <w:rFonts w:ascii="Times New Roman;serif" w:hAnsi="Times New Roman;serif"/>
                <w:b/>
                <w:color w:val="000000"/>
                <w:sz w:val="12"/>
              </w:rPr>
              <w:t>(1)</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Derma Sciences </w:t>
            </w:r>
            <w:r>
              <w:rPr>
                <w:rFonts w:ascii="Times New Roman;serif" w:hAnsi="Times New Roman;serif"/>
                <w:b/>
                <w:color w:val="000000"/>
                <w:sz w:val="12"/>
              </w:rPr>
              <w:t>(2)</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ACell </w:t>
            </w:r>
            <w:r>
              <w:rPr>
                <w:rFonts w:ascii="Times New Roman;serif" w:hAnsi="Times New Roman;serif"/>
                <w:b/>
                <w:color w:val="000000"/>
                <w:sz w:val="12"/>
              </w:rPr>
              <w:t>(2)</w:t>
            </w:r>
          </w:p>
        </w:tc>
        <w:tc>
          <w:tcPr>
            <w:tcW w:w="23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Surgical Innovations Associates (SIA), Inc. </w:t>
            </w:r>
            <w:r>
              <w:rPr>
                <w:rFonts w:ascii="Times New Roman;serif" w:hAnsi="Times New Roman;serif"/>
                <w:b/>
                <w:color w:val="000000"/>
                <w:sz w:val="12"/>
              </w:rPr>
              <w:t>(2)</w:t>
            </w:r>
          </w:p>
        </w:tc>
        <w:tc>
          <w:tcPr>
            <w:tcW w:w="10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6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January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15,755 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68,700 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75,130 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 Accrued expenses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12,736 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2,694 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59,400 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75,130 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0" w:after="20"/>
        <w:jc w:val="left"/>
        <w:rPr>
          <w:rFonts w:ascii="Times New Roman;serif" w:hAnsi="Times New Roman;serif"/>
          <w:b w:val="false"/>
          <w:color w:val="000000"/>
          <w:sz w:val="14"/>
        </w:rPr>
      </w:pPr>
      <w:r>
        <w:rPr>
          <w:rFonts w:ascii="Times New Roman;serif" w:hAnsi="Times New Roman;serif"/>
          <w:b w:val="false"/>
          <w:color w:val="000000"/>
          <w:sz w:val="14"/>
        </w:rPr>
        <w:t>(1) Location in financial statements: Research and development</w:t>
      </w:r>
    </w:p>
    <w:p>
      <w:pPr>
        <w:pStyle w:val="TextBody"/>
        <w:bidi w:val="0"/>
        <w:spacing w:lineRule="auto" w:line="288" w:before="20" w:after="20"/>
        <w:jc w:val="left"/>
        <w:rPr>
          <w:rFonts w:ascii="Times New Roman;serif" w:hAnsi="Times New Roman;serif"/>
          <w:b w:val="false"/>
          <w:color w:val="000000"/>
          <w:sz w:val="14"/>
        </w:rPr>
      </w:pPr>
      <w:r>
        <w:rPr>
          <w:rFonts w:ascii="Times New Roman;serif" w:hAnsi="Times New Roman;serif"/>
          <w:b w:val="false"/>
          <w:color w:val="000000"/>
          <w:sz w:val="14"/>
        </w:rPr>
        <w:t>(2) Location in financial statements: Selling, general and administrative</w:t>
      </w:r>
    </w:p>
    <w:p>
      <w:pPr>
        <w:pStyle w:val="TextBody"/>
        <w:bidi w:val="0"/>
        <w:spacing w:before="20" w:after="20"/>
        <w:jc w:val="left"/>
        <w:rPr/>
      </w:pPr>
      <w:r>
        <w:rPr/>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Arkis BioSciences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Arkis BioSciences Inc. (“Arkis”), the Company is required to pay the former shareholders of Arkis up to $25.5 million based on the timing of certain development milestones of $10.0 million and commercial sales milestones of $15.5 million, respectively. The Company used a probability weighted income approach to calculate the fair value of the contingent consideration that considered the possible outcomes of scenarios related to each specified milestone. The Company estimated the fair value of the contingent consideration to be $13.1 million at the acquisition date. In the first quarter of 2025, the Company paid out a development milestone related to design verification procedures for $5.0 million.</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Derma Sciences,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assumed contingent consideration incurred by Derma Sciences, Inc. (“Derma Sciences”) related to its acquisitions of BioD, LLC and the intellectual property related to Medihoney® products. The Company accounted for the contingent liabilities by recording the fair value on the date of the acquisition based on a probability weighted income approach. The Company has already paid $33.3 million related to the aforementioned contingent liabilities. One contingent milestone remains, which relates to net sales of Medihoney products exceeding certain amounts defined in the agreement between the Company and Derma Sciences. The potential maximum undiscounted payment amounts to $3.0 million. </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ACell, Inc.</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As part of the acquisition of ACell, the Company is required to make payments to the former shareholders of ACell up to </w:t>
      </w:r>
      <w:r>
        <w:rPr>
          <w:rFonts w:ascii="Times New Roman;serif" w:hAnsi="Times New Roman;serif"/>
          <w:b w:val="false"/>
          <w:color w:val="000000"/>
          <w:sz w:val="20"/>
        </w:rPr>
        <w:t>$100.0 million</w:t>
      </w:r>
      <w:r>
        <w:rPr>
          <w:color w:val="000000"/>
          <w:shd w:fill="FFFFFF" w:val="clear"/>
        </w:rPr>
        <w:t xml:space="preserve"> </w:t>
      </w:r>
      <w:r>
        <w:rPr>
          <w:rFonts w:ascii="Times New Roman;serif" w:hAnsi="Times New Roman;serif"/>
          <w:b w:val="false"/>
          <w:color w:val="000000"/>
          <w:sz w:val="20"/>
          <w:shd w:fill="FFFFFF" w:val="clear"/>
        </w:rPr>
        <w:t xml:space="preserve">in total for years 2022, 2023, and 2025 based on the achievement by the Company of certain revenue-based performance milestones. </w:t>
      </w:r>
      <w:r>
        <w:rPr>
          <w:rFonts w:ascii="Times New Roman;serif" w:hAnsi="Times New Roman;serif"/>
          <w:b w:val="false"/>
          <w:color w:val="000000"/>
          <w:sz w:val="20"/>
        </w:rPr>
        <w:t>The Company estimated the fair value of the contingent consideration to be $23.9 million</w:t>
      </w:r>
      <w:r>
        <w:rPr>
          <w:color w:val="000000"/>
          <w:shd w:fill="FFFFFF" w:val="clear"/>
        </w:rPr>
        <w:t xml:space="preserve"> </w:t>
      </w:r>
      <w:r>
        <w:rPr>
          <w:rFonts w:ascii="Times New Roman;serif" w:hAnsi="Times New Roman;serif"/>
          <w:b w:val="false"/>
          <w:color w:val="000000"/>
          <w:sz w:val="20"/>
          <w:shd w:fill="FFFFFF" w:val="clear"/>
        </w:rPr>
        <w:t>at the acquisition date. The 2022 and 2023 milestones were not achieved, leaving only one contingent milestone remaining. The Company used iterations of the Monte Carlo simulation to calculate the fair value of the contingent consideration that considered the possible outcomes of scenarios related to each specific milestone.</w:t>
      </w:r>
    </w:p>
    <w:p>
      <w:pPr>
        <w:pStyle w:val="TextBody"/>
        <w:bidi w:val="0"/>
        <w:spacing w:lineRule="auto" w:line="288" w:before="120" w:after="12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Surgical Innovations Associates, Inc.</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part of the acquisition of Surgical Innovations Associates, Inc. (“SIA”), the Company is required to pay to the former shareholders of SIA up to $90.0 million for two separate payments, which are dependent on (1) achieving certain revenue-based performance milestones in 2023, 2024, and 2025 (up to $50.0 million in additional payments), as well as (2) the approval by the FDA of the pre-market approval ("PMA") application for DuraSorb for certain uses by certain timing targets (up to $40.0 million in additional payments). The Company estimated the fair value of the contingent consideration for the revenue based milestone to be $32.6 million at the acquisition date and $25.0 million for the PMA approval milestone at the acquisition date. In the second quarter of 2025, the Company paid out $18.1 million related to the 2024 performance year. Similarly, in the second quarter of 2024, the Company paid out $12.4 million related to the 2023 performance year. The Company used iterations of the Monte Carlo simulation to calculate the fair value of the contingent consideration for the revenue-based milestone that considered the possible outcomes of scenarios related to each specific milestone for the revenue based performance milestone. The Company used probabilities of achieving the conditions to calculate the fair value of the contingent consideration for the PMA approval milestone. The liability was adjusted in the third quarter of 2025 due to risk and uncertainty around timing of receiving the PMA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17. FAIR VALUE MEASUREMENTS</w:t>
      </w:r>
    </w:p>
    <w:p>
      <w:pPr>
        <w:pStyle w:val="TextBody"/>
        <w:bidi w:val="0"/>
        <w:spacing w:lineRule="auto" w:line="288" w:before="120" w:after="120"/>
        <w:jc w:val="both"/>
        <w:rPr/>
      </w:pPr>
      <w:r>
        <w:rPr>
          <w:rFonts w:ascii="Times New Roman;serif" w:hAnsi="Times New Roman;serif"/>
          <w:b w:val="false"/>
          <w:color w:val="000000"/>
          <w:sz w:val="20"/>
        </w:rPr>
        <w:t xml:space="preserve">FASB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w:t>
      </w:r>
      <w:r>
        <w:rPr>
          <w:color w:val="000000"/>
        </w:rPr>
        <w:t xml:space="preserve"> </w:t>
      </w:r>
      <w:r>
        <w:rPr>
          <w:rFonts w:ascii="Times New Roman;serif" w:hAnsi="Times New Roman;serif"/>
          <w:b w:val="false"/>
          <w:color w:val="000000"/>
          <w:sz w:val="20"/>
        </w:rPr>
        <w:t xml:space="preserve">defines fair value as the price that would be received to sell an asset or paid to transfer a liability in an orderly transaction between market participants at the measurement date. When determining fair value, the Company considers the principal or most advantageous market in which it would transact and considers assumptions that market participants would use when pricing the asset or liability.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Valuation techniques used to measure fair value should maximize the use of observable inputs and minimize the use of unobservable inputs. ASC 820 establishes a three-level hierarchy of the inputs (i.e., assumptions that market participants would use in pricing an asset or liability) used to measure fair value, giving the highest priority to quoted prices in active markets and the lowest priority to unobservable inputs in measuring fair value. The categorization within the valuation hierarchy is based on the lowest level of input that is significant to the entire fair value measurement. The three levels of the valuation hierarchy are defined as follows:</w:t>
      </w:r>
    </w:p>
    <w:p>
      <w:pPr>
        <w:pStyle w:val="TextBody"/>
        <w:bidi w:val="0"/>
        <w:spacing w:lineRule="auto" w:line="288" w:before="120" w:after="120"/>
        <w:jc w:val="both"/>
        <w:rPr/>
      </w:pPr>
      <w:r>
        <w:rPr>
          <w:rFonts w:ascii="Times New Roman;serif" w:hAnsi="Times New Roman;serif"/>
          <w:b/>
          <w:color w:val="000000"/>
          <w:sz w:val="20"/>
          <w:u w:val="single"/>
        </w:rPr>
        <w:t>Level 1</w:t>
      </w:r>
      <w:r>
        <w:rPr>
          <w:rFonts w:ascii="Times New Roman;serif" w:hAnsi="Times New Roman;serif"/>
          <w:b w:val="false"/>
          <w:color w:val="000000"/>
          <w:sz w:val="20"/>
        </w:rPr>
        <w:t>: Inputs to the valuation methodology are quoted prices in active markets for identical assets or liabilities.</w:t>
      </w:r>
    </w:p>
    <w:p>
      <w:pPr>
        <w:pStyle w:val="TextBody"/>
        <w:bidi w:val="0"/>
        <w:spacing w:lineRule="auto" w:line="288" w:before="120" w:after="120"/>
        <w:jc w:val="both"/>
        <w:rPr/>
      </w:pPr>
      <w:r>
        <w:rPr>
          <w:rFonts w:ascii="Times New Roman;serif" w:hAnsi="Times New Roman;serif"/>
          <w:b/>
          <w:color w:val="000000"/>
          <w:sz w:val="20"/>
          <w:u w:val="single"/>
        </w:rPr>
        <w:t>Level 2</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Inputs to the valuation methodology are other observable inputs, including quoted market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120"/>
        <w:jc w:val="both"/>
        <w:rPr/>
      </w:pPr>
      <w:r>
        <w:rPr>
          <w:rFonts w:ascii="Times New Roman;serif" w:hAnsi="Times New Roman;serif"/>
          <w:b/>
          <w:color w:val="000000"/>
          <w:sz w:val="20"/>
          <w:u w:val="single"/>
        </w:rPr>
        <w:t>Level 3</w:t>
      </w:r>
      <w:r>
        <w:rPr>
          <w:rFonts w:ascii="Times New Roman;serif" w:hAnsi="Times New Roman;serif"/>
          <w:b w:val="false"/>
          <w:color w:val="000000"/>
          <w:sz w:val="20"/>
        </w:rPr>
        <w:t>: Inputs to the valuation methodology are unobservable inputs that are supported by little or no market activity and are based on management’s best estimate of inputs market participants would use in pricing the asset or liability at the measurement date, including assumptions about risk.</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investments in time deposits that are classified within Level 1 of the fair value hierarchy because they are valued using quoted market prices, as well as certain debt obligations that are classified within Level 1 of the fair value hierarchy because they are valued using quoted market prices. The investments in time deposits are classified as cash and cash equivalents and short-term investments on the consolidated balance sheets which is determined based on maturities at the time of purchase and re-evaluated at each balance sheet date. </w:t>
      </w:r>
    </w:p>
    <w:p>
      <w:pPr>
        <w:pStyle w:val="TextBody"/>
        <w:bidi w:val="0"/>
        <w:spacing w:lineRule="auto" w:line="288" w:before="120" w:after="120"/>
        <w:jc w:val="both"/>
        <w:rPr/>
      </w:pPr>
      <w:r>
        <w:rPr>
          <w:rFonts w:ascii="Times New Roman;serif" w:hAnsi="Times New Roman;serif"/>
          <w:b w:val="false"/>
          <w:color w:val="000000"/>
          <w:sz w:val="20"/>
        </w:rPr>
        <w:t xml:space="preserve">The Company also has investments in derivative instruments, which are comprised of interest rate swaps, cross currency swaps, net investment hedges, and forward foreign currency contracts that are classified within Level 2 of the fair value hierarchy because they are valued using analyses obtained from independent third-party valuation specialists based on market observable inputs. The fair values of these derivative contracts represent the estimated amounts the Company would receive or pay to terminate the contracts. Refer to </w:t>
      </w:r>
      <w:r>
        <w:rPr>
          <w:rFonts w:ascii="Times New Roman;serif" w:hAnsi="Times New Roman;serif"/>
          <w:b w:val="false"/>
          <w:i/>
          <w:color w:val="000000"/>
          <w:sz w:val="20"/>
        </w:rPr>
        <w:t>Note 7. Derivative Instruments</w:t>
      </w:r>
      <w:r>
        <w:rPr>
          <w:color w:val="000000"/>
        </w:rPr>
        <w:t xml:space="preserve"> </w:t>
      </w:r>
      <w:r>
        <w:rPr>
          <w:rFonts w:ascii="Times New Roman;serif" w:hAnsi="Times New Roman;serif"/>
          <w:b w:val="false"/>
          <w:color w:val="000000"/>
          <w:sz w:val="20"/>
        </w:rPr>
        <w:t xml:space="preserve">for further discussion and information on these derivative contracts. </w:t>
      </w:r>
    </w:p>
    <w:p>
      <w:pPr>
        <w:pStyle w:val="TextBody"/>
        <w:bidi w:val="0"/>
        <w:spacing w:lineRule="auto" w:line="288" w:before="120" w:after="120"/>
        <w:jc w:val="both"/>
        <w:rPr/>
      </w:pPr>
      <w:r>
        <w:rPr>
          <w:rFonts w:ascii="Times New Roman;serif" w:hAnsi="Times New Roman;serif"/>
          <w:b w:val="false"/>
          <w:color w:val="000000"/>
          <w:sz w:val="20"/>
        </w:rPr>
        <w:t xml:space="preserve">In addition, the Company has contingent consideration liabilities that are classified within Level 3 of the fair value hierarchy because they are measured at fair value using significant unobservable inputs, including management’s forecast of future revenues for the acquired businesses as well as management’s estimates of the likelihood of achieving the other specified criteria. Refer to </w:t>
      </w:r>
      <w:r>
        <w:rPr>
          <w:rFonts w:ascii="Times New Roman;serif" w:hAnsi="Times New Roman;serif"/>
          <w:b w:val="false"/>
          <w:i/>
          <w:color w:val="000000"/>
          <w:sz w:val="20"/>
        </w:rPr>
        <w:t xml:space="preserve">Note 16. Commitments and Contingencies </w:t>
      </w:r>
      <w:r>
        <w:rPr>
          <w:rFonts w:ascii="Times New Roman;serif" w:hAnsi="Times New Roman;serif"/>
          <w:b w:val="false"/>
          <w:color w:val="000000"/>
          <w:sz w:val="20"/>
        </w:rPr>
        <w:t>for additional information on these contingent consideration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INTEGRA LIFESCIENCES HOLDINGS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UNAUDITED CONDENSED CONSOLIDATED FINANCIAL STATEMENTS (UNAUDITED) (continued) </w:t>
      </w:r>
    </w:p>
    <w:p>
      <w:pPr>
        <w:pStyle w:val="TextBody"/>
        <w:bidi w:val="0"/>
        <w:spacing w:before="120" w:after="120"/>
        <w:jc w:val="both"/>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and recorded at fair value on a recurring basis as of September 30, 2025 and December 31, 2024 consisted of the following:</w:t>
      </w:r>
    </w:p>
    <w:tbl>
      <w:tblPr>
        <w:tblW w:w="8896" w:type="dxa"/>
        <w:jc w:val="left"/>
        <w:tblInd w:w="0" w:type="dxa"/>
        <w:tblLayout w:type="fixed"/>
        <w:tblCellMar>
          <w:top w:w="28" w:type="dxa"/>
          <w:left w:w="28" w:type="dxa"/>
          <w:bottom w:w="28" w:type="dxa"/>
          <w:right w:w="28" w:type="dxa"/>
        </w:tblCellMar>
      </w:tblPr>
      <w:tblGrid>
        <w:gridCol w:w="1645"/>
        <w:gridCol w:w="1449"/>
        <w:gridCol w:w="1451"/>
        <w:gridCol w:w="385"/>
        <w:gridCol w:w="385"/>
        <w:gridCol w:w="386"/>
        <w:gridCol w:w="302"/>
        <w:gridCol w:w="1135"/>
        <w:gridCol w:w="168"/>
        <w:gridCol w:w="287"/>
        <w:gridCol w:w="1078"/>
        <w:gridCol w:w="225"/>
      </w:tblGrid>
      <w:tr>
        <w:trPr/>
        <w:tc>
          <w:tcPr>
            <w:tcW w:w="164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Fair Value </w:t>
              <w:br/>
              <w:t>Measurement</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232,186 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246,375 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investments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1</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35,693 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31,673 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48,795 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 (not designated as hedges)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300,794 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324,062 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Cross currency rate swaps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hedges</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94,174 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forward contracts</w:t>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Level 3</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183,146 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106,051 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transfers into or out of Level 3 during the three and nine months ended September 30, 2025 and 2024.</w:t>
      </w:r>
    </w:p>
    <w:p>
      <w:pPr>
        <w:pStyle w:val="TextBody"/>
        <w:bidi w:val="0"/>
        <w:spacing w:lineRule="auto" w:line="288" w:before="120" w:after="12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Assets and Liabilities Measured at Fair Value on a Non-Recurring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remeasures the fair value of certain assets and liabilities, including property, plant and equipment, operating lease - right of use assets, and goodwill and other intangible assets, upon the occurrence of certain events. The amounts recognized were recorded to remeasure the carrying amount of assets to the assets’ fair values, which were generally estimated, based upon a market participant’s perspective, using Level 3 measurements, including values estimated using the income approach.</w:t>
      </w:r>
    </w:p>
    <w:p>
      <w:pPr>
        <w:pStyle w:val="TextBody"/>
        <w:bidi w:val="0"/>
        <w:spacing w:lineRule="auto" w:line="288" w:before="120" w:after="120"/>
        <w:jc w:val="both"/>
        <w:rPr/>
      </w:pPr>
      <w:r>
        <w:rPr>
          <w:rFonts w:ascii="Times New Roman;serif" w:hAnsi="Times New Roman;serif"/>
          <w:b w:val="false"/>
          <w:color w:val="000000"/>
          <w:sz w:val="20"/>
        </w:rPr>
        <w:t xml:space="preserve">Other than the fair value estimates disclosed in </w:t>
      </w:r>
      <w:r>
        <w:rPr>
          <w:rFonts w:ascii="Times New Roman;serif" w:hAnsi="Times New Roman;serif"/>
          <w:b w:val="false"/>
          <w:i/>
          <w:color w:val="000000"/>
          <w:sz w:val="20"/>
        </w:rPr>
        <w:t>Note 2. Acquisitions and Divestitures</w:t>
      </w:r>
      <w:r>
        <w:rPr>
          <w:rFonts w:ascii="Times New Roman;serif" w:hAnsi="Times New Roman;serif"/>
          <w:b w:val="false"/>
          <w:color w:val="000000"/>
          <w:sz w:val="20"/>
        </w:rPr>
        <w:t xml:space="preserve">, </w:t>
      </w:r>
      <w:r>
        <w:rPr>
          <w:rFonts w:ascii="Times New Roman;serif" w:hAnsi="Times New Roman;serif"/>
          <w:b w:val="false"/>
          <w:i/>
          <w:color w:val="000000"/>
          <w:sz w:val="20"/>
        </w:rPr>
        <w:t>Note 5. Goodwill and Other Intangible Assets</w:t>
      </w:r>
      <w:r>
        <w:rPr>
          <w:rFonts w:ascii="Times New Roman;serif" w:hAnsi="Times New Roman;serif"/>
          <w:b w:val="false"/>
          <w:color w:val="000000"/>
          <w:sz w:val="20"/>
        </w:rPr>
        <w:t xml:space="preserve">, and </w:t>
      </w:r>
      <w:r>
        <w:rPr>
          <w:rFonts w:ascii="Times New Roman;serif" w:hAnsi="Times New Roman;serif"/>
          <w:b w:val="false"/>
          <w:i/>
          <w:color w:val="000000"/>
          <w:sz w:val="20"/>
        </w:rPr>
        <w:t>Note 10. Leases and Related Party Leases</w:t>
      </w:r>
      <w:r>
        <w:rPr>
          <w:rFonts w:ascii="Times New Roman;serif" w:hAnsi="Times New Roman;serif"/>
          <w:b w:val="false"/>
          <w:color w:val="000000"/>
          <w:sz w:val="20"/>
        </w:rPr>
        <w:t>, there were no non-recurring fair value measurements during the three and nine months ended September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of the Company’s financial condition and results of operations should be read in conjunction with our unaudited condensed consolidated financial statements and the related notes thereto appearing elsewhere in this Quarterly Report on Form 10-Q (this “Quarterly Report”) and our consolidated financial statements included in our Annual Report on Form 10-K for the year ended December 31,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have made statements in this Quarterly Report that constitute forward-looking statements within the meaning of Section 27A of the Securities Act of 1933, as amended and Section 21E of the Securities Exchange Act of 1934 (the “Exchange Act”). All statements other than statements of historical fact contained in this Quarterly Report, including, but not limited to, statements regarding our business strategy and plans, our growth and growth strategies, developments in the markets for our products and services, financial results, our planned product launches and effectiveness, our research and development strategy, regulatory approvals, our competitive strengths, objectives of management for future operations and current expectations or forecasts of future results, our expectations regarding the Boston facility and plans to operationalize the Company's manufacturing facility in Braintree, Massachusetts (“the Braintree facility”), our transition of the manufacture of SurgiMend® and PriMatrix® to the Braintree facility, our ability to obtain a pre-market approval (“PMA”) of SurgiMend PRS in implant-based breast reconstruction and to obtain a PMA for Durasorb® in 2026 for multiple indications for implant-based breast reconstruction, our expectations regarding the Compliance Master Plan (“the CMP”) implementation and engagement, our restructuring and cost-saving initiatives, our intellectual property rights, litigation and tax matters, governmental proceedings and investigations, mergers and acquisitions, divestitures, market acceptance of our products and services, accounting estimates, financing activities, ongoing contractual obligations and compliance with restrictive and financial covenants of our outstanding indebtedness, working capital adequacy, value of our investments, our effective tax rate, estimates regarding the impact of tariffs adopted or implemented by the U.S. or other countries on our business, financial condition and results of operations, our expected returns to shareholders, and our sales efforts, are forward-looking statements. In some cases, these forward-looking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statements may be identified by forward-looking words such as “believe,” “may,” “might,” “could,” “will,” “estimate,” “continue,” “anticipate,” “intend,” “seek,” “plan,” “expect,” “should,” “would” or the negative version of these words or other similar words and expressions in this Quarterly Report.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about the Company and other matters that may cause our actual results, performance, or achievements to be materially different from any future results, performance, or achievements expressed or implied by the forward-looking statements. We believe these risks include but are not limited to those described under the headings “Risk Factors” and “Special Note Regarding Forward-Looking Statements” in our Annual Report on Form 10-K for the year ended December 31, 2024 and in this Quarterly Report, as such factors may be updated from time to time in our periodic filings with the Securities and Exchange Commission (the “SEC”), which are accessible on the SEC’s website at https://www.sec.gov. Such risks and uncertainties include, but are not limited, to the following: the ongoing and possible future effects of global challenges, including macroeconomic uncertainties, inflation, supply chain disruptions, trade regulation and tariffs, political instability, violent conflicts, and other macroeconomic disruptions and U.S. and global recession concerns, on the Company’s customers and on the Company’s business, financial condition, results of operations and cash flows; the Company's ability to execute its operating plan effectively; the Company’s ability to successfully integrate acquired businesses; the Company’s ability to achieve sales growth in a timely fashion; the Company’s ability to manufacture and ship sufficient quantities of its products to meet its customers’ demands; the ability of third-party suppliers to supply us with raw materials and finished products; the Company’s ability to manage its direct sales channels effectively; the sales performance of third-party distributors on whom the Company relies to generate revenue for certain products and geographic regions; the Company’s ability to access and maintain relationships with customers of acquired entities and businesses; physicians’ willingness to adopt and third-party payors’ willingness to provide or maintain reimbursement for the Company’s recently launched, planned and existing products; initiatives launched by the Company's competitors; downward pricing pressures from customers; the Company's ability to secure regulatory approval for products in development; the Company’s ability to remediate quality systems violations; difficulties or delays in obtaining and maintaining required regulatory approvals related to the transition of manufacturing SurgiMend and PriMatrix to the Braintree facility and obtain PMA of SurgiMend PRS in implant-based breast reconstruction (“IBBR”); the possibility that costs or difficulties related to building and the operationalization of the Braintree facility or the transition of manufacturing activities from the Company’s Boston facility to the Braintree facility will be greater than expected; fluctuations in hospitals’ spending for capital equipment; the Company’s ability to comply with regulations regarding products of human origin and products containing materials derived from animal source; the impact of changes in management or staff levels; the impact of goodwill and intangible asset impairment charges if future operating results of acquired businesses are significantly less than the results anticipated at the time of the acquisitions, the Company’s ability to leverage its existing selling organizations and administrative infrastructure; the Company’s ability to increase product sales and gross margins, and control both product and non-product costs and expenses; the amount and timing of divestiture, acquisition and integration-related costs; the geographic distribution of where the Company generates its taxable income; new U.S. and foreign government laws and regulations, and changes in existing laws, regulations and enforcement guidance, which affect areas of our operations including, but not limited to, those affecting the health care industry, including the EU Medical Device Regulation (“EU MDR”); the scope, duration and effect of additional U.S. and international governmental, regulatory, fiscal, monetary and public health responses to public health crises; fluctuations in foreign currency exchange rates; the amount of our bank borrowings outstanding and other factors influencing liquidity; our ability to comply with the covenants under the agreements governing our indebtedness and the potential negative consequences caused by non-compliance; potential negative impacts resulting from environmental, social and governance matters; disruptions at the FDA, including due to a reduction in the FDA’s and CMS’ workforce and/or inadequate funding for the FDA or CMS; the impact of the U.S. government shutdown which began in October 2025 on our business operations; and the potential impact of our compliance with governmental regulations and accounting guidance.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based these forward-looking statements largely on our current expectations and projections about future events and financial trends that we believe may affect our business, results of operations, financial condition, and/or cash flows. These forward-looking statements speak only as of the date of this Quarterly Report and we undertake no obligation to publicly update or revise any forward-looking statements, whether as a result of new information, future events or otherwise, except to the extent required by applicable law. You should carefully consider forward-looking statements and understand that such forward-looking statements are inherently subject to risks and uncertainties, some of which cannot be predicted or quantified, and involve a variety of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Integra LifeSciences Holdings Corporation was founded in 1989 and is a leading global medical technology company innovating treatment pathways to advance patient outcomes and set new standards of surgical, neurologic, ear, nose, and throat (“ENT”) and tissue technologies. Our common stock trades on the Nasdaq Global Select Market under the symbol “IART.” We have developed numerous product lines from our technologies for applications ranging from burn and deep tissue wounds to the repair of dura mater in the brain, as well as nerves and tendons. We have expanded our base regenerative technology business to include ENT, surgical instruments, neurosurgical products and advanced wound care through global acquisitions and product development to meet the evolving needs of our customers and enhance patient care.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products are sold in more than 120 countries through a direct sales force as well as distributors and wholesalers. We manufacture and sell medical technologies and products in two reportable business segments: Codman Specialty Surgical (“CSS”) and Tissue Technologies (“TT”). The CSS segment, which represents approximately 70% of our total revenue, consists of market-leading technologies and instrumentation used for a wide range of specialties, such as neurosurgery, neurocritical care and otolaryngology. We are the world leader in neurosurgery and one of the top three providers in the U.S. in instruments used in precision, specialty, and general surgical procedures. Our TT segment generates approximately 30% of our overall revenue and focuses on three main areas: complex wound surgery, surgical reconstruction, and peripheral nerve repair.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key manufacturing and research facilities located in California, Maryland, Massachusetts, New Jersey, Ohio, Puerto Rico, Tennessee, Utah, France, Germany, Ireland, Israel and Switzerland. We source most of our handheld surgical instruments and dural sealant products through specialized third-party vendors.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strategies are focused around five pillars. Of these five pillars, three are core growth drivers: (1) innovating for outcomes, (2) growing internationally, and (3) broadening our impact on care pathways. Our execution of the core growth drivers is enabled by two additional pillars: (4) driving operational and customer excellence and (5) cultivating a high-performance culture. As outlined in greater detail below, we believe these five pillars will enable us to realize and advance our integrated growth strategy.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 this end, our executive leadership team has established the following key priorities aligned to our five pillars:</w:t>
      </w:r>
    </w:p>
    <w:p>
      <w:pPr>
        <w:pStyle w:val="TextBody"/>
        <w:bidi w:val="0"/>
        <w:spacing w:lineRule="auto" w:line="288" w:before="120" w:after="120"/>
        <w:jc w:val="both"/>
        <w:rPr/>
      </w:pPr>
      <w:r>
        <w:rPr>
          <w:rFonts w:ascii="Times New Roman;serif" w:hAnsi="Times New Roman;serif"/>
          <w:b w:val="false"/>
          <w:i/>
          <w:color w:val="000000"/>
          <w:sz w:val="20"/>
        </w:rPr>
        <w:t>Innovating for Outcomes</w:t>
      </w:r>
      <w:r>
        <w:rPr>
          <w:rFonts w:ascii="Times New Roman;serif" w:hAnsi="Times New Roman;serif"/>
          <w:b w:val="false"/>
          <w:color w:val="000000"/>
          <w:sz w:val="20"/>
        </w:rPr>
        <w:t>. An important part of our growth strategy is introducing new products to strengthen and expand our portfolio</w:t>
      </w:r>
      <w:r>
        <w:rPr>
          <w:color w:val="000000"/>
        </w:rPr>
        <w:t xml:space="preserve"> </w:t>
      </w:r>
      <w:r>
        <w:rPr>
          <w:rFonts w:ascii="Times New Roman;serif" w:hAnsi="Times New Roman;serif"/>
          <w:b w:val="false"/>
          <w:color w:val="000000"/>
          <w:sz w:val="20"/>
        </w:rPr>
        <w:t xml:space="preserve">through clinical evidence to support regulatory approval and strong reimbursement of our product portfolio around the world, including new indications for existing technologies. In 2021, we filed a PMA application for a specific indication for SurgiMend in the use of post-mastectomy IBBR. We currently anticipate PMA approval following the completion of the construction, successful pre-approval inspection and operationalization of our Braintree facility, which is expected in 2026. We are also pursuing a PMA for DuraSorb for indications in the use of IBBR. We completed enrollment and subject treatment for the DuraSorb U.S. investigational device exemption (“IDE”) clinical trial for two-stage breast reconstruction in 2023 and we continue to advance the PMA application. Currently, we hope to secure PMA approval for DuraSorb in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we expanded our urinary bladder matrix platform with the U.S. launch of MicroMatrix® Flex, a dual-syringe system enabling the convenient mixing and precise delivery of MicroMatrix paste to provide convenient access to hard-to-reach spaces and to help prepare an even surface in challenging wound areas.</w:t>
      </w:r>
    </w:p>
    <w:p>
      <w:pPr>
        <w:pStyle w:val="TextBody"/>
        <w:bidi w:val="0"/>
        <w:spacing w:lineRule="auto" w:line="288" w:before="120" w:after="120"/>
        <w:jc w:val="both"/>
        <w:rPr/>
      </w:pPr>
      <w:r>
        <w:rPr>
          <w:rFonts w:ascii="Times New Roman;serif" w:hAnsi="Times New Roman;serif"/>
          <w:b w:val="false"/>
          <w:color w:val="000000"/>
          <w:sz w:val="20"/>
        </w:rPr>
        <w:t>Additionally, in 2024,</w:t>
      </w:r>
      <w:r>
        <w:rPr>
          <w:color w:val="000000"/>
          <w:shd w:fill="FFFFFF" w:val="clear"/>
        </w:rPr>
        <w:t xml:space="preserve"> </w:t>
      </w:r>
      <w:r>
        <w:rPr>
          <w:rFonts w:ascii="Times New Roman;serif" w:hAnsi="Times New Roman;serif"/>
          <w:b w:val="false"/>
          <w:color w:val="000000"/>
          <w:sz w:val="20"/>
          <w:shd w:fill="FFFFFF" w:val="clear"/>
        </w:rPr>
        <w:t>we successfully re-launched our CereLink</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rPr>
        <w:t>intracranial pressure (“ICP”)</w:t>
      </w:r>
      <w:r>
        <w:rPr>
          <w:color w:val="000000"/>
          <w:shd w:fill="FFFFFF" w:val="clear"/>
        </w:rPr>
        <w:t xml:space="preserve"> </w:t>
      </w:r>
      <w:r>
        <w:rPr>
          <w:rFonts w:ascii="Times New Roman;serif" w:hAnsi="Times New Roman;serif"/>
          <w:b w:val="false"/>
          <w:color w:val="000000"/>
          <w:sz w:val="20"/>
          <w:shd w:fill="FFFFFF" w:val="clear"/>
        </w:rPr>
        <w:t>monitor system. CereLink provides advanced continuous ICP monitoring when treating patients with traumatic brain injuries and offers enhanced accuracy, usability and advanced data presentation compared to other leading ICP monitoring systems.</w:t>
      </w:r>
    </w:p>
    <w:p>
      <w:pPr>
        <w:pStyle w:val="TextBody"/>
        <w:bidi w:val="0"/>
        <w:spacing w:lineRule="auto" w:line="288" w:before="120" w:after="120"/>
        <w:jc w:val="both"/>
        <w:rPr/>
      </w:pPr>
      <w:r>
        <w:rPr>
          <w:rFonts w:ascii="Times New Roman;serif" w:hAnsi="Times New Roman;serif"/>
          <w:b w:val="false"/>
          <w:i/>
          <w:color w:val="000000"/>
          <w:sz w:val="20"/>
        </w:rPr>
        <w:t xml:space="preserve">Growing Internationally. </w:t>
      </w:r>
      <w:r>
        <w:rPr>
          <w:rFonts w:ascii="Times New Roman;serif" w:hAnsi="Times New Roman;serif"/>
          <w:b w:val="false"/>
          <w:color w:val="000000"/>
          <w:sz w:val="20"/>
        </w:rPr>
        <w:t>Over the years, we have significantly expanded our global footprint by investing in our commercial and manufacturing operations, as well as introducing new products. In the last two years, we have expanded our presence in key markets such as Southeast Asia, India, South Korea and Brazil. As part of our In-China-For-China strategy, we continue to build out our assembly capabilities in our facility in Suzhou, China. In 2023 and 2024, DuraGen Plus, an absorbable and sutureless collagen onlay indicated as a dura substitute for the repair of dura mater, and Certas Plus were approved in China. Several new products were also introduced in select international markets in 2023 and 2024, including MicroMatrix and Certas Plus® Programmable Valve (MDR certification), which were launched in Europe, and CUSA Clarity laparoscopic tip, which was launched in Australia, New Zealand, Japan, Canada, Brazil, South Africa and Israel. In 2025, Cerelink received approval in Brazil, Philippines, UAE, Albania and India.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pPr>
      <w:r>
        <w:rPr>
          <w:rFonts w:ascii="Times New Roman;serif" w:hAnsi="Times New Roman;serif"/>
          <w:b w:val="false"/>
          <w:i/>
          <w:color w:val="000000"/>
          <w:sz w:val="20"/>
        </w:rPr>
        <w:t>Broadening Impact on Care Pathways</w:t>
      </w:r>
      <w:r>
        <w:rPr>
          <w:rFonts w:ascii="Times New Roman;serif" w:hAnsi="Times New Roman;serif"/>
          <w:b w:val="false"/>
          <w:color w:val="000000"/>
          <w:sz w:val="20"/>
        </w:rPr>
        <w:t xml:space="preserve">. We seek ways to develop and acquire products and technologies that impact the lives of patients, starting with the journey that a patient takes from diagnosis and treatment planning to surgery and postoperative care. We are well-established in acute care settings and continue to leverage that strong position to grow in this segment and shape treatment pathways into preoperative care and additional sites of care. In April 2024, we successfully completed the acquisition of Acclarent, Inc. (“Acclarent”). Acclarent is an innovator and market leader in ENT procedures and the acquisition of Acclarent has positioned us as one of the leading providers of ENT products and technologies. Furthermore, we believe that, owing to the ENT business being an anatomical adjacency to neurosurgery, Acclarent will allow us to deliver future innovation both within the ENT business and across our other CSS technology platforms. </w:t>
      </w:r>
    </w:p>
    <w:p>
      <w:pPr>
        <w:pStyle w:val="TextBody"/>
        <w:bidi w:val="0"/>
        <w:spacing w:lineRule="auto" w:line="288" w:before="120" w:after="120"/>
        <w:jc w:val="both"/>
        <w:rPr/>
      </w:pPr>
      <w:r>
        <w:rPr>
          <w:rFonts w:ascii="Times New Roman;serif" w:hAnsi="Times New Roman;serif"/>
          <w:b w:val="false"/>
          <w:i/>
          <w:color w:val="000000"/>
          <w:sz w:val="20"/>
        </w:rPr>
        <w:t xml:space="preserve">Driving Operations and Customer Excellence. </w:t>
      </w:r>
      <w:r>
        <w:rPr>
          <w:rFonts w:ascii="Times New Roman;serif" w:hAnsi="Times New Roman;serif"/>
          <w:b w:val="false"/>
          <w:color w:val="000000"/>
          <w:sz w:val="20"/>
        </w:rPr>
        <w:t xml:space="preserve">We have been steadily advancing our initiatives to build more responsive and scalable processes, enhance the reliability of our quality systems and supply chain, and drive productivity to further our supply and lower costs. We continue to invest in technologies, systems and processes to enhance the customer experience. We are also committed to our capacity expansion. We have progressed in the transfer from our Boston facility to our Braintree facility, as well as expanding capacity at our manufacturing facility in Plainsboro, New Jersey. In an effort to enhance our manufacturing flexibility and resilience, we entered into a new third-party manufacturing agreement, which allowed us to relaunch PriMatrix and Durepair ahead of previously disclosed timelines. Both products are now currently available to our customers. Additionally, we are implementing the CMP, a systematic and holistic approach to improving our quality management system across our manufacturing and supply network. The primary objectives of the CMP are to remediate quality system gaps, harmonize the quality management system and enhance the quality culture across the Company. </w:t>
      </w:r>
    </w:p>
    <w:p>
      <w:pPr>
        <w:pStyle w:val="TextBody"/>
        <w:bidi w:val="0"/>
        <w:spacing w:lineRule="auto" w:line="288" w:before="120" w:after="120"/>
        <w:jc w:val="both"/>
        <w:rPr/>
      </w:pPr>
      <w:r>
        <w:rPr>
          <w:rFonts w:ascii="Times New Roman;serif" w:hAnsi="Times New Roman;serif"/>
          <w:b w:val="false"/>
          <w:i/>
          <w:color w:val="000000"/>
          <w:sz w:val="20"/>
        </w:rPr>
        <w:t xml:space="preserve">Cultivating a High-Performance Culture. </w:t>
      </w:r>
      <w:r>
        <w:rPr>
          <w:rFonts w:ascii="Times New Roman;serif" w:hAnsi="Times New Roman;serif"/>
          <w:b w:val="false"/>
          <w:color w:val="000000"/>
          <w:sz w:val="20"/>
        </w:rPr>
        <w:t>In seeking to sustain a culture of excellence and accountability, we focus on employee empowerment, professional development and building an environment where all employees can contribute to their fullest potential. These efforts have been recognized through our inclusion in several best workplace lists globally. We continue to advance our broader organizational sustainability initiatives, and published our annual environmental, social and governance (“ESG”) report in the third quarter of 2025. For more information on our ESG strategy, goals, performance, and achievements, please visit “Our Company—ESG Report” at https://www.integralife.com/esg-report. Information on our website is not incorporated by reference herein and is not part of this Quarterly Report on Form 10-Q.</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New Product Introductions and Research and Development Updates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continue to invest in collecting clinical evidence to support our existing products and new product launches, and to ensure that we obtain market access for broader and more cost-effective solutions.</w:t>
      </w:r>
    </w:p>
    <w:p>
      <w:pPr>
        <w:pStyle w:val="TextBody"/>
        <w:bidi w:val="0"/>
        <w:spacing w:lineRule="auto" w:line="288" w:before="120" w:after="120"/>
        <w:jc w:val="both"/>
        <w:rPr/>
      </w:pPr>
      <w:r>
        <w:rPr>
          <w:rFonts w:ascii="Times New Roman;serif" w:hAnsi="Times New Roman;serif"/>
          <w:b w:val="false"/>
          <w:i/>
          <w:color w:val="000000"/>
          <w:sz w:val="20"/>
        </w:rPr>
        <w:t>Neurosurgical Solutions, Surgical Instruments, and ENT Solutions.</w:t>
      </w:r>
      <w:r>
        <w:rPr>
          <w:color w:val="000000"/>
        </w:rPr>
        <w:t xml:space="preserve"> </w:t>
      </w:r>
      <w:r>
        <w:rPr>
          <w:rFonts w:ascii="Times New Roman;serif" w:hAnsi="Times New Roman;serif"/>
          <w:b w:val="false"/>
          <w:color w:val="000000"/>
          <w:sz w:val="20"/>
        </w:rPr>
        <w:t>The CSS neurosurgical business consists of a broad portfolio of market-leading brands, such as Codman®, DuraGen, DuraSeal®, CUSA®, CereLink, Mayfield®, Bactiseal®, and Certas Plus, which are used for the management of multiple disease states, including brain tumors, traumatic brain injury, hydrocephalus and other neurological conditions. The growth in this business in recent years has been fueled by geographic expansion and new product registrations in markets such as China, Japan, and Europe, which we expect to continue in the near-to-long term. Because our electromechanical products and instruments address significant needs in surgical procedures and limit uncertainty for surgeons, we continue to invest in registrations, clearances, and approvals for new indications and next generation improvements to our market-leading products. We have several active programs focused on life cycle management and innovation for capital and disposable products in our portfolio. Our product development efforts are focused on core clinical applications in cerebrospinal fluid management, neuro critical care monitoring, minimally invasive instruments and electrosurgery and ultrasonic medical technologies, as well as our ambition to transform the standard of care in neurosurgery with product advancements in minimally invasive surgery and the surgical management of intracerebral hemorrhage.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continue to advance the early-stage technology platforms we acquired in 2019. Through the acquisition of Arkis Biosciences, Inc. (“Arkis”) we added a platform technology, CerebroFlo® external ventricular drainage (“EVD”), a catheter with Endexo® technology. The Endexo polymer in polyurethane is a permanent additive which has shown to be effective in reducing platelet adhesion in-vitro, reducing thrombus accumulation in-vitro and in vivo, and reducing the clinical incidence of thrombus formation. The CerebroFlo EVD catheter has demonstrated an average of 99% less thrombus accumulation onto its surface, in vitro, compared to a market leading EVD catheter. Our work to combine our Bactiseal antimicrobial technology with the Endexo anti-occlusive technology continues to progress for both a silicone-based hydrocephalus and EVD product.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also continue to advance our innovation from 2019 acquisition of Rebound Therapeutics Corporation (“Rebound Therapeutics”). Rebound Therapeutics specializes in a single-use medical device, known as the Aurora® Surgiscope, which is the only tubular retractor system designed for cranial surgery with an integrated access channel, camera and lighting. The 15mm x 60mm and 15mm x 80mm Aurora Surgiscope System received 510(k) clearance from the FDA in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2024 we acquired Acclarent, expanding our capabilities in the U.S. ENT market. Acclarent pioneered the balloon sinuplasty market and has a broad portfolio including the RELIEVA SPINPLUS® Balloon Sinuplasty System. Acclarent also pioneered eustachian tube balloon dilation and currently markets the AERA® Eustachian Tube Dilation System, which received 510(k) clearance for expanded pediatric indications in 2023. In addition, Acclarent sells the TruDi® Navigation System,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includes a portfolio of navigated surgical instrumentation. In July 2025, we announced the inaugural enrollment of the first patient in the Acclarent AERA Pediatric Registry, a prospective, multi-center observational registry evaluating the real-world use of the AERA Eustachian Tube Balloon Dilation System in children. This marks the focused effort to measure the ongoing, clinical performance of AERA in pediatric patients with obstructive Eustachian tube dysfunction. The registry is designed to capture both safety and efficacy outcomes for up to 300 pediatric patients who undergo Eustachian tube balloon dilation using AERA.</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we acquired the product rights for Durepair Dural Regeneration Matrix, a suturable dural graft which complements our portfolio of dural grafts and sealants, and subsequently launched the product for commercial sale in the U.S. in October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Mayfield® Ghost Base Unit Post launched in the U.S., which is designed to help provide clear visualization of anatomical structure and to support surgical accuracy and patient positioning.</w:t>
      </w:r>
    </w:p>
    <w:p>
      <w:pPr>
        <w:pStyle w:val="TextBody"/>
        <w:bidi w:val="0"/>
        <w:spacing w:lineRule="auto" w:line="288" w:before="120" w:after="120"/>
        <w:jc w:val="both"/>
        <w:rPr/>
      </w:pPr>
      <w:r>
        <w:rPr>
          <w:rFonts w:ascii="Times New Roman;serif" w:hAnsi="Times New Roman;serif"/>
          <w:b w:val="false"/>
          <w:i/>
          <w:color w:val="000000"/>
          <w:sz w:val="20"/>
        </w:rPr>
        <w:t>Regenerative Technologies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We were the first company to receive FDA approval for regeneration of dermal tissue and are a world leader in regenerative technology. Our regenerative technology development program applies our expertise in bioengineering to a range of biomaterials including natural materials such as purified collagen, intact human or animal tissues, honey as well as resorbable synthetic polymers with our DuraSorb and DuraSeal product lines. These unique product designs are used for neurosurgical and reconstructive surgical applications, as well as dermal regeneration, including the management of chronic and acute wounds, tendon and nerve repair. Our regenerative technology platform includes our legacy Integra® Dermal Regeneration Template (“IDRT”) products and complementary technologies that we have acquired. Our collagen manufacturing capability, combined with our history of innovation, provides us with strong platform technologies for multiple indications.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2021, we filed a PMA application for a specific indication for SurgiMend for use in post-mastectomy IBBR and in 2024 received approvable pending Good Manufacturing Practice (“GMP”) status from the FDA, which approved and closed out the clinical portion of this PMA application. We anticipate PMA approval following successful closeout of the GMP deficiencies, pre-approval inspection, and operationalization of the Braintree facility, which is expected in 2026.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2022, we acquired SIA, which also submitted a PMA application for multiple indications for DuraSorb for use in IBBR. In 2023 we completed enrollment in the DuraSorb U.S. IDE clinical trial for two-stage breast reconstruction, and since then have completed treatment and follow up of all subjects as we continue to advance the PMA application. Currently, we hope to secure PMA approval for DuraSorb in 2026. By offering two distinct product solutions for multiple indications, we believe we have the opportunity to build a leading position in the IBBR market.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2024, MicroMatrix Flex, used in the management of wounds with hard-to-reach geometries, such as deep wounds that present with tunneling or undermining, became commercially available in the U.S.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European Union Medical Device Regulation Updates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work towards certifying our products under the EU MDR. In recent years, we received EU MDR certification in our CSS segment for Hakim Programmable Valves, Certas Plus with and without Bactiseal catheters, Surgical Patties and Strips, DuraSeal Dural, and DuraGen Suturable, as well as IDRT, BioPatch, MicroMatrix, and Cytal in our TT segment. Although we do not currently anticipate any significant disruption to our commercial activities in Europe related to EU MDR, we cannot provide assurance of our ability to timely comply with all applicable requirements of EU MDR and our failure to meet the applicable EU MDR requirements could adversely impact our business in the EU and other regions that tie their product registrations to the EU requirements.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FDA Matters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19, 2024, the Company received a warning letter from the FDA (the “2024 Warning Letter”). The 2024 Warning Letter relates to quality system issues identified during FDA inspections at three of the Company’s facilities located in Mansfield, Massachusetts; Plainsboro, New Jersey; and Princeton, New Jersey. The 2024 Warning Letter did not identify any new observations that had not already been provided in the Form 483s previously issued to the Company by the FDA at the conclusion of its three inspections in June and August of 2024 (the “2024 Form 483s”). In the 2024 Form 483s, the FDA deemed certain of the Company's devices, including cranial perforators, disposable cottonoid patties and strips, and collagen-based products, to be out of compliance with respect to quality system regulations. At that time, the Company took a number of voluntary actions including the initiation of shipping holds for several products and a voluntary recall of the disposable patties and strips. The 2024 Warning Letter does not restrict the Company’s ability to manufacture or ship products, require recall of any products, nor restrict the Company’s ability to seek FDA 510(k) clearance of products. The 2024 Warning Letter states that premarket approval applications for Class III devices to which the quality system regulation violations are reasonably related will not be approved until the violations have been corrected. The Company has submitted several responses to the 2024 Form 483s issued to each of the three manufacturing facilities to the FDA and has submitted several updates to the 2024 Warning Letter throughout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7, 2019, TEI Biosciences, Inc. (“TEI”), one of our wholly-owned subsidiaries, received a Warning Letter (the “2019 Warning Letter”), dated March 6, 2019, from the FDA. The 2019 Warning Letter was related to quality systems issues at TEI’s manufacturing facility located in Boston, Massachusetts (the “Boston facility”). The Boston facility manufactured extracellular bovine matrix products in our TT segment that were sold both in wound reconstruction and care and surgical reconstruction franchises, and in private label channels. The 2019 Warning Letter resulted from an inspection held at the Boston facility in October and November 2018 and did not identify any new observations that were not already provided in the Form 483 that followed the inspection. We submitted our initial response to the 2019 Warning Letter on March 28, 2019 and provide regular progress reports to the FDA as to our corrective actions. On October 28, 2021, the FDA initiated an inspection of the Boston facility and at the conclusion of the inspection, issued an FDA Form 483 on November 12, 2021 (the “2021 Form 483”). On March 1, 2023, the FDA commenced an inspection of the Boston facility and issued an FDA Form 483 at the conclusion of this inspection (the “2023 Form 483”). In May 2023, after consultation with the FDA, the Company initiated a voluntary global recall of all products manufactured at the Boston facility, including PriMatrix, SurgiMend, Revize™, and TissueMend™, distributed between March 1, 2018 and May 22, 2023 (the “Boston recall”). On July 19, 2023, TEI received a Warning Letter, dated July 17, 2023, from the FDA related to quality system issues at the Boston facility (the “2023 Warning Letter”). The 2023 Warning Letter did not identify any new observations that had not already been provided in the 2023 Form 483. The Company has submitted periodic responses to the FDA for both the 2023 Form 483 and the 2023 Warning Letter. We are committed to resolving the matters identified in the warning letters and Form 483s and are continuing significant efforts to remediate the observations.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warning letters do not restrict the Company’s ability to seek FDA 510(k) clearance of products, PMAs for Class III devices to which the quality system regulation violations are reasonably related will not be approved until the violations have been addressed. Following its assessment of the results of a third-party audit of the Boston facility, the Company announced in the second quarter of 2024 that it no longer planned to restart the manufacture of PriMatrix and SurgiMend at its Boston facility. The restart of the manufacturing of SurgiMend will occur at the Company's new tissue manufacturing facility in Braintree, Massachusetts (the “Braintree transition”). The Company anticipates the Braintree facility to be operational in 2026. In addition, the Company entered into a new third-party manufacturing agreement, which facilitated the relaunch of PriMatrix, as well as Durepair Dural Regeneration Matrix, ahead of previously disclosed timelines.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cannot give any assurances that the FDA will be satisfied with our response to the issues identified by the FDA in any of the foregoing Form 483s or warning letters or as to the expected date of the resolution of such issues. Until the issues cited by the FDA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Optimization and Integration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our ongoing acquisition strategy and significant growth in recent years, we have undertaken cost-saving initiatives to consolidate manufacturing operations, distribution facilities and transfer activities, eliminate duplicative positions, realign various sales and marketing activities, and expand and upgrade production capacity for our regenerative technology products. These efforts are expected to continue and while we expect a positive impact from ongoing restructuring, integration, and manufacturing transfer and expansion activities, such results remain uncertain.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a result of audits and inspections by regulatory agencies as well as our own review of the Company’s quality management system, we are in the process of implementing the enterprise-wide CMP, a systematic and holistic approach to improving our quality management system across our manufacturing and supply network. The primary objectives of the CMP are to remediate quality system gaps, harmonize the quality management system and enhance the quality culture across the Company. The Company has completed baseline audits across all manufacturing facilities, conducted CMP training, and has made significant progress in its prioritized work streams.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Net loss for the </w:t>
      </w:r>
      <w:r>
        <w:rPr>
          <w:rFonts w:ascii="Times New Roman;serif" w:hAnsi="Times New Roman;serif"/>
          <w:b w:val="false"/>
          <w:color w:val="000000"/>
          <w:sz w:val="20"/>
        </w:rPr>
        <w:t xml:space="preserve">three and nine </w:t>
      </w:r>
      <w:r>
        <w:rPr>
          <w:rFonts w:ascii="Times New Roman;serif" w:hAnsi="Times New Roman;serif"/>
          <w:b w:val="false"/>
          <w:color w:val="000000"/>
          <w:sz w:val="20"/>
          <w:shd w:fill="FFFFFF" w:val="clear"/>
        </w:rPr>
        <w:t xml:space="preserve">months ended September 30, 2025 was $(5.4) million and $(514.8) million, or $(0.07) and </w:t>
      </w:r>
      <w:r>
        <w:rPr>
          <w:rFonts w:ascii="Times New Roman;serif" w:hAnsi="Times New Roman;serif"/>
          <w:b w:val="false"/>
          <w:color w:val="000000"/>
          <w:sz w:val="20"/>
        </w:rPr>
        <w:t>(6.72)</w:t>
      </w:r>
      <w:r>
        <w:rPr>
          <w:color w:val="000000"/>
          <w:shd w:fill="FFFFFF" w:val="clear"/>
        </w:rPr>
        <w:t xml:space="preserve"> </w:t>
      </w:r>
      <w:r>
        <w:rPr>
          <w:rFonts w:ascii="Times New Roman;serif" w:hAnsi="Times New Roman;serif"/>
          <w:b w:val="false"/>
          <w:color w:val="000000"/>
          <w:sz w:val="20"/>
          <w:shd w:fill="FFFFFF" w:val="clear"/>
        </w:rPr>
        <w:t>per diluted share, as compared to net loss of $(10.7) million and $(26.4) million, or $(0.14) and $(0.34)</w:t>
      </w:r>
      <w:r>
        <w:rPr>
          <w:color w:val="000000"/>
        </w:rPr>
        <w:t xml:space="preserve"> </w:t>
      </w:r>
      <w:r>
        <w:rPr>
          <w:rFonts w:ascii="Times New Roman;serif" w:hAnsi="Times New Roman;serif"/>
          <w:b w:val="false"/>
          <w:color w:val="000000"/>
          <w:sz w:val="20"/>
          <w:shd w:fill="FFFFFF" w:val="clear"/>
        </w:rPr>
        <w:t xml:space="preserve">per diluted share for the </w:t>
      </w:r>
      <w:r>
        <w:rPr>
          <w:rFonts w:ascii="Times New Roman;serif" w:hAnsi="Times New Roman;serif"/>
          <w:b w:val="false"/>
          <w:color w:val="000000"/>
          <w:sz w:val="20"/>
        </w:rPr>
        <w:t xml:space="preserve">three and nine months </w:t>
      </w:r>
      <w:r>
        <w:rPr>
          <w:rFonts w:ascii="Times New Roman;serif" w:hAnsi="Times New Roman;serif"/>
          <w:b w:val="false"/>
          <w:color w:val="000000"/>
          <w:sz w:val="20"/>
          <w:shd w:fill="FFFFFF" w:val="clear"/>
        </w:rPr>
        <w:t xml:space="preserve">ended September 30, 2024. </w:t>
      </w:r>
      <w:r>
        <w:rPr>
          <w:rFonts w:ascii="Times New Roman;serif" w:hAnsi="Times New Roman;serif"/>
          <w:b w:val="false"/>
          <w:color w:val="000000"/>
          <w:sz w:val="20"/>
        </w:rPr>
        <w:t xml:space="preserve">The net loss decreased for the three months ended September 30, 2025 and increased for the nine months ended September 30, 2025, respectively, as compared to prior periods, primarily driven by quality and operational issues across both periods and the impact of the goodwill impairment of </w:t>
      </w:r>
      <w:r>
        <w:rPr>
          <w:rFonts w:ascii="Times New Roman;serif" w:hAnsi="Times New Roman;serif"/>
          <w:b w:val="false"/>
          <w:color w:val="000000"/>
          <w:sz w:val="20"/>
          <w:shd w:fill="FFFFFF" w:val="clear"/>
        </w:rPr>
        <w:t>$511.4 million recorded in the second quarter of the current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Special Charges</w:t>
      </w:r>
    </w:p>
    <w:p>
      <w:pPr>
        <w:pStyle w:val="TextBody"/>
        <w:bidi w:val="0"/>
        <w:spacing w:lineRule="auto" w:line="288" w:before="120" w:after="120"/>
        <w:jc w:val="left"/>
        <w:rPr/>
      </w:pPr>
      <w:r>
        <w:rPr>
          <w:rFonts w:ascii="Times New Roman;serif" w:hAnsi="Times New Roman;serif"/>
          <w:b w:val="false"/>
          <w:color w:val="000000"/>
          <w:sz w:val="20"/>
        </w:rPr>
        <w:t>Income before taxes includes the following special charges</w:t>
      </w:r>
      <w:r>
        <w:rPr>
          <w:rFonts w:ascii="Times New Roman;serif" w:hAnsi="Times New Roman;serif"/>
          <w:b/>
          <w:color w:val="000000"/>
          <w:sz w:val="20"/>
        </w:rPr>
        <w:t>:</w:t>
      </w:r>
    </w:p>
    <w:tbl>
      <w:tblPr>
        <w:tblW w:w="10189" w:type="dxa"/>
        <w:jc w:val="left"/>
        <w:tblInd w:w="0" w:type="dxa"/>
        <w:tblLayout w:type="fixed"/>
        <w:tblCellMar>
          <w:top w:w="28" w:type="dxa"/>
          <w:left w:w="28" w:type="dxa"/>
          <w:bottom w:w="28" w:type="dxa"/>
          <w:right w:w="28" w:type="dxa"/>
        </w:tblCellMar>
      </w:tblPr>
      <w:tblGrid>
        <w:gridCol w:w="1496"/>
        <w:gridCol w:w="1313"/>
        <w:gridCol w:w="1316"/>
        <w:gridCol w:w="254"/>
        <w:gridCol w:w="839"/>
        <w:gridCol w:w="141"/>
        <w:gridCol w:w="141"/>
        <w:gridCol w:w="141"/>
        <w:gridCol w:w="141"/>
        <w:gridCol w:w="254"/>
        <w:gridCol w:w="839"/>
        <w:gridCol w:w="141"/>
        <w:gridCol w:w="109"/>
        <w:gridCol w:w="109"/>
        <w:gridCol w:w="109"/>
        <w:gridCol w:w="227"/>
        <w:gridCol w:w="855"/>
        <w:gridCol w:w="126"/>
        <w:gridCol w:w="126"/>
        <w:gridCol w:w="126"/>
        <w:gridCol w:w="126"/>
        <w:gridCol w:w="227"/>
        <w:gridCol w:w="855"/>
        <w:gridCol w:w="178"/>
      </w:tblGrid>
      <w:tr>
        <w:trPr/>
        <w:tc>
          <w:tcPr>
            <w:tcW w:w="14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Acquisition, divestiture and integration-related charges</w:t>
            </w:r>
            <w:r>
              <w:rPr>
                <w:rFonts w:ascii="Times New Roman;serif" w:hAnsi="Times New Roman;serif"/>
                <w:b w:val="false"/>
                <w:color w:val="000000"/>
                <w:sz w:val="12"/>
              </w:rPr>
              <w:t>(1)</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(6,588)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31,361 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Structural optimization charges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15,112 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 medical device regulation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32,179 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35,109 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Boston recall / Braintree transition</w:t>
            </w:r>
            <w:r>
              <w:rPr>
                <w:rFonts w:ascii="Times New Roman;serif" w:hAnsi="Times New Roman;serif"/>
                <w:b w:val="false"/>
                <w:color w:val="000000"/>
                <w:sz w:val="12"/>
              </w:rPr>
              <w:t>(2)</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42,397 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33,676 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115,258 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189" w:type="dxa"/>
            <w:gridSpan w:val="24"/>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4"/>
              </w:rPr>
              <w:t xml:space="preserve">This includes adjustments for contingent consideration liabilities. Refer to </w:t>
            </w:r>
            <w:r>
              <w:rPr>
                <w:rFonts w:ascii="Times New Roman;serif" w:hAnsi="Times New Roman;serif"/>
                <w:b w:val="false"/>
                <w:i/>
                <w:color w:val="000000"/>
                <w:sz w:val="14"/>
              </w:rPr>
              <w:t>Note 16. Commitments and Contingencies</w:t>
            </w:r>
            <w:r>
              <w:rPr>
                <w:color w:val="000000"/>
              </w:rPr>
              <w:t xml:space="preserve"> </w:t>
            </w:r>
            <w:r>
              <w:rPr>
                <w:rFonts w:ascii="Times New Roman;serif" w:hAnsi="Times New Roman;serif"/>
                <w:b w:val="false"/>
                <w:color w:val="000000"/>
                <w:sz w:val="14"/>
              </w:rPr>
              <w:t>for additional information.</w:t>
            </w:r>
          </w:p>
        </w:tc>
      </w:tr>
      <w:tr>
        <w:trPr/>
        <w:tc>
          <w:tcPr>
            <w:tcW w:w="10189" w:type="dxa"/>
            <w:gridSpan w:val="24"/>
            <w:tcBorders/>
            <w:shd w:fill="CCEE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4"/>
              </w:rPr>
              <w:t>This primarily includes idle capacity charges, site transfer costs, quality remediation costs, right of use and fixed asset impairments.</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items reported above are reflected in the condensed consolidated statements of operations as follows:</w:t>
      </w:r>
    </w:p>
    <w:tbl>
      <w:tblPr>
        <w:tblW w:w="8614" w:type="dxa"/>
        <w:jc w:val="center"/>
        <w:tblInd w:w="0" w:type="dxa"/>
        <w:tblLayout w:type="fixed"/>
        <w:tblCellMar>
          <w:top w:w="28" w:type="dxa"/>
          <w:left w:w="28" w:type="dxa"/>
          <w:bottom w:w="28" w:type="dxa"/>
          <w:right w:w="28" w:type="dxa"/>
        </w:tblCellMar>
      </w:tblPr>
      <w:tblGrid>
        <w:gridCol w:w="925"/>
        <w:gridCol w:w="812"/>
        <w:gridCol w:w="813"/>
        <w:gridCol w:w="254"/>
        <w:gridCol w:w="839"/>
        <w:gridCol w:w="141"/>
        <w:gridCol w:w="141"/>
        <w:gridCol w:w="141"/>
        <w:gridCol w:w="141"/>
        <w:gridCol w:w="254"/>
        <w:gridCol w:w="839"/>
        <w:gridCol w:w="141"/>
        <w:gridCol w:w="109"/>
        <w:gridCol w:w="109"/>
        <w:gridCol w:w="109"/>
        <w:gridCol w:w="227"/>
        <w:gridCol w:w="855"/>
        <w:gridCol w:w="126"/>
        <w:gridCol w:w="126"/>
        <w:gridCol w:w="126"/>
        <w:gridCol w:w="126"/>
        <w:gridCol w:w="227"/>
        <w:gridCol w:w="855"/>
        <w:gridCol w:w="178"/>
      </w:tblGrid>
      <w:tr>
        <w:trPr/>
        <w:tc>
          <w:tcPr>
            <w:tcW w:w="9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Cost of goods sold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63,416 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55,689 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13,056 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45,021 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w:t>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28,975 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34,060 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115,258 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typically define special charges as items for which the amounts and/or timing of such expenses may vary significantly from period to period, depending upon our acquisition, divestiture, integration and restructuring activities; items for which the amounts are non-cash in nature; and items which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the comparability of our operating performance from period to period, against the business model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the Company.</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Revenues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revenues and gross margin on product revenues were as follows:</w:t>
      </w:r>
    </w:p>
    <w:tbl>
      <w:tblPr>
        <w:tblW w:w="9616" w:type="dxa"/>
        <w:jc w:val="center"/>
        <w:tblInd w:w="0" w:type="dxa"/>
        <w:tblLayout w:type="fixed"/>
        <w:tblCellMar>
          <w:top w:w="28" w:type="dxa"/>
          <w:left w:w="28" w:type="dxa"/>
          <w:bottom w:w="28" w:type="dxa"/>
          <w:right w:w="28" w:type="dxa"/>
        </w:tblCellMar>
      </w:tblPr>
      <w:tblGrid>
        <w:gridCol w:w="1241"/>
        <w:gridCol w:w="1089"/>
        <w:gridCol w:w="1090"/>
        <w:gridCol w:w="391"/>
        <w:gridCol w:w="217"/>
        <w:gridCol w:w="511"/>
        <w:gridCol w:w="217"/>
        <w:gridCol w:w="217"/>
        <w:gridCol w:w="217"/>
        <w:gridCol w:w="391"/>
        <w:gridCol w:w="217"/>
        <w:gridCol w:w="511"/>
        <w:gridCol w:w="109"/>
        <w:gridCol w:w="109"/>
        <w:gridCol w:w="109"/>
        <w:gridCol w:w="374"/>
        <w:gridCol w:w="248"/>
        <w:gridCol w:w="578"/>
        <w:gridCol w:w="208"/>
        <w:gridCol w:w="208"/>
        <w:gridCol w:w="208"/>
        <w:gridCol w:w="374"/>
        <w:gridCol w:w="208"/>
        <w:gridCol w:w="574"/>
      </w:tblGrid>
      <w:tr>
        <w:trPr/>
        <w:tc>
          <w:tcPr>
            <w:tcW w:w="124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Segment Net Sales</w:t>
            </w:r>
          </w:p>
        </w:tc>
        <w:tc>
          <w:tcPr>
            <w:tcW w:w="288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0"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Codman Specialty Surgical</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292,583</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877,204</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828,977</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Tissue Technologies</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109,479</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323,116</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338,904</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1,167,881</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195,071</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180,596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589,565</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534,892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on total revenues</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206,991</w:t>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200,238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610,755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632,989</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margin as a percentage of total revenues</w:t>
            </w:r>
          </w:p>
        </w:tc>
        <w:tc>
          <w:tcPr>
            <w:tcW w:w="6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51.5 </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57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54.2 </w:t>
            </w:r>
          </w:p>
        </w:tc>
        <w:tc>
          <w:tcPr>
            <w:tcW w:w="5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Three Months Ended September 30, 2025 as Compared to Three Months Ended September 30, 2024</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 xml:space="preserve">Revenues and Gross Margin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total revenues increased by $21.2 million to $402.1 million from $380.8 million for the same period in 2024, representing mid-single digit growth compared to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CSS segment, revenues were $292.6 million which represents an increase of $21.8 million, or 8% as compared to the prior-year period. Excluding the impact of foreign currency of $2.0 million, the increase in revenue is primarily driven by Cerebrospinal Fluid (“CSF”) Management and Dural Access and Repair shipping holds experienced in the third quarter of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TT segment, revenues were $109.5 million which represents a decrease of $0.6 million, or 1% as compared to the prior-year period. This is primarily attributable to the impact of quality and operational issues associated with Medihoney and decreases in private label revenues. This is partially offset by growth in Integra Skin, which recovered from prior year supply issues, and Durasorb.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margin was $207.0 million for the three months ended September 30, 2025, an increase of $6.8 million from $200.2 million for the same period in 2024. Gross margin as a percentage of revenues was 51.5% for the three months ended September 30, 2025 and 52.6% for the same period in 2024. For the three months ended September 30, 2025, and 2024 gross margins were impacted by quality and operational issues, which affected both revenue and expenses, as well as higher manufacturing costs.</w:t>
      </w:r>
    </w:p>
    <w:p>
      <w:pPr>
        <w:pStyle w:val="TextBody"/>
        <w:bidi w:val="0"/>
        <w:spacing w:lineRule="auto" w:line="288" w:before="120" w:after="120"/>
        <w:jc w:val="both"/>
        <w:rPr/>
      </w:pPr>
      <w:r>
        <w:rPr>
          <w:rFonts w:ascii="Times New Roman;serif" w:hAnsi="Times New Roman;serif"/>
          <w:b/>
          <w:color w:val="000000"/>
          <w:sz w:val="20"/>
        </w:rPr>
        <w:t>Operating Ex</w:t>
      </w:r>
      <w:r>
        <w:rPr>
          <w:rFonts w:ascii="Times New Roman;serif" w:hAnsi="Times New Roman;serif"/>
          <w:b/>
          <w:color w:val="000000"/>
          <w:sz w:val="20"/>
          <w:shd w:fill="FFFFFF" w:val="clear"/>
        </w:rPr>
        <w:t>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operating expenses as a percent of total revenues:</w:t>
      </w:r>
    </w:p>
    <w:tbl>
      <w:tblPr>
        <w:tblW w:w="5483" w:type="dxa"/>
        <w:jc w:val="left"/>
        <w:tblInd w:w="0" w:type="dxa"/>
        <w:tblLayout w:type="fixed"/>
        <w:tblCellMar>
          <w:top w:w="28" w:type="dxa"/>
          <w:left w:w="28" w:type="dxa"/>
          <w:bottom w:w="28" w:type="dxa"/>
          <w:right w:w="28" w:type="dxa"/>
        </w:tblCellMar>
      </w:tblPr>
      <w:tblGrid>
        <w:gridCol w:w="923"/>
        <w:gridCol w:w="812"/>
        <w:gridCol w:w="814"/>
        <w:gridCol w:w="242"/>
        <w:gridCol w:w="242"/>
        <w:gridCol w:w="570"/>
        <w:gridCol w:w="242"/>
        <w:gridCol w:w="242"/>
        <w:gridCol w:w="242"/>
        <w:gridCol w:w="242"/>
        <w:gridCol w:w="242"/>
        <w:gridCol w:w="670"/>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46.5 </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5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expenses, which consist of research and development, selling, general and administrative, and amortization expenses, decreased by $13.2 million, or 6.3%, to $195.2 million in the three months ended September 30, 2025, compared to $208.4 million in the same period in 2024.</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three months ended September 30, 2025 decreased by $5.0 million as compared to the same period in the prior year, primarily attributable to cost management initiatives that resulted in lower spend on research and development projects.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for the three months ended September 30, 2025 decreased by $8.1 million as compared to the same period in the prior year, primarily driven by cost management initiatives in the current year and Acclarent acquisition costs incurred in prior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(which does not include amounts reported in cost of product revenues for technology-based intangible assets) for the three months ended September 30, 2025 was $3.7 million compared to $3.8 million for the same period in the prior year.</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non-operating income and expense:</w:t>
      </w:r>
    </w:p>
    <w:tbl>
      <w:tblPr>
        <w:tblW w:w="5921" w:type="dxa"/>
        <w:jc w:val="left"/>
        <w:tblInd w:w="0" w:type="dxa"/>
        <w:tblLayout w:type="fixed"/>
        <w:tblCellMar>
          <w:top w:w="28" w:type="dxa"/>
          <w:left w:w="28" w:type="dxa"/>
          <w:bottom w:w="28" w:type="dxa"/>
          <w:right w:w="28" w:type="dxa"/>
        </w:tblCellMar>
      </w:tblPr>
      <w:tblGrid>
        <w:gridCol w:w="1083"/>
        <w:gridCol w:w="950"/>
        <w:gridCol w:w="952"/>
        <w:gridCol w:w="237"/>
        <w:gridCol w:w="874"/>
        <w:gridCol w:w="132"/>
        <w:gridCol w:w="132"/>
        <w:gridCol w:w="132"/>
        <w:gridCol w:w="132"/>
        <w:gridCol w:w="237"/>
        <w:gridCol w:w="874"/>
        <w:gridCol w:w="186"/>
      </w:tblGrid>
      <w:tr>
        <w:trPr/>
        <w:tc>
          <w:tcPr>
            <w:tcW w:w="108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(22,725)</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income and expense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(18,585)</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(12,212)</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120"/>
        <w:jc w:val="both"/>
        <w:rPr/>
      </w:pPr>
      <w:r>
        <w:rPr>
          <w:rFonts w:ascii="Times New Roman;serif" w:hAnsi="Times New Roman;serif"/>
          <w:b w:val="false"/>
          <w:color w:val="000000"/>
          <w:sz w:val="20"/>
        </w:rPr>
        <w:t xml:space="preserve">Interest income for the three months ended September 30, 2025 decreased by $0.1 million as </w:t>
      </w:r>
      <w:r>
        <w:rPr>
          <w:rFonts w:ascii="Times New Roman;serif" w:hAnsi="Times New Roman;serif"/>
          <w:b w:val="false"/>
          <w:color w:val="000000"/>
          <w:sz w:val="20"/>
          <w:shd w:fill="FFFFFF" w:val="clear"/>
        </w:rPr>
        <w:t>compared to the same period in the prior year</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expense for the three months ended September 30, 2025 increased by $3.4 million as compared to the same period in the prior year primarily due to higher interest rates on the borrowings under the revolving credit facility component of the Senior Credit Facility as compared to the interest rates on the 2025 Notes.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expense, net for the three months ended September 30, 2025 increased by $3.0 million compared to the same period in the prior year, primarily driven by foreign exchange impact.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tbl>
      <w:tblPr>
        <w:tblW w:w="5500" w:type="dxa"/>
        <w:jc w:val="left"/>
        <w:tblInd w:w="0" w:type="dxa"/>
        <w:tblLayout w:type="fixed"/>
        <w:tblCellMar>
          <w:top w:w="28" w:type="dxa"/>
          <w:left w:w="28" w:type="dxa"/>
          <w:bottom w:w="28" w:type="dxa"/>
          <w:right w:w="28" w:type="dxa"/>
        </w:tblCellMar>
      </w:tblPr>
      <w:tblGrid>
        <w:gridCol w:w="930"/>
        <w:gridCol w:w="817"/>
        <w:gridCol w:w="818"/>
        <w:gridCol w:w="219"/>
        <w:gridCol w:w="706"/>
        <w:gridCol w:w="286"/>
        <w:gridCol w:w="121"/>
        <w:gridCol w:w="121"/>
        <w:gridCol w:w="121"/>
        <w:gridCol w:w="219"/>
        <w:gridCol w:w="806"/>
        <w:gridCol w:w="336"/>
      </w:tblGrid>
      <w:tr>
        <w:trPr/>
        <w:tc>
          <w:tcPr>
            <w:tcW w:w="930"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taxes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(6,824)</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(20,362)</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(9,667)</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effective income tax rates for the three months ended September 30, 2025 and 2024 were 20.8% and 47.5%, respectively.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September 30, 2025, the Company’s effective tax rate was primarily driven by the tax expense generated in certain profitable foreign jurisdictions and the inclusion of Global Intangible Low Taxed Income (“GILTI”); offset by federal, state, and international tax benefits generated from operating losses and favorable prior year tax return positions. For the three months ended September 30, 2024, the tax rate is primarily due to the limitation of foreign tax credits in the U.S. and the limitation of federal tax credits in Switzerland, caused by lower book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effective tax rate may vary from period to period depending on, among other factors, the geographic and business mix of taxable earnings and losses, tax planning and settlements with various taxing authorities. We consider these factors and others, including the Company’s history of generating taxable earnings, in assessing our ability to realize tax assets on a quarterly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changes to income tax laws and regulations, in any of the tax jurisdictions in which the Company operates, could impact the effective tax rate. Various governments, both U.S. and non-U.S., are increasingly focused on tax reform and revenue-raising legislation. On July 4, 2025, the One Big Beautiful Bill Act (“OBBBA”) was enacted in the U.S. The OBBBA includes a number of significant provisions, including the permanent extension of certain expiring provisions of the 2017 Tax Cuts and Jobs Act; as well as changes to the capitalization of research and development expenses, accelerated depreciation, and limitations on interest expense deductions.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Further legislation in foreign jurisdictions may be enacted, in continued response to the base erosion and profit-sharing project led by the Organization for Economic Cooperation and Development (“OECD”). The OECD released model rules related to a new 15% global minimum tax regime (“Pillar 2”). Several of the jurisdictions in which we operate have already adopted some form of the model rules, which could impact the amount of taxes that the Company pays during 2025 and future taxable periods. The rules are complex and provide for delays for implementing the tax during the early transition years, if certain conditions are met. At this time, the Company is projecting an immaterial Pillar 2 tax liability for the 2025 year. The Company will continue to analyze the new Pillar 2 laws and any related guidance to determine potential impacts. Such changes in U.S. and non-U.S. jurisdictions could have an adverse effect on the Company’s effective tax rate. The Company will continue to monitor legislative activity across its U.S. and non-U.S. jurisdictions.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While it is often difficult to predict the outcome or the timing of the resolution of a particular matter with the various federal, state, and foreign tax authorities, we believe that our reserves reflect the most probable outcome of known tax contingencies. Settlement of a particular issue would usually require the use of cash. A favorable resolution would be recognized as a reduction to our annual effective tax rate in the year of resolution. The Company’s tax reserves are presented in the balance sheet within other liabilities, except for amounts relating to items that we expect to pay in the coming year, which would be classified as current income taxes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Nine Months Ended September 30, 2025 as Compared to Nine Months Ended September 30, 2024</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Revenues and Gross Margin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total revenues increased by $32.4 million to $1,200.3 million from $1,167.9 million for the same period in 2024. This represents low single digit growth compared to the same period in the prior year, primarily driven by sales related to Acclarent, as well as impacts from quality and operational issues in both periods.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CSS segment, revenues were $877.2 million, an increase of $48.2 million, or 6% from the prior year period. Excluding the impact of foreign currency of $3.1 million, the increase is primarily due to the timing of the Acclarent acquisition completed in the second quarter in the prior year and CSF Management and Dural Access and Repair shipping holds experienced in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the TT segment, revenues were $323.1 million, a decrease of $15.8 million, or 5% from the prior year period, primarily attributable to the impact of quality and operational issues associated with Medihoney and decreases in private label revenues. This is partially offset by growth in Integra Skin, which recovered from prior year supply issues, and Durasorb.</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Gross margin was $610.8 million for the nine months ended September 30, 2025, a decrease of $22.2 million from $633.0 million for the same period in 2024. Gross margin as a percentage of total revenue decreased to 50.9% for the nine months ended September 30, 2025 from 54.2% in the same period in 2024. For the nine months ended September 30, 2025, gross margins were impacted by quality and operational issues, which affected both revenue and expenses, as well as higher manufacturing costs. For the nine months ended September 30, 2024 gross margins were impacted by impairment charges associated with the Boston recall, Acclarent inventory step up, and expenses associated with quality and operational issues.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120"/>
        <w:jc w:val="both"/>
        <w:rPr/>
      </w:pPr>
      <w:r>
        <w:rPr>
          <w:rFonts w:ascii="Times New Roman;serif" w:hAnsi="Times New Roman;serif"/>
          <w:b w:val="false"/>
          <w:color w:val="000000"/>
          <w:sz w:val="20"/>
        </w:rPr>
        <w:t>The following is a summary of operating expenses as a percent of total revenues:</w:t>
      </w:r>
      <w:r>
        <w:rPr>
          <w:color w:val="000000"/>
        </w:rPr>
        <w:t> </w:t>
      </w:r>
    </w:p>
    <w:tbl>
      <w:tblPr>
        <w:tblW w:w="5396" w:type="dxa"/>
        <w:jc w:val="left"/>
        <w:tblInd w:w="0" w:type="dxa"/>
        <w:tblLayout w:type="fixed"/>
        <w:tblCellMar>
          <w:top w:w="28" w:type="dxa"/>
          <w:left w:w="28" w:type="dxa"/>
          <w:bottom w:w="28" w:type="dxa"/>
          <w:right w:w="28" w:type="dxa"/>
        </w:tblCellMar>
      </w:tblPr>
      <w:tblGrid>
        <w:gridCol w:w="923"/>
        <w:gridCol w:w="812"/>
        <w:gridCol w:w="814"/>
        <w:gridCol w:w="235"/>
        <w:gridCol w:w="235"/>
        <w:gridCol w:w="552"/>
        <w:gridCol w:w="235"/>
        <w:gridCol w:w="235"/>
        <w:gridCol w:w="235"/>
        <w:gridCol w:w="235"/>
        <w:gridCol w:w="235"/>
        <w:gridCol w:w="650"/>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w:t>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54.8 </w:t>
            </w:r>
          </w:p>
        </w:tc>
        <w:tc>
          <w:tcPr>
            <w:tcW w:w="6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Total operating expenses, which consist of selling, general and administrative expenses, research and development expenses, and amortization expenses, increased by $487.0 million, or 76.1% to $1,127.2 million in the nine months ended September 30, 2025, compared to $640.2 million in the same period in 2024, primarily driven by goodwill impairment recorded in the second quarter of 2025.</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nine months ended September 30, 2025 decreased by $10.0 million as compared to the same period, primarily attributable to lower spend on EU MDR and cost management initiatives that resulted in lower spend on other research and development projects.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costs decreased by $8.0 million as compared to the same period in the prior year, primarily driven by Acclarent acquisition costs incurred in prior year, and cost management initiatives in the current year.</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Intangible Asset Amortization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Amortization expense (excluding amounts reported in cost of product revenues for technology-based intangible assets) for the nine months ended September 30, 2025 was $11.2 million compared to $17.6 million for the same period in the prior year. The decrease is driven by the impairment of customer relationship intangible related to our Boston facility of $7.1 million, which was recorded in the first quarter of 2024.</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expect total annual amortization expense to be approximately $26.9 million for the remainder of 2025, $107.6 million in 2026, $106.5 million in 2027, $103.0 million in 2028, $97.7 million in 2029, $91.6 million in 2030 and $447.6 million thereafter.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Non-Operating Income and Expenses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non-operating income and expenses:</w:t>
      </w:r>
    </w:p>
    <w:tbl>
      <w:tblPr>
        <w:tblW w:w="5263" w:type="dxa"/>
        <w:jc w:val="left"/>
        <w:tblInd w:w="0" w:type="dxa"/>
        <w:tblLayout w:type="fixed"/>
        <w:tblCellMar>
          <w:top w:w="28" w:type="dxa"/>
          <w:left w:w="28" w:type="dxa"/>
          <w:bottom w:w="28" w:type="dxa"/>
          <w:right w:w="28" w:type="dxa"/>
        </w:tblCellMar>
      </w:tblPr>
      <w:tblGrid>
        <w:gridCol w:w="873"/>
        <w:gridCol w:w="770"/>
        <w:gridCol w:w="771"/>
        <w:gridCol w:w="230"/>
        <w:gridCol w:w="848"/>
        <w:gridCol w:w="128"/>
        <w:gridCol w:w="128"/>
        <w:gridCol w:w="128"/>
        <w:gridCol w:w="128"/>
        <w:gridCol w:w="230"/>
        <w:gridCol w:w="848"/>
        <w:gridCol w:w="181"/>
      </w:tblGrid>
      <w:tr>
        <w:trPr/>
        <w:tc>
          <w:tcPr>
            <w:tcW w:w="873"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(62,582)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and income, net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expense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(51,402)</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(33,562)</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Interest income for the nine months ended September 30, 2025 increased by $1.0 million as compared to the same period in the prior year due to increased investments.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120" w:after="120"/>
        <w:jc w:val="both"/>
        <w:rPr/>
      </w:pPr>
      <w:r>
        <w:rPr>
          <w:rFonts w:ascii="Times New Roman;serif" w:hAnsi="Times New Roman;serif"/>
          <w:b w:val="false"/>
          <w:color w:val="000000"/>
          <w:sz w:val="20"/>
          <w:shd w:fill="FFFFFF" w:val="clear"/>
        </w:rPr>
        <w:t>Interes</w:t>
      </w:r>
      <w:r>
        <w:rPr>
          <w:rFonts w:ascii="Times New Roman;serif" w:hAnsi="Times New Roman;serif"/>
          <w:b w:val="false"/>
          <w:color w:val="000000"/>
          <w:sz w:val="20"/>
        </w:rPr>
        <w:t>t expense for the nine months ended September 30, 2025 increased by $10.9 million as compared to the same period in the prior year primarily due to the impacts of interest rate swaps that have expired and are no longer hedging interest expense in 2025, as well as higher interest rates on the borrowings under the revolving credit facility component of the Senior Credit Facility as compared to the interest rates on the 2025 Notes.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Other (Expense) and Income, net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Other (expense) and income, net for the nine months ended September 30, 2025, decreased by $5.9 million as compared to the same period in the prior year, primarily driven by foreign exchange impact.</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Income Taxes </w:t>
      </w:r>
    </w:p>
    <w:tbl>
      <w:tblPr>
        <w:tblW w:w="5006" w:type="dxa"/>
        <w:jc w:val="left"/>
        <w:tblInd w:w="0" w:type="dxa"/>
        <w:tblLayout w:type="fixed"/>
        <w:tblCellMar>
          <w:top w:w="28" w:type="dxa"/>
          <w:left w:w="28" w:type="dxa"/>
          <w:bottom w:w="28" w:type="dxa"/>
          <w:right w:w="28" w:type="dxa"/>
        </w:tblCellMar>
      </w:tblPr>
      <w:tblGrid>
        <w:gridCol w:w="781"/>
        <w:gridCol w:w="688"/>
        <w:gridCol w:w="690"/>
        <w:gridCol w:w="199"/>
        <w:gridCol w:w="823"/>
        <w:gridCol w:w="259"/>
        <w:gridCol w:w="110"/>
        <w:gridCol w:w="110"/>
        <w:gridCol w:w="110"/>
        <w:gridCol w:w="199"/>
        <w:gridCol w:w="732"/>
        <w:gridCol w:w="305"/>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Dollars in thousands</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(567,812)</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(40,778)</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(53,042)</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(14,399)</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120"/>
        <w:jc w:val="both"/>
        <w:rPr/>
      </w:pPr>
      <w:r>
        <w:rPr>
          <w:rFonts w:ascii="Times New Roman;serif" w:hAnsi="Times New Roman;serif"/>
          <w:b w:val="false"/>
          <w:color w:val="000000"/>
          <w:sz w:val="20"/>
        </w:rPr>
        <w:t>The Company’s effective income tax rates for the nine months ended September 30, 2025 and 2024 were 9.3% and 35.3%, respectively.</w:t>
      </w:r>
      <w:r>
        <w:rPr>
          <w:color w:val="000000"/>
        </w:rPr>
        <w:t xml:space="preserve"> </w:t>
      </w:r>
      <w:r>
        <w:rPr>
          <w:rFonts w:ascii="Times New Roman;serif" w:hAnsi="Times New Roman;serif"/>
          <w:b w:val="false"/>
          <w:color w:val="000000"/>
          <w:sz w:val="20"/>
        </w:rPr>
        <w:t>For the nine months ended September 30, 2025, the Company’s effective tax rate was primarily driven by the goodwill impairment charge, as a portion of the charge is non-deductible for tax, as well as the inclusion of GILTI and the global minimum tax in certain foreign jurisdictions; offset by federal, state, and international tax benefits generated from operating losses and favorable prior year tax return positions. For the nine months ended September 30, 2024, the tax rate is primarily due to the limitation of foreign tax credits in the U.S. and the limitation of federal tax credits in Switzerland, caused by lower booked income and a $1.9 million shortfall from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GEOGRAPHIC PRODUCT REVENUES AND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attribute revenues to geographic areas based on the location of the customer. Total revenue by major geographic area consisted of the following:</w:t>
      </w:r>
    </w:p>
    <w:p>
      <w:pPr>
        <w:pStyle w:val="TextBody"/>
        <w:bidi w:val="0"/>
        <w:spacing w:before="0" w:after="0"/>
        <w:jc w:val="both"/>
        <w:rPr/>
      </w:pPr>
      <w:r>
        <w:rPr/>
      </w:r>
    </w:p>
    <w:tbl>
      <w:tblPr>
        <w:tblW w:w="7599" w:type="dxa"/>
        <w:jc w:val="left"/>
        <w:tblInd w:w="0" w:type="dxa"/>
        <w:tblLayout w:type="fixed"/>
        <w:tblCellMar>
          <w:top w:w="28" w:type="dxa"/>
          <w:left w:w="28" w:type="dxa"/>
          <w:bottom w:w="28" w:type="dxa"/>
          <w:right w:w="28" w:type="dxa"/>
        </w:tblCellMar>
      </w:tblPr>
      <w:tblGrid>
        <w:gridCol w:w="555"/>
        <w:gridCol w:w="487"/>
        <w:gridCol w:w="488"/>
        <w:gridCol w:w="235"/>
        <w:gridCol w:w="884"/>
        <w:gridCol w:w="131"/>
        <w:gridCol w:w="131"/>
        <w:gridCol w:w="131"/>
        <w:gridCol w:w="131"/>
        <w:gridCol w:w="235"/>
        <w:gridCol w:w="884"/>
        <w:gridCol w:w="131"/>
        <w:gridCol w:w="109"/>
        <w:gridCol w:w="109"/>
        <w:gridCol w:w="109"/>
        <w:gridCol w:w="205"/>
        <w:gridCol w:w="911"/>
        <w:gridCol w:w="114"/>
        <w:gridCol w:w="114"/>
        <w:gridCol w:w="114"/>
        <w:gridCol w:w="114"/>
        <w:gridCol w:w="205"/>
        <w:gridCol w:w="911"/>
        <w:gridCol w:w="161"/>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295,846 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290,192 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884,371 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856,646 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42,893 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116,653 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 Pacific</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42,680 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 of World</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62,034 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402,062 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380,834 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1,200,320 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1,167,881 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generate significant revenues outside the U.S., a portion of which are U.S. dollar-denominated transactions conducted with customers that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domestic and international revenues for the three months ended September 30, 2025 was primarily related to CSF Management and Dural Access and Repair shipping holds experienced in the third quarter of the prior year.</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increase in domestic and international revenues for the nine months ended September 30, 2025 was primarily related to the timing of Acclarent acquisition and CSF Management and Dural Access and Repair shipping holds experienced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Working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Working capital consists of total current assets less total current liabilities as presented in the consolidated balance sheets. The Company’s working capital as of September 30, 2025 and December 31, 2024 was $779.5 million and $159.6 million, respectively. The increase in working capital is driven by the repayment of the 2025 Notes, which decreased current liabilities.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and Marketable Securities </w:t>
      </w:r>
    </w:p>
    <w:p>
      <w:pPr>
        <w:pStyle w:val="TextBody"/>
        <w:bidi w:val="0"/>
        <w:spacing w:lineRule="auto" w:line="288" w:before="120" w:after="120"/>
        <w:jc w:val="both"/>
        <w:rPr/>
      </w:pPr>
      <w:r>
        <w:rPr>
          <w:rFonts w:ascii="Times New Roman;serif" w:hAnsi="Times New Roman;serif"/>
          <w:b w:val="false"/>
          <w:color w:val="000000"/>
          <w:sz w:val="20"/>
        </w:rPr>
        <w:t>The Company had cash and cash equivalents totaling approximately $232.2 million and $246.4 million at September 30, 2025 and December 31, 2024, respectively, which are valued based on Level 1 measurements in the fair value hierarchy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At September 30, 2025, our non-U.S. subsidiaries held approximately $192.8 million of cash and cash equivalents that are available for use outside the U.S. The Company asserts that it has the ability and intends to indefinitely reinvest the undistributed earnings from its foreign operations unless there is no material tax cost to remit the earnings into the U.S.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Short-Term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had short-term investments, primarily consisting of time deposits, which are valued based on Level 1 measurements in the fair value hierarchy, totaling approximately $35.7 million at September 30, 2025 compared to $27.2 million at December 31, 2024.</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Cash Flows</w:t>
      </w:r>
    </w:p>
    <w:tbl>
      <w:tblPr>
        <w:tblW w:w="6520" w:type="dxa"/>
        <w:jc w:val="left"/>
        <w:tblInd w:w="0" w:type="dxa"/>
        <w:tblLayout w:type="fixed"/>
        <w:tblCellMar>
          <w:top w:w="28" w:type="dxa"/>
          <w:left w:w="28" w:type="dxa"/>
          <w:bottom w:w="28" w:type="dxa"/>
          <w:right w:w="28" w:type="dxa"/>
        </w:tblCellMar>
      </w:tblPr>
      <w:tblGrid>
        <w:gridCol w:w="1333"/>
        <w:gridCol w:w="1170"/>
        <w:gridCol w:w="1172"/>
        <w:gridCol w:w="245"/>
        <w:gridCol w:w="809"/>
        <w:gridCol w:w="136"/>
        <w:gridCol w:w="136"/>
        <w:gridCol w:w="136"/>
        <w:gridCol w:w="136"/>
        <w:gridCol w:w="245"/>
        <w:gridCol w:w="809"/>
        <w:gridCol w:w="193"/>
      </w:tblGrid>
      <w:tr>
        <w:trPr/>
        <w:tc>
          <w:tcPr>
            <w:tcW w:w="1333"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Dollars in thousands</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38,568 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(386,559)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245,013 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fluctuations on cash</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Cash Flows Provided by or Used in Operating Activities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Operating cash flows for the nine months ended September 30, 2025 decreased by $40.1 million compared to the same period in 2024. Within operating cash flows, net income less non-cash adjustments decreased for the nine months ended September 30, 2025 by approximately $40.7 million as compared to the same period in 2024 due to the impact of quality and operational issues on revenue and associated costs.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for the nine months ended September 30, 2025, net of business acquisitions, decreased cash flows by $18.4 million, mainly attributable to increases in inventory.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changes in assets and liabilities for the nine months ended September 30, 2024, net of business acquisitions, decreased cash flows by $19.0 million, mainly attributable to increases in prepaid and other current assets, and inventory, offset by decreases in accounts receivable.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Used in Investing Activities</w:t>
      </w:r>
    </w:p>
    <w:p>
      <w:pPr>
        <w:pStyle w:val="TextBody"/>
        <w:bidi w:val="0"/>
        <w:spacing w:lineRule="auto" w:line="288" w:before="120" w:after="120"/>
        <w:jc w:val="both"/>
        <w:rPr/>
      </w:pPr>
      <w:r>
        <w:rPr>
          <w:rFonts w:ascii="Times New Roman;serif" w:hAnsi="Times New Roman;serif"/>
          <w:b w:val="false"/>
          <w:color w:val="000000"/>
          <w:sz w:val="20"/>
        </w:rPr>
        <w:t xml:space="preserve">Uses of cash from investing activities for the nine months ended September 30, 2025 were $64.2 million paid for capital expenditures to support improvement initiatives at a number of our manufacturing facilities and other technology investments, $8.5 million related to short-term investments, and $0.4 million </w:t>
      </w:r>
      <w:r>
        <w:rPr>
          <w:rFonts w:ascii="Times New Roman;serif" w:hAnsi="Times New Roman;serif"/>
          <w:b w:val="false"/>
          <w:color w:val="000000"/>
          <w:sz w:val="20"/>
          <w:shd w:fill="FFFFFF" w:val="clear"/>
        </w:rPr>
        <w:t>related to the settlement of our net investment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sources of cash from investing activities for the nine months ended September 30, 2025.</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investing activities during the nine months ended September 30, 2024 were $74.8 million paid for capital expenditures to support the investment in the new Braintree facility, as well as improvement initiatives at a number of our manufacturing facilities, and other technology investments, $282.0 million related to the Acclarent acquisition, and $49.0 million related to short-term investments.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investing activities during the nine months ended September 30, 2024 were $19.3 million for short-term investments converted to cash.</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Cash Flows Provided by Financing Activities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Uses of cash from financing activities in the nine months ended September 30, 2025 related to the repayments of the 2025 Notes of $575.0 million, as well as $69.8 million of repayments under our Senior Credit Facility and Securitization Facility. In addition, the company paid $16.5 million related to payments of Arkis and SIA contingent consideration, $3.9 million in debt issuance costs and $2.6 million in cash taxes for net equity settlements.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nine months ended September 30, 2025 were $671.0 million of proceeds from borrowings of long term indebtedness and $1.0 million related to the proceeds from employee stock purchases.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Uses of cash from financing activities in the nine months ended September 30, 2024 related to the repayments of $147.2 million under our Senior Credit Facility and Securitization Facility, $50.0 million related to the repurchase of treasury stock of under the share repurchase agreements, and $11.9 million related to payment of SIA contingent consideration. In addition, the Company had $3.4 million in cash taxes paid for net equity settlements.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Sources of cash from financing activities for the nine months ended September 30, 2024 were $451.1 million of proceeds from borrowings of long-term indebtedness and $6.4 million related to the proceeds from the exercise of stock options.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Tariffs and Macroeconomic Environment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April 2025, the U.S. government announced new tariffs on goods imported into the U.S. from dozens of countries, including China and the European Union member states. In response, governments have threatened or imposed reciprocal tariffs or taken other measures, and the United States is in the process of negotiating trade agreements with certain governments. In August 2025, the U.S. Court of Appeals for the Federal Circuit ruled against certain of the U.S. tariffs that have been implemented. The U.S. administration has appealed this ruling and the U.S. Supreme Court has agreed to hear the case, with oral arguments anticipated in November 2025. In September 2025, the U.S. Department of Commerce initiated national security investigations into medical equipment, devices, and robotics. The tariff environment has continued to shift throughout the 2025 calendar year, with new measures being proposed, paused, implemented, and countered, contributing to broader trade policy uncertainty.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Tariffs could result in an increase in certain product costs or have adverse impacts on, among other things, demand for our products and supply chains. Particularly, the U.S. import tariffs and reciprocal measures by China, are expected to increase the Company’s cost of goods sold. The Company anticipates that some of its suppliers will incur incremental tariff-related costs, which may be passed on to the Company. Approximately half of our global revenue is generated from products manufactured in the United States. In China, which accounts for approximately 5 percent of our total revenue, roughly half of the products we sell are manufactured in the United States.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Any tariffs paid have been capitalized in inventory and will be recognized in our cost of goods sold as those products are sold. During the three and nine months ended September 30, 2025, the Company paid approximately $6.7 million and $12.1 million, respectively of tariffs on imported goods. Of this amount, $1.6 million and $2.6 million, respectively, was recognized in cost of goods sold in the consolidated statements of operations.</w:t>
      </w:r>
    </w:p>
    <w:p>
      <w:pPr>
        <w:pStyle w:val="TextBody"/>
        <w:bidi w:val="0"/>
        <w:spacing w:lineRule="auto" w:line="288" w:before="120" w:after="120"/>
        <w:jc w:val="both"/>
        <w:rPr/>
      </w:pPr>
      <w:r>
        <w:rPr>
          <w:rFonts w:ascii="Times New Roman;serif" w:hAnsi="Times New Roman;serif"/>
          <w:b w:val="false"/>
          <w:color w:val="000000"/>
          <w:sz w:val="20"/>
        </w:rPr>
        <w:t xml:space="preserve">The overall macroeconomic and geopolitical environment, including tariffs or changes in trade policies, slower economic growth or recession, market volatility and inflation, and uncertainty regarding all of the foregoing, pose risks that could impact our business, results of operations, financial condition and cash flows. The extent and duration of the tariffs and the resulting impact on general economic conditions and on the business are uncertain and are expected to be impacted by various factors, such as negotiations between the U.S. and affected countries, the responses of other countries or regions, exemptions or exclusions that already exist or may be granted, availability and cost of alternative sources of our products and materials, and our ability to offset the effects of any tariffs that might be imposed. For additional information on the risks that tariffs pose to the Company, please see </w:t>
      </w:r>
      <w:r>
        <w:rPr>
          <w:rFonts w:ascii="Times New Roman;serif" w:hAnsi="Times New Roman;serif"/>
          <w:b w:val="false"/>
          <w:i/>
          <w:color w:val="000000"/>
          <w:sz w:val="20"/>
        </w:rPr>
        <w:t>Part II, Item 1A. “Risk Factors”</w:t>
      </w:r>
      <w:r>
        <w:rPr>
          <w:color w:val="000000"/>
        </w:rPr>
        <w:t xml:space="preserve"> </w:t>
      </w:r>
      <w:r>
        <w:rPr>
          <w:rFonts w:ascii="Times New Roman;serif" w:hAnsi="Times New Roman;serif"/>
          <w:b w:val="false"/>
          <w:color w:val="000000"/>
          <w:sz w:val="20"/>
        </w:rPr>
        <w:t xml:space="preserve">of this Quarterly Report on Form 10-Q and of the Quarterly Report on Form 10-Q for the quarter ended March 31, 2025 and </w:t>
      </w:r>
      <w:r>
        <w:rPr>
          <w:rFonts w:ascii="Times New Roman;serif" w:hAnsi="Times New Roman;serif"/>
          <w:b w:val="false"/>
          <w:i/>
          <w:color w:val="000000"/>
          <w:sz w:val="20"/>
        </w:rPr>
        <w:t>Part I, Item 1A. “Risk Factors”</w:t>
      </w:r>
      <w:r>
        <w:rPr>
          <w:color w:val="000000"/>
        </w:rPr>
        <w:t xml:space="preserve"> </w:t>
      </w:r>
      <w:r>
        <w:rPr>
          <w:rFonts w:ascii="Times New Roman;serif" w:hAnsi="Times New Roman;serif"/>
          <w:b w:val="false"/>
          <w:color w:val="000000"/>
          <w:sz w:val="20"/>
        </w:rPr>
        <w:t>of our Annual Report on Form 10-K for the fiscal year ended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Credit Agreement, Convertible Senior Notes, Securitization and Related Hedging Activities</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6. Debt</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Unaudited Condensed Consolidated Financial Statements (Part I, Item 1 of this Quarterly Report) for a discussion of our Senior Credit Facility, 2025 Notes, and Securitization Facility and </w:t>
      </w:r>
      <w:r>
        <w:rPr>
          <w:rFonts w:ascii="Times New Roman;serif" w:hAnsi="Times New Roman;serif"/>
          <w:b w:val="false"/>
          <w:i/>
          <w:color w:val="000000"/>
          <w:sz w:val="20"/>
        </w:rPr>
        <w:t>Note 7. Derivative Instruments</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Unaudited Condensed Consolidated Financial Statements (Part I, Item 1 of this Quarterly Report) for discussion of our hedging activities. </w:t>
      </w:r>
    </w:p>
    <w:p>
      <w:pPr>
        <w:pStyle w:val="TextBody"/>
        <w:bidi w:val="0"/>
        <w:spacing w:lineRule="auto" w:line="288" w:before="120" w:after="120"/>
        <w:jc w:val="both"/>
        <w:rPr/>
      </w:pPr>
      <w:r>
        <w:rPr>
          <w:rFonts w:ascii="Times New Roman;serif" w:hAnsi="Times New Roman;serif"/>
          <w:b w:val="false"/>
          <w:color w:val="000000"/>
          <w:sz w:val="20"/>
        </w:rPr>
        <w:t xml:space="preserve">The Senior Credit Facility is subject to various financial and negative covenants and, at September 30, 2025, the Company was in compliance with all such covenants. Our Consolidated Total Leverage Ratio was 4.35, with the covenant requirement at 5.00 at the end of September 30, 2025. As outlined in the table in </w:t>
      </w:r>
      <w:r>
        <w:rPr>
          <w:rFonts w:ascii="Times New Roman;serif" w:hAnsi="Times New Roman;serif"/>
          <w:b w:val="false"/>
          <w:i/>
          <w:color w:val="000000"/>
          <w:sz w:val="20"/>
        </w:rPr>
        <w:t xml:space="preserve">Note 6. Debt, </w:t>
      </w:r>
      <w:r>
        <w:rPr>
          <w:rFonts w:ascii="Times New Roman;serif" w:hAnsi="Times New Roman;serif"/>
          <w:b w:val="false"/>
          <w:color w:val="000000"/>
          <w:sz w:val="20"/>
        </w:rPr>
        <w:t>the covenant requirement will drop from 5.00 to 4.75 for the fiscal quarter ended September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2025 Notes matured on August 15, 2025 and were settled upon maturity for $575.0 million in cash, excluding accrued interest, funded by borrowings on the revolving credit facility component of the Senior Credit Facility. No shares were issued to settle the 2025 Notes. </w:t>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Share Repurchase Plan</w:t>
      </w:r>
    </w:p>
    <w:p>
      <w:pPr>
        <w:pStyle w:val="TextBody"/>
        <w:bidi w:val="0"/>
        <w:spacing w:lineRule="auto" w:line="288" w:before="120" w:after="12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Note 11. Treasury Stock</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to the Notes to Unaudited Condensed Consolidated Financial Statements (Part I, Item 1 of this Quarterly Report) for further details of our share repurchase programs.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not paid any cash dividends on our common stock since our formation. Our Senior Credit Facility limits the amount of dividends that we may pay. Any future determinations to pay cash dividends on our common stock will be at the discretion of the Board of Directors and will depend upon our financial condition, results of operations, cash flows and other factors deemed relevant by the Board of Directors.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believe that our cash, cash equivalents, short-term investments and available borrowings under the Senior Credit Facility are sufficient to finance our operations and capital expenditures for the next twelve months and foreseeable future. Our future capital requirements will depend on many factors, including the growth of our business, the timing and introduction of new products and investments, strategic plans and acquisitions, and the potential impact of tariffs on our cost of goods sold and consumer demand for our products, among others. Additional sources of liquidity available to us include short-term borrowings and the issuance of long-term debt and equity securities.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Off-Balance Sheet Arrangements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financing arrangements during the nine months ended September 30, 2025 that have or are reasonably likely to have, a current or future effect on our financial condition, changes in financial condition, revenues or expenses, results of operations, liquidity, capital expenditures or capital resources that are material to our interests.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will continue to have cash requirements to support seasonal working capital needs and capital expenditures, to pay interest, to service debt, and to fund acquisitions. As part of our ongoing operations, we enter into contractual arrangements that obligate us to make future cash payments.</w:t>
      </w:r>
    </w:p>
    <w:p>
      <w:pPr>
        <w:pStyle w:val="TextBody"/>
        <w:bidi w:val="0"/>
        <w:spacing w:lineRule="auto" w:line="288" w:before="120" w:after="120"/>
        <w:jc w:val="both"/>
        <w:rPr/>
      </w:pPr>
      <w:r>
        <w:rPr>
          <w:rFonts w:ascii="Times New Roman;serif" w:hAnsi="Times New Roman;serif"/>
          <w:b w:val="false"/>
          <w:color w:val="000000"/>
          <w:sz w:val="20"/>
        </w:rPr>
        <w:t>Our primary obligations include principal and interest payments on the revolving credit facility and t</w:t>
      </w:r>
      <w:r>
        <w:rPr>
          <w:rFonts w:ascii="Times New Roman;serif" w:hAnsi="Times New Roman;serif"/>
          <w:b w:val="false"/>
          <w:color w:val="000000"/>
          <w:sz w:val="20"/>
          <w:shd w:fill="FFFFFF" w:val="clear"/>
        </w:rPr>
        <w:t xml:space="preserve">erm loan component of the Senior Credit Facility and our Securitization Facility. See </w:t>
      </w:r>
      <w:r>
        <w:rPr>
          <w:rFonts w:ascii="Times New Roman;serif" w:hAnsi="Times New Roman;serif"/>
          <w:b w:val="false"/>
          <w:i/>
          <w:color w:val="000000"/>
          <w:sz w:val="20"/>
          <w:shd w:fill="FFFFFF" w:val="clear"/>
        </w:rPr>
        <w:t>Note 6. Debt</w:t>
      </w:r>
      <w:r>
        <w:rPr>
          <w:rFonts w:ascii="Times New Roman;serif" w:hAnsi="Times New Roman;serif"/>
          <w:b w:val="false"/>
          <w:i/>
          <w:color w:val="000000"/>
          <w:sz w:val="18"/>
          <w:shd w:fill="FFFFFF" w:val="clear"/>
        </w:rPr>
        <w:t xml:space="preserve">, </w:t>
      </w:r>
      <w:r>
        <w:rPr>
          <w:rFonts w:ascii="Times New Roman;serif" w:hAnsi="Times New Roman;serif"/>
          <w:b w:val="false"/>
          <w:color w:val="000000"/>
          <w:sz w:val="20"/>
        </w:rPr>
        <w:t xml:space="preserve">to the Notes to Consolidated Financial Statements (Part I, Item 1 of this Quarterly Report) for details. </w:t>
      </w:r>
      <w:r>
        <w:rPr>
          <w:rFonts w:ascii="Times New Roman;serif" w:hAnsi="Times New Roman;serif"/>
          <w:b w:val="false"/>
          <w:color w:val="000000"/>
          <w:sz w:val="20"/>
          <w:shd w:fill="FFFFFF" w:val="clear"/>
        </w:rPr>
        <w:t xml:space="preserve">The Company also leases some of our manufacturing facilities and office buildings which have required future minimum lease payments. See </w:t>
      </w:r>
      <w:r>
        <w:rPr>
          <w:rFonts w:ascii="Times New Roman;serif" w:hAnsi="Times New Roman;serif"/>
          <w:b w:val="false"/>
          <w:i/>
          <w:color w:val="000000"/>
          <w:sz w:val="20"/>
          <w:shd w:fill="FFFFFF" w:val="clear"/>
        </w:rPr>
        <w:t>Note 10. Leases and Related Party Leases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to the Notes to Consolidated Financial Statements (Part I, Item 1 of this Quarterly Report) </w:t>
      </w:r>
      <w:r>
        <w:rPr>
          <w:rFonts w:ascii="Times New Roman;serif" w:hAnsi="Times New Roman;serif"/>
          <w:b w:val="false"/>
          <w:color w:val="000000"/>
          <w:sz w:val="20"/>
          <w:shd w:fill="FFFFFF" w:val="clear"/>
        </w:rPr>
        <w:t>for a schedule of our future minimum lease payments. Amounts related to the Company’s other obligations, including employment agreements and purchase obligations were not material.</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The Company has contingent consideration obligations related to prior and current year acquisitions and future pension contribution obligations. See </w:t>
      </w:r>
      <w:r>
        <w:rPr>
          <w:rFonts w:ascii="Times New Roman;serif" w:hAnsi="Times New Roman;serif"/>
          <w:b w:val="false"/>
          <w:i/>
          <w:color w:val="000000"/>
          <w:sz w:val="20"/>
          <w:shd w:fill="FFFFFF" w:val="clear"/>
        </w:rPr>
        <w:t>Note 9. Retirement Plans</w:t>
      </w:r>
      <w:r>
        <w:rPr>
          <w:rFonts w:ascii="Times New Roman;serif" w:hAnsi="Times New Roman;serif"/>
          <w:b w:val="false"/>
          <w:color w:val="000000"/>
          <w:sz w:val="20"/>
          <w:shd w:fill="FFFFFF" w:val="clear"/>
        </w:rPr>
        <w:t xml:space="preserve">, and </w:t>
      </w:r>
      <w:r>
        <w:rPr>
          <w:rFonts w:ascii="Times New Roman;serif" w:hAnsi="Times New Roman;serif"/>
          <w:b w:val="false"/>
          <w:i/>
          <w:color w:val="000000"/>
          <w:sz w:val="20"/>
          <w:shd w:fill="FFFFFF" w:val="clear"/>
        </w:rPr>
        <w:t>Note 16. Commitments and Contingencies</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to the Notes to Consolidated Financial Statements </w:t>
      </w:r>
      <w:r>
        <w:rPr>
          <w:rFonts w:ascii="Times New Roman;serif" w:hAnsi="Times New Roman;serif"/>
          <w:b w:val="false"/>
          <w:color w:val="000000"/>
          <w:sz w:val="20"/>
          <w:shd w:fill="FFFFFF" w:val="clear"/>
        </w:rPr>
        <w:t>(Part I, Item 1 of this Quarterly Report)</w:t>
      </w:r>
      <w:r>
        <w:rPr>
          <w:color w:val="000000"/>
        </w:rPr>
        <w:t xml:space="preserve"> </w:t>
      </w:r>
      <w:r>
        <w:rPr>
          <w:rFonts w:ascii="Times New Roman;serif" w:hAnsi="Times New Roman;serif"/>
          <w:b w:val="false"/>
          <w:color w:val="000000"/>
          <w:sz w:val="20"/>
        </w:rPr>
        <w:t xml:space="preserve">for details. </w:t>
      </w:r>
      <w:r>
        <w:rPr>
          <w:rFonts w:ascii="Times New Roman;serif" w:hAnsi="Times New Roman;serif"/>
          <w:b w:val="false"/>
          <w:color w:val="000000"/>
          <w:sz w:val="20"/>
          <w:shd w:fill="FFFFFF" w:val="clear"/>
        </w:rPr>
        <w:t>The associated obligations are not fixed. The Company also has a liability for uncertain tax benefits including interest and penalties.</w:t>
      </w:r>
    </w:p>
    <w:p>
      <w:pPr>
        <w:pStyle w:val="TextBody"/>
        <w:bidi w:val="0"/>
        <w:spacing w:lineRule="auto" w:line="288" w:before="120" w:after="120"/>
        <w:jc w:val="both"/>
        <w:rPr/>
      </w:pPr>
      <w:r>
        <w:rPr>
          <w:rFonts w:ascii="Times New Roman;serif" w:hAnsi="Times New Roman;serif"/>
          <w:b w:val="false"/>
          <w:color w:val="000000"/>
          <w:sz w:val="20"/>
          <w:shd w:fill="FFFFFF" w:val="clear"/>
        </w:rPr>
        <w:t xml:space="preserve">See </w:t>
      </w:r>
      <w:r>
        <w:rPr>
          <w:rFonts w:ascii="Times New Roman;serif" w:hAnsi="Times New Roman;serif"/>
          <w:b w:val="false"/>
          <w:i/>
          <w:color w:val="000000"/>
          <w:sz w:val="20"/>
        </w:rPr>
        <w:t>Note 12. Income Taxes</w:t>
      </w:r>
      <w:r>
        <w:rPr>
          <w:color w:val="000000"/>
          <w:shd w:fill="FFFFFF" w:val="clear"/>
        </w:rPr>
        <w:t xml:space="preserve"> </w:t>
      </w:r>
      <w:r>
        <w:rPr>
          <w:rFonts w:ascii="Times New Roman;serif" w:hAnsi="Times New Roman;serif"/>
          <w:b w:val="false"/>
          <w:color w:val="000000"/>
          <w:sz w:val="20"/>
        </w:rPr>
        <w:t xml:space="preserve">to the Notes to Consolidated Financial Statements </w:t>
      </w:r>
      <w:r>
        <w:rPr>
          <w:rFonts w:ascii="Times New Roman;serif" w:hAnsi="Times New Roman;serif"/>
          <w:b w:val="false"/>
          <w:color w:val="000000"/>
          <w:sz w:val="20"/>
          <w:shd w:fill="FFFFFF" w:val="clear"/>
        </w:rPr>
        <w:t>(Part I, Item 1 of this Quarterly Report)</w:t>
      </w:r>
      <w:r>
        <w:rPr>
          <w:color w:val="000000"/>
        </w:rPr>
        <w:t xml:space="preserve"> </w:t>
      </w:r>
      <w:r>
        <w:rPr>
          <w:rFonts w:ascii="Times New Roman;serif" w:hAnsi="Times New Roman;serif"/>
          <w:b w:val="false"/>
          <w:color w:val="000000"/>
          <w:sz w:val="20"/>
        </w:rPr>
        <w:t xml:space="preserve">for details. </w:t>
      </w:r>
      <w:r>
        <w:rPr>
          <w:rFonts w:ascii="Times New Roman;serif" w:hAnsi="Times New Roman;serif"/>
          <w:b w:val="false"/>
          <w:color w:val="000000"/>
          <w:sz w:val="20"/>
          <w:shd w:fill="FFFFFF" w:val="clear"/>
        </w:rPr>
        <w:t>The Company cannot make a reliable estimate of the period in which the uncertain tax benefits may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based the discussion and analysis of our financial condition and results of operations upon our consolidated financial statements, which have been prepared in conformity with GAAP. The preparation of these financial statements requires us to make estimates and assumptions that affect the reported amount of assets and liabilities, the disclosure of contingent liabilities, and the reported amounts of revenues and expenses. The critical accounting estimates discussed in our Annual Report on Form 10-K for the fiscal year ended December 31, 2024 did not materially change in the nine months ended September 30, 2025. </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Recently Issued Accounting Standards</w:t>
      </w:r>
    </w:p>
    <w:p>
      <w:pPr>
        <w:pStyle w:val="TextBody"/>
        <w:bidi w:val="0"/>
        <w:spacing w:lineRule="auto" w:line="288" w:before="120" w:after="120"/>
        <w:jc w:val="both"/>
        <w:rPr/>
      </w:pPr>
      <w:r>
        <w:rPr>
          <w:rFonts w:ascii="Times New Roman;serif" w:hAnsi="Times New Roman;serif"/>
          <w:b w:val="false"/>
          <w:color w:val="000000"/>
          <w:sz w:val="20"/>
        </w:rPr>
        <w:t xml:space="preserve">Information regarding new accounting pronouncements is included in </w:t>
      </w:r>
      <w:r>
        <w:rPr>
          <w:rFonts w:ascii="Times New Roman;serif" w:hAnsi="Times New Roman;serif"/>
          <w:b w:val="false"/>
          <w:i/>
          <w:color w:val="000000"/>
          <w:sz w:val="20"/>
        </w:rPr>
        <w:t>Note 1. Basis of Presentation</w:t>
      </w:r>
      <w:r>
        <w:rPr>
          <w:rFonts w:ascii="Times New Roman;serif" w:hAnsi="Times New Roman;serif"/>
          <w:b w:val="false"/>
          <w:color w:val="000000"/>
          <w:sz w:val="20"/>
        </w:rPr>
        <w:t>, to the Notes to Unaudited Condensed Consolidated Financial Statements (Part I, Item 1 of this Quarterly Report), and is applicable to the current period’s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Foreign Currency Exchange and Other Rate Risks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Israeli shekel,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pStyle w:val="TextBody"/>
        <w:bidi w:val="0"/>
        <w:spacing w:lineRule="auto" w:line="288" w:before="120" w:after="120"/>
        <w:jc w:val="both"/>
        <w:rPr/>
      </w:pPr>
      <w:r>
        <w:rPr>
          <w:rFonts w:ascii="Times New Roman;serif" w:hAnsi="Times New Roman;serif"/>
          <w:b w:val="false"/>
          <w:color w:val="000000"/>
          <w:sz w:val="20"/>
        </w:rPr>
        <w:t xml:space="preserve">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w:t>
      </w:r>
      <w:r>
        <w:rPr>
          <w:rFonts w:ascii="Times New Roman;serif" w:hAnsi="Times New Roman;serif"/>
          <w:b w:val="false"/>
          <w:i/>
          <w:color w:val="000000"/>
          <w:sz w:val="20"/>
        </w:rPr>
        <w:t>Note 7. Derivative Instruments</w:t>
      </w:r>
      <w:r>
        <w:rPr>
          <w:rFonts w:ascii="Times New Roman;serif" w:hAnsi="Times New Roman;serif"/>
          <w:b w:val="false"/>
          <w:color w:val="000000"/>
          <w:sz w:val="20"/>
        </w:rPr>
        <w:t>, to the Notes to Unaudited Condensed Consolidated Financial Statements (Part I, Item 1 of this Quarterly Report) for further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written policies and procedures governing our risk management activities. With respect to derivatives, changes in hedged items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results of operations discussed herein have not been materially affected by inflation.</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120" w:after="120"/>
        <w:jc w:val="both"/>
        <w:rPr/>
      </w:pPr>
      <w:r>
        <w:rPr>
          <w:rFonts w:ascii="Times New Roman;serif" w:hAnsi="Times New Roman;serif"/>
          <w:b w:val="false"/>
          <w:i/>
          <w:color w:val="000000"/>
          <w:sz w:val="20"/>
        </w:rPr>
        <w:t>Cash and Cash Equivalents</w:t>
      </w:r>
      <w:r>
        <w:rPr>
          <w:color w:val="000000"/>
        </w:rPr>
        <w:t xml:space="preserve"> </w:t>
      </w:r>
      <w:r>
        <w:rPr>
          <w:rFonts w:ascii="Times New Roman;serif" w:hAnsi="Times New Roman;serif"/>
          <w:b w:val="false"/>
          <w:color w:val="000000"/>
          <w:sz w:val="20"/>
        </w:rPr>
        <w:t>- We are exposed to the risk of interest rate fluctuations on the interest income earned on our cash and cash equivalents. A hypothetical 100 basis points increase or decrease in interest rates applicable to our cash and cash equivalents outstanding at September 30, 2025 would impact interest income by approximately $2.3 million on an annual basis. We are subject to foreign currency exchange risk with respect to cash balances maintained in foreign currencies.</w:t>
      </w:r>
    </w:p>
    <w:p>
      <w:pPr>
        <w:pStyle w:val="TextBody"/>
        <w:bidi w:val="0"/>
        <w:spacing w:lineRule="auto" w:line="288" w:before="120" w:after="120"/>
        <w:jc w:val="both"/>
        <w:rPr/>
      </w:pPr>
      <w:r>
        <w:rPr>
          <w:rFonts w:ascii="Times New Roman;serif" w:hAnsi="Times New Roman;serif"/>
          <w:b w:val="false"/>
          <w:i/>
          <w:color w:val="000000"/>
          <w:sz w:val="20"/>
        </w:rPr>
        <w:t xml:space="preserve">Short-Term Investments - </w:t>
      </w:r>
      <w:r>
        <w:rPr>
          <w:rFonts w:ascii="Times New Roman;serif" w:hAnsi="Times New Roman;serif"/>
          <w:b w:val="false"/>
          <w:color w:val="000000"/>
          <w:sz w:val="20"/>
        </w:rPr>
        <w:t xml:space="preserve">We are exposed to the risk of interest rate fluctuations on the interest income earned on our short-term investments. A hypothetical 100 basis points movement in interest rates applicable to our short-term investments outstanding at September 30, 2025 would increase or decrease interest income by approximately $0.4 million on an annual basis.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pP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xml:space="preserve">- Our interest rate risk relates primarily to U.S. dollar SOFR-indexed borrowings. We use interest rate swap derivative instruments to manage our earnings and cash flow exposure to changes in interest rates. These interest rate swaps fix the interest rate on a portion of our expected SOFR-indexed floating-rate borrowings. These interest rate swaps were designated as cash flow hedges as of September 30, 2025. The total notional amounts related to the Company's interest rate swaps were $900.0 million, of which all are effective as of September 30, 2025. Based on our outstanding borrowings at September 30, 2025, a 100 basis points change in interest rates would have impacted interest expense on the unhedged portion of the debt by $9.1 million on an annualized basis. See </w:t>
      </w:r>
      <w:r>
        <w:rPr>
          <w:rFonts w:ascii="Times New Roman;serif" w:hAnsi="Times New Roman;serif"/>
          <w:b w:val="false"/>
          <w:i/>
          <w:color w:val="000000"/>
          <w:sz w:val="20"/>
        </w:rPr>
        <w:t>Note 7. Derivative Instruments</w:t>
      </w:r>
      <w:r>
        <w:rPr>
          <w:rFonts w:ascii="Times New Roman;serif" w:hAnsi="Times New Roman;serif"/>
          <w:b w:val="false"/>
          <w:color w:val="000000"/>
          <w:sz w:val="20"/>
        </w:rPr>
        <w:t>, to the Notes to Unaudited Condensed Consolidated Financial Statements (Part I, Item 1 of this Quarterly Report) for further information regarding interest rate swaps.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2025. Based upon this evaluation, our principal executive officer and principal financial officer concluded that our disclosure controls and procedures were effective as of September 30, 2025 to provide such reasonable assurance.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 13a-15(f) under the Exchange Act) that occurred during the quarter ended September 30, 2025 that have materially affected, or are reasonably likely to materially affect, our internal control over financial reporting.</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 response to business integration activities, we have and will continue to further align and streamline the design and operation of the financial control environment to be responsive to the changing business model.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both"/>
        <w:rPr/>
      </w:pPr>
      <w:r>
        <w:rPr>
          <w:rFonts w:ascii="Times New Roman;serif" w:hAnsi="Times New Roman;serif"/>
          <w:b w:val="false"/>
          <w:color w:val="000000"/>
          <w:sz w:val="20"/>
        </w:rPr>
        <w:t xml:space="preserve">Please refer to </w:t>
      </w:r>
      <w:r>
        <w:rPr>
          <w:rFonts w:ascii="Times New Roman;serif" w:hAnsi="Times New Roman;serif"/>
          <w:b w:val="false"/>
          <w:i/>
          <w:color w:val="000000"/>
          <w:sz w:val="20"/>
        </w:rPr>
        <w:t>Note 16. Commitments and Contingencies,</w:t>
      </w:r>
      <w:r>
        <w:rPr>
          <w:color w:val="000000"/>
        </w:rPr>
        <w:t xml:space="preserve"> </w:t>
      </w:r>
      <w:r>
        <w:rPr>
          <w:rFonts w:ascii="Times New Roman;serif" w:hAnsi="Times New Roman;serif"/>
          <w:b w:val="false"/>
          <w:color w:val="000000"/>
          <w:sz w:val="20"/>
        </w:rPr>
        <w:t>to the Notes to Unaudited Condensed Consolidated Financial Statements (Part I, Item 1 of this Quarterly Report) for further details on current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ITEM 1A. RISK FACTORS </w:t>
      </w:r>
    </w:p>
    <w:p>
      <w:pPr>
        <w:pStyle w:val="TextBody"/>
        <w:bidi w:val="0"/>
        <w:spacing w:lineRule="auto" w:line="288" w:before="120" w:after="120"/>
        <w:jc w:val="both"/>
        <w:rPr/>
      </w:pPr>
      <w:r>
        <w:rPr>
          <w:rFonts w:ascii="Times New Roman;serif" w:hAnsi="Times New Roman;serif"/>
          <w:b w:val="false"/>
          <w:color w:val="212529"/>
          <w:sz w:val="20"/>
        </w:rPr>
        <w:t xml:space="preserve">There have been no material changes in our risk factors included in our Annual Report on Form 10-K for the fiscal year ended </w:t>
      </w:r>
      <w:r>
        <w:rPr>
          <w:rFonts w:ascii="Times New Roman;serif" w:hAnsi="Times New Roman;serif"/>
          <w:b w:val="false"/>
          <w:color w:val="000000"/>
          <w:sz w:val="20"/>
        </w:rPr>
        <w:t>December 31, 2024</w:t>
      </w:r>
      <w:r>
        <w:rPr>
          <w:color w:val="212529"/>
        </w:rPr>
        <w:t xml:space="preserve"> </w:t>
      </w:r>
      <w:r>
        <w:rPr>
          <w:rFonts w:ascii="Times New Roman;serif" w:hAnsi="Times New Roman;serif"/>
          <w:b w:val="false"/>
          <w:color w:val="212529"/>
          <w:sz w:val="20"/>
        </w:rPr>
        <w:t xml:space="preserve">and our </w:t>
      </w:r>
      <w:r>
        <w:rPr>
          <w:rFonts w:ascii="Times New Roman;serif" w:hAnsi="Times New Roman;serif"/>
          <w:b w:val="false"/>
          <w:color w:val="000000"/>
          <w:sz w:val="20"/>
        </w:rPr>
        <w:t>Quarterly Report on Form 10-Q for the quarter ended March 31, 2025, as previously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Sale of Unregistered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Purchases of Equity Securities: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 xml:space="preserve">ITEM 4. MINE SAFETY DISCLOSURES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Rule 10b5-1 Trading Plans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none of the Company’s directors or officers adopted or terminated any contract, instruction or written plan for the purchase or sale of Company securities that was intended to satisfy the affirmative defense conditions of Rule 10b5-1(c) or any “non-Rule 10b5-1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28"/>
        <w:gridCol w:w="288"/>
        <w:gridCol w:w="289"/>
        <w:gridCol w:w="109"/>
        <w:gridCol w:w="109"/>
        <w:gridCol w:w="109"/>
        <w:gridCol w:w="2700"/>
        <w:gridCol w:w="2593"/>
        <w:gridCol w:w="3680"/>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Exhibits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Amended and Restated Certificate of Incorporation of the Company dated February 16, 1993 (Incorporated by reference to Exhibit 3.1(a) to the Company’s Annual Report on Form 10-K for the fiscal year ended December 31, 2005)</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Certificate of Amendment to Amended and Restated Certificate of Incorporation of the Company dated May 22, 1998 (Incorporated by reference to Exhibit 3.1(b) to the Company’s Annual Report on Form 10-K for the fiscal year ended December 31, 1998)</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Certificate of Amendment to Amended and Restated Certificate of Incorporation of the Company dated May 17, 1999 (Incorporated by reference to Exhibit 3.1(c) to the Company’s Annual Report on Form 10-K for the fiscal year ended December 31, 2004)</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Amendment to Amended and Restated Certificate of Incorporation of the Company dated December 21, 2016 (Incorporated by reference to Exhibit 3.1 to the Company’s Current Report on Form 8-K filed on December 22, 2016)</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 (e)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Certificate of Amendment to the Amended and Restated Certificate of Incorporation of the Company dated May 9, 2024 (Incorporated by reference to Exhibit 3.1(e) to the Company’s Quarterly Report on Form 10-Q for the quarter ended September 30, 2024</w:t>
              </w:r>
            </w:hyperlink>
            <w:r>
              <w:rPr>
                <w:rFonts w:ascii="Times New Roman;serif" w:hAnsi="Times New Roman;serif"/>
                <w:b w:val="false"/>
                <w:color w:val="000000"/>
                <w:sz w:val="20"/>
              </w:rPr>
              <w:t xml:space="preserve">) </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Third Amended and Restated Bylaws of Integra LifeSciences Holdings Corporation, effective as of February 21, 2023 (Incorporated by reference to Exhibit 3.3 to the Company’s Annual Report on Form 10-K for the fiscal year ended December 31, 2022 filed on February 22, 2023)</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art-20250930xexx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50930xexx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50930xexx321.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rt-20250930xexx322.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Definition Linkbase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4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3154"/>
        <w:gridCol w:w="2771"/>
        <w:gridCol w:w="39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4"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Indicates this document is filed as an exhibit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financial information of Integra LifeSciences Holdings Corporation Quarterly Report on Form 10-Q for the quarter ended September 30, 2025 filed on October 30, 2025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8ca4c120fbaf4ed1ac8960f1774b9f8a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495" w:type="dxa"/>
        <w:jc w:val="left"/>
        <w:tblInd w:w="0" w:type="dxa"/>
        <w:tblLayout w:type="fixed"/>
        <w:tblCellMar>
          <w:top w:w="28" w:type="dxa"/>
          <w:left w:w="28" w:type="dxa"/>
          <w:bottom w:w="28" w:type="dxa"/>
          <w:right w:w="28" w:type="dxa"/>
        </w:tblCellMar>
      </w:tblPr>
      <w:tblGrid>
        <w:gridCol w:w="200"/>
        <w:gridCol w:w="177"/>
        <w:gridCol w:w="178"/>
        <w:gridCol w:w="504"/>
        <w:gridCol w:w="504"/>
        <w:gridCol w:w="506"/>
        <w:gridCol w:w="109"/>
        <w:gridCol w:w="109"/>
        <w:gridCol w:w="109"/>
        <w:gridCol w:w="1492"/>
        <w:gridCol w:w="1492"/>
        <w:gridCol w:w="211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INTEGRA LIFESCIENCES HOLDINGS CORPORATION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Jeffrey A. Mosebrook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Mojdeh Poul,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pPr>
      <w:r>
        <w:rPr>
          <w:rFonts w:ascii="Times New Roman;serif" w:hAnsi="Times New Roman;serif"/>
          <w:b w:val="false"/>
          <w:color w:val="000000"/>
          <w:sz w:val="20"/>
        </w:rPr>
        <w:t>5.</w:t>
      </w:r>
      <w:r>
        <w:rPr>
          <w:color w:val="000000"/>
        </w:rPr>
        <w:t xml:space="preserve"> </w:t>
      </w:r>
      <w:r>
        <w:rPr>
          <w:rFonts w:ascii="Times New Roman;serif" w:hAnsi="Times New Roman;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tbl>
      <w:tblPr>
        <w:tblW w:w="5308"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302 of the Sarbanes-Oxley Act of 2002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Lea Knight, certify that: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Integra LifeSciences Holdings Corporation;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568"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Integra LifeSciences Holdings Corporation (the “Company”) on Form 10-Q for the quarter ended September 30, 2025 as filed with the Securities Exchange Commission on the date hereof (the “Report”), I, Mojdeh Poul, President and Chief Executive Officer of the Company, hereby certify, pursuant to 18 U.S.C. §1350, as adopted pursuant to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308"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948"/>
        <w:gridCol w:w="948"/>
        <w:gridCol w:w="134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Mojdeh Poul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906 of the Sarbanes-Oxley Act of 2002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Integra LifeSciences Holdings Corporation (the “Company”) on Form 10-Q for the quarter ended September 30, 2025 as filed with the Securities Exchange Commission on the date hereof (the “Report”), I, Lea Knight, Executive Vice President and Chief Financial Officer of the Company, hereby certify, pursuant to 18 U.S.C. §1350, as adopted pursuant to §906 of the Sarbanes-Oxley Act of 2002, that to the best of my knowledge: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 of Section 13(a) or Section 15(d), as applicable, of the Securities Exchange Act of 1934, as amended;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568"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17"/>
        <w:gridCol w:w="1317"/>
        <w:gridCol w:w="186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 Knight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7520/000091752006000066/ex3-1aform10k031406.txt" TargetMode="External"/><Relationship Id="rId3" Type="http://schemas.openxmlformats.org/officeDocument/2006/relationships/hyperlink" Target="https://www.sec.gov/Archives/edgar/data/917520/0000889812-99-001063.txt" TargetMode="External"/><Relationship Id="rId4" Type="http://schemas.openxmlformats.org/officeDocument/2006/relationships/hyperlink" Target="https://www.sec.gov/Archives/edgar/data/917520/000095012305003217/y06769exv3w1wc.txt" TargetMode="External"/><Relationship Id="rId5" Type="http://schemas.openxmlformats.org/officeDocument/2006/relationships/hyperlink" Target="https://www.sec.gov/Archives/edgar/data/917520/000091752016000107/ex_3x1xfileddecember22x2016.htm" TargetMode="External"/><Relationship Id="rId6" Type="http://schemas.openxmlformats.org/officeDocument/2006/relationships/hyperlink" Target="https://www.sec.gov/Archives/edgar/data/917520/000091752024000108/iart-20240930xexx31e.htm" TargetMode="External"/><Relationship Id="rId7" Type="http://schemas.openxmlformats.org/officeDocument/2006/relationships/hyperlink" Target="https://www.sec.gov/Archives/edgar/data/917520/000091752023000015/iart-20221231xexx3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31961</Words>
  <Characters>181453</Characters>
  <CharactersWithSpaces>211473</CharactersWithSpaces>
  <Paragraphs>3514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