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0499.xml.htm"/>
      <w:bookmarkStart w:id="1" w:name="kswkform4_17833704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DAVIS ROBERT 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CAMPUS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INTEGRA LIFESCIENCES HOLDINGS CORP</w:t>
              </w:r>
            </w:hyperlink>
            <w:r>
              <w:rPr/>
              <w:t xml:space="preserve"> [ </w:t>
            </w:r>
            <w:r>
              <w:rPr>
                <w:rFonts w:ascii="Times;serif" w:hAnsi="Times;serif"/>
                <w:color w:val="0000FF"/>
                <w:sz w:val="24"/>
                <w:shd w:fill="FFFFFF" w:val="clear"/>
              </w:rPr>
              <w:t>IART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President, TR&amp;DT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54,530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("RSUs") pursuant to the Integra LifeSciences Holdings Corporation Fifth Amended and Restated 2003 Equity Incentive Plan, as amended (the "Plan").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All RSUs reported in this row were granted under the Plan and will vest in full on the second anniversary of the grant date, subject to the Reporting Person's continued service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Lesha Shinn; Attorney-in-Fact for Robert T. Davis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3606" TargetMode="External"/><Relationship Id="rId5" Type="http://schemas.openxmlformats.org/officeDocument/2006/relationships/hyperlink" Target="http://www.sec.gov/cgi-bin/browse-edgar?action=getcompany&amp;CIK=0000917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3508</Characters>
  <CharactersWithSpaces>4093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