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7"/>
        </w:rPr>
      </w:pPr>
      <w:r>
        <w:rPr>
          <w:rFonts w:ascii="Times New Roman;sans-serif" w:hAnsi="Times New Roman;sans-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 xml:space="preserve">October 25, 2023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INTEGRA LIFESCIENCES HOLDINGS CORPORATION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1100 Campus Road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Princeton, NJ 08540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25, 2023, Integra LifeSciences Holdings Corporation (the “Company”) issued a press release announcing financial results for the quarter ended September 30, 2023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and organic revenues excluding Boston, respectively, for the quarters ended September 30, 2023 and 2022, GAAP net income to adjusted earnings before interest, taxes, depreciation and amortization (“EBITDA”) for the quarters ended September 30, 2023 and 2022, GAAP net income to adjusted net income for the quarters ended September 30, 2023 and 2022, GAAP earnings per diluted share to adjusted earnings per diluted share for the quarters ended September 30, 2023 and 2022, GAAP total debt to net debt for the quarters ended September 30, 2023 and 2022, and GAAP operating cash flow to free cash flow and adjusted free cash flow conversion used by management for the quarters and twelve months ended September 30, 2023 and 2022.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Discussion of Adjusted Financial Measures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GAAP results, we provide certain non-GAAP measures, including organic revenues, organic revenues excluding Boston, adjusted EBITDA, adjusted net income, adjusted earnings per diluted share, net debt, free cash flow and adjusted free cash flow conversion. Organic revenues consist of total revenues excluding the effects of currency exchange rates, revenues from current-period acquisitions and product divestitures and discontinuances. Organic revenues excluding Boston consist of total revenues excluding (i) the effects of currency exchange rates, revenues from current-period acquisitions and product divestitures and discontinuances and (ii) revenues associated with Boston-produced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(v) intangible asset amortization expense; and (vi) income tax impact from adjustments. The adjusted earnings per diluted share measure is calculated by dividing adjusted net income attributable to diluted shares by diluted weighted average shares outstanding. The measure of net debt consists of GAAP total debt (excluding deferred financing costs) less cash and cash equivalents. The measure of free cash flow consists of GAAP net cash provided by operating activities less purchases of property and equipment. The adjusted free cash flow conversion measure is calculated by dividing free cash flow by adjusted net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the presentation of organic revenues, organic revenues excluding Boston and the various adjusted EBITDA, adjusted net income,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organic revenues excluding Boston, adjusted EBITDA, adjusted net income,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Organic revenues, organic revenues excluding Boston, adjusted EBITDA, adjusted net income, adjusted earnings per diluted share, net debt, free cash flow and adjusted free cash flow conversion are significant measures used by management for purposes of:</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supplementing the financial results and forecasts reported to the Company's board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managing and benchmarking the operating performance of the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establishing internal operating budgets;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determining compensation under bonus or other incentive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enhancing comparability from period to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comparing performance with internal forecasts and targeted business models;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valuing potential acquisition candidates.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organic revenues that we report reflects the decrease in total revenues for the quarter ended September 30, 2023 adjusted for the effects of currency exchange rates, revenues from acquisitions, revenues from divested products, and product discontinuations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acquisitions and discontinued product lines can distort our current period revenues when compared to prior periods.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 of organic revenues excluding Boston that we report reflects our total revenues for the quarter ended September 30, 2023 adjusted (i) for the effects of currency exchange rates, revenues from acquisitions, revenues from divested products, and product discontinuations on current period revenues and (ii) revenues associated with Boston-produced products including sales reported prior to the recall and the impact of sales return provisions recorded. Management believes that this measure provides useful information when evaluating the Company’s revenues because of the infrequent and/or large scale nature of the recall which can distort our current period revenues when compared to prior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 of adjusted net income reflects GAAP net income adjusted for one or more of the following items, as applicable: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u w:val="single"/>
        </w:rPr>
        <w:t>Structural optimization charges.</w:t>
      </w:r>
      <w:r>
        <w:rPr>
          <w:color w:val="000000"/>
        </w:rPr>
        <w:t xml:space="preserve"> </w:t>
      </w:r>
      <w:r>
        <w:rPr>
          <w:rFonts w:ascii="Times New Roman;sans-serif" w:hAnsi="Times New Roman;sans-serif"/>
          <w:b w:val="false"/>
          <w:color w:val="000000"/>
          <w:sz w:val="20"/>
        </w:rPr>
        <w:t>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u w:val="single"/>
        </w:rPr>
        <w:t>Acquisition, divestiture and integration-related charges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Acquisition, divestiture and integration-related charges include (i) inventory fair value purchase accounting adjustments, (ii) changes in the fair value of contingent consideration after the acquisition date, (iii) costs related to acquisition integration,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u w:val="single"/>
        </w:rPr>
        <w:t>EU Medical Device Regulation charges.</w:t>
      </w:r>
      <w:r>
        <w:rPr>
          <w:color w:val="000000"/>
        </w:rPr>
        <w:t xml:space="preserve"> </w:t>
      </w:r>
      <w:r>
        <w:rPr>
          <w:rFonts w:ascii="Times New Roman;sans-serif" w:hAnsi="Times New Roman;sans-serif"/>
          <w:b w:val="false"/>
          <w:color w:val="000000"/>
          <w:sz w:val="20"/>
        </w:rPr>
        <w:t>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u w:val="single"/>
        </w:rPr>
        <w:t>Boston Recall charges.</w:t>
      </w:r>
      <w:r>
        <w:rPr>
          <w:color w:val="000000"/>
        </w:rPr>
        <w:t xml:space="preserve"> </w:t>
      </w:r>
      <w:r>
        <w:rPr>
          <w:rFonts w:ascii="Times New Roman;sans-serif" w:hAnsi="Times New Roman;sans-serif"/>
          <w:b w:val="false"/>
          <w:color w:val="000000"/>
          <w:sz w:val="20"/>
        </w:rPr>
        <w:t xml:space="preserve">These charges represent costs, including inventory write-offs and idle capacity charges, incurred in connection with the recall. Management excludes this item when evaluating the Company’s operating performance because of the infrequent and/or large scale nature of these activities.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u w:val="single"/>
        </w:rPr>
        <w:t>Intangible asset amortization expense.</w:t>
      </w:r>
      <w:r>
        <w:rPr>
          <w:color w:val="000000"/>
        </w:rPr>
        <w:t xml:space="preserve"> </w:t>
      </w:r>
      <w:r>
        <w:rPr>
          <w:rFonts w:ascii="Times New Roman;sans-serif" w:hAnsi="Times New Roman;sans-serif"/>
          <w:b w:val="false"/>
          <w:color w:val="000000"/>
          <w:sz w:val="20"/>
        </w:rPr>
        <w:t>Management excludes this item when evaluating the Company's operating performance because it is a non-cash expense.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u w:val="single"/>
        </w:rPr>
        <w:t>Income tax impact from adjustments.</w:t>
      </w:r>
      <w:r>
        <w:rPr>
          <w:color w:val="000000"/>
        </w:rPr>
        <w:t xml:space="preserve"> </w:t>
      </w:r>
      <w:r>
        <w:rPr>
          <w:rFonts w:ascii="Times New Roman;sans-serif" w:hAnsi="Times New Roman;sans-serif"/>
          <w:b w:val="false"/>
          <w:color w:val="000000"/>
          <w:sz w:val="20"/>
        </w:rPr>
        <w:t>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Organic revenues, organic revenues excluding Boston, adjusted EBITDA, adjusted net income,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financial tables portion of the Press Release, the Company has included a reconciliation of GAAP reported revenues to organic revenues for the quarters ended September 30, 2023 and 2022, GAAP reported revenues to organic revenues excluding Boston for the quarters ended September 30, 2023 and 2022 and GAAP net income to adjusted EBITDA, GAAP net income to adjusted net income, GAAP earnings per diluted share to adjusted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 diluted share, GAAP total debt to net debt, and GAAP operating cash flow to free cash flow and adjusted free cash flow conversion used by management for the quarters and twelve months ended September 30, 2023 and 2022.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99.1 </w:t>
      </w:r>
      <w:hyperlink w:anchor="ex991-q32023earningsrelease.htm">
        <w:r>
          <w:rPr>
            <w:rStyle w:val="InternetLink"/>
          </w:rPr>
          <w:t xml:space="preserve">Press Release with attachments, dated </w:t>
        </w:r>
      </w:hyperlink>
      <w:hyperlink w:anchor="ex991-q32023earningsrelease.htm">
        <w:r>
          <w:rPr>
            <w:rStyle w:val="InternetLink"/>
          </w:rPr>
          <w:t>October 25, 2023</w:t>
        </w:r>
      </w:hyperlink>
      <w:hyperlink w:anchor="ex991-q32023earningsrelease.htm">
        <w:r>
          <w:rPr>
            <w:rStyle w:val="InternetLink"/>
          </w:rPr>
          <w:t>, issued by Integra LifeSciences Holdings Corporation</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104 Cover Page Interactive Data File (embedded within the inline XRBL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674" w:type="dxa"/>
        <w:jc w:val="left"/>
        <w:tblInd w:w="0" w:type="dxa"/>
        <w:tblLayout w:type="fixed"/>
        <w:tblCellMar>
          <w:top w:w="28" w:type="dxa"/>
          <w:left w:w="28" w:type="dxa"/>
          <w:bottom w:w="28" w:type="dxa"/>
          <w:right w:w="28" w:type="dxa"/>
        </w:tblCellMar>
      </w:tblPr>
      <w:tblGrid>
        <w:gridCol w:w="726"/>
        <w:gridCol w:w="640"/>
        <w:gridCol w:w="643"/>
        <w:gridCol w:w="742"/>
        <w:gridCol w:w="742"/>
        <w:gridCol w:w="742"/>
        <w:gridCol w:w="1296"/>
        <w:gridCol w:w="1296"/>
        <w:gridCol w:w="184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 LIFESCIENCES HOLDINGS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25, 2023</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Lea Knight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 Knight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i/>
          <w:color w:val="000000"/>
          <w:sz w:val="32"/>
        </w:rPr>
      </w:pPr>
      <w:r>
        <w:rPr>
          <w:rFonts w:ascii="Times New Roman;sans-serif" w:hAnsi="Times New Roman;sans-serif"/>
          <w:b w:val="false"/>
          <w:i/>
          <w:color w:val="000000"/>
          <w:sz w:val="32"/>
        </w:rPr>
        <w:t>News Release</w:t>
      </w:r>
    </w:p>
    <w:p>
      <w:pPr>
        <w:pStyle w:val="TextBody"/>
        <w:bidi w:val="0"/>
        <w:spacing w:before="0" w:after="200"/>
        <w:jc w:val="left"/>
        <w:rPr/>
      </w:pPr>
      <w:r>
        <w:rPr/>
      </w:r>
    </w:p>
    <w:p>
      <w:pPr>
        <w:pStyle w:val="TextBody"/>
        <w:bidi w:val="0"/>
        <w:spacing w:lineRule="auto" w:line="288" w:before="100" w:after="240"/>
        <w:jc w:val="center"/>
        <w:rPr>
          <w:rFonts w:ascii="Times New Roman;sans-serif" w:hAnsi="Times New Roman;sans-serif"/>
          <w:b/>
          <w:i/>
          <w:color w:val="000000"/>
          <w:sz w:val="28"/>
        </w:rPr>
      </w:pPr>
      <w:r>
        <w:rPr>
          <w:rFonts w:ascii="Times New Roman;sans-serif" w:hAnsi="Times New Roman;sans-serif"/>
          <w:b/>
          <w:i/>
          <w:color w:val="000000"/>
          <w:sz w:val="28"/>
        </w:rPr>
        <w:t>Integra LifeSciences Reports Third Quarter 2023 Financial Results</w:t>
      </w:r>
    </w:p>
    <w:p>
      <w:pPr>
        <w:pStyle w:val="TextBody"/>
        <w:bidi w:val="0"/>
        <w:spacing w:lineRule="auto" w:line="288" w:before="0" w:after="0"/>
        <w:jc w:val="left"/>
        <w:rPr/>
      </w:pPr>
      <w:r>
        <w:rPr>
          <w:rFonts w:ascii="Times New Roman;sans-serif" w:hAnsi="Times New Roman;sans-serif"/>
          <w:b w:val="false"/>
          <w:color w:val="000000"/>
          <w:sz w:val="22"/>
        </w:rPr>
        <w:t xml:space="preserve">PRINCETON, N.J., October 25, 2023 - </w:t>
      </w:r>
      <w:r>
        <w:rPr>
          <w:rFonts w:ascii="Times New Roman;sans-serif" w:hAnsi="Times New Roman;sans-serif"/>
          <w:b w:val="false"/>
          <w:color w:val="0000FF"/>
          <w:sz w:val="22"/>
          <w:u w:val="single"/>
        </w:rPr>
        <w:t>Integra LifeSciences Holdings Corporation</w:t>
      </w:r>
      <w:r>
        <w:rPr>
          <w:color w:val="000000"/>
        </w:rPr>
        <w:t xml:space="preserve"> </w:t>
      </w:r>
      <w:r>
        <w:rPr>
          <w:rFonts w:ascii="Times New Roman;sans-serif" w:hAnsi="Times New Roman;sans-serif"/>
          <w:b w:val="false"/>
          <w:color w:val="000000"/>
          <w:sz w:val="22"/>
        </w:rPr>
        <w:t>(NASDAQ: IART), a leading global medical technology company, today reported financial results for the third quarter ending September 30, 2023.</w:t>
      </w:r>
    </w:p>
    <w:p>
      <w:pPr>
        <w:pStyle w:val="TextBody"/>
        <w:bidi w:val="0"/>
        <w:spacing w:before="100" w:after="200"/>
        <w:jc w:val="left"/>
        <w:rPr/>
      </w:pPr>
      <w:r>
        <w:rPr/>
      </w:r>
    </w:p>
    <w:p>
      <w:pPr>
        <w:pStyle w:val="TextBody"/>
        <w:bidi w:val="0"/>
        <w:spacing w:lineRule="auto" w:line="288" w:before="100" w:after="200"/>
        <w:jc w:val="left"/>
        <w:rPr>
          <w:rFonts w:ascii="Times New Roman;sans-serif" w:hAnsi="Times New Roman;sans-serif"/>
          <w:b/>
          <w:color w:val="000000"/>
          <w:sz w:val="22"/>
        </w:rPr>
      </w:pPr>
      <w:r>
        <w:rPr>
          <w:rFonts w:ascii="Times New Roman;sans-serif" w:hAnsi="Times New Roman;sans-serif"/>
          <w:b/>
          <w:color w:val="000000"/>
          <w:sz w:val="22"/>
        </w:rPr>
        <w:t>Third Quarter 2023 Highlights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Third quarter revenues of $382.4 million declined 0.7% on a reported basis and declined 0.4% on an organic basis compared to the prior year and increased 7.1% on an organic basis excluding Boston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Third quarter GAAP earnings per diluted share of $0.24, compared to $0.60 in the prior year; adjusted earnings per diluted share of $0.76, compared to $0.86 in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Successfully completed all interim external inspections in preparation for the Boston manufacturing facility restart and remain on track to committed timelines</w:t>
      </w:r>
    </w:p>
    <w:p>
      <w:pPr>
        <w:pStyle w:val="TextBody"/>
        <w:bidi w:val="0"/>
        <w:spacing w:before="0" w:after="0"/>
        <w:ind w:left="0" w:right="0" w:hanging="108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2"/>
        </w:rPr>
        <w:t xml:space="preserve">Relaunched CereLink® ICP Monitor in select international markets and submitted a 510(k) premarket notification in the U.S. </w:t>
      </w:r>
    </w:p>
    <w:p>
      <w:pPr>
        <w:pStyle w:val="TextBody"/>
        <w:bidi w:val="0"/>
        <w:spacing w:before="0" w:after="0"/>
        <w:ind w:left="0" w:right="0" w:hanging="108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Completed $125 million accelerated share repurchase initiated in the third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Updating full-year 2023 revenue and adjusted earnings per share guidance with a range of $1.541 billion to $1.547 billion and $3.10 to $3.14 respectively, which reflects the impact of third quarter Boston recall returns, strong organic growth of the business excluding Boston, strengthening U.S. dollar and tax favorability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rPr>
        <w:t>"Although the Boston returns weighed further on our third quarter results, we are on track to restart the Boston facility by the end of the year, and we also met two significant CereLink milestones with the relaunch in international markets and submission for regulatory approval in the U.S.,"</w:t>
      </w:r>
      <w:r>
        <w:rPr>
          <w:color w:val="000000"/>
        </w:rPr>
        <w:t xml:space="preserve"> </w:t>
      </w:r>
      <w:r>
        <w:rPr>
          <w:rFonts w:ascii="Times New Roman;sans-serif" w:hAnsi="Times New Roman;sans-serif"/>
          <w:b w:val="false"/>
          <w:color w:val="000000"/>
          <w:sz w:val="22"/>
        </w:rPr>
        <w:t>said Jan De Witte, Integra LifeSciences' president and chief executive officer. "At the same time, our strong organic growth performance in the Codman Specialty Surgical and Tissue Technologies businesses, excluding Boston, plus advances across our product pipeline, give us confidence in our long-range growth commitments."</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Third Quarter 2023 Consolidated Performance</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Total reported revenues of $382.4 million declined 0.7% on a reported basis and declined 0.4% on an organic basis compared to the prior year. </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reported GAAP gross margin of 57.1%, compared to 61.5% in the third quarter of 2022. Adjusted gross margin was 64.6%, compared to 66.7% in the prior year.</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for the third quarter of 2023 was $88.1 million, or 23.0% of revenue, compared to $105.3 million, or 27.3% of revenue, in the prior year.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reported GAAP net income of $19.5 million, or $0.24 per diluted share, in the third quarter of 2023, compared to a GAAP net income of $49.9 million, or $0.60 per diluted share, in the prior year. </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Adjusted net income for the third quarter of 2023 was $60.5 million, or $0.76 per diluted share, compared to $71.7 million or $0.86 per diluted share, in the prior year.</w:t>
      </w:r>
    </w:p>
    <w:p>
      <w:pPr>
        <w:pStyle w:val="TextBody"/>
        <w:bidi w:val="0"/>
        <w:spacing w:before="0" w:after="200"/>
        <w:jc w:val="left"/>
        <w:rPr/>
      </w:pPr>
      <w:r>
        <w:rPr/>
      </w:r>
    </w:p>
    <w:p>
      <w:pPr>
        <w:pStyle w:val="TextBody"/>
        <w:bidi w:val="0"/>
        <w:spacing w:lineRule="auto" w:line="288" w:before="0" w:after="200"/>
        <w:jc w:val="left"/>
        <w:rPr>
          <w:rFonts w:ascii="Times New Roman;sans-serif" w:hAnsi="Times New Roman;sans-serif"/>
          <w:b/>
          <w:color w:val="000000"/>
          <w:sz w:val="22"/>
        </w:rPr>
      </w:pPr>
      <w:r>
        <w:rPr>
          <w:rFonts w:ascii="Times New Roman;sans-serif" w:hAnsi="Times New Roman;sans-serif"/>
          <w:b/>
          <w:color w:val="000000"/>
          <w:sz w:val="22"/>
        </w:rPr>
        <w:t>Third Quarter 2023 Segment Performance</w:t>
      </w:r>
    </w:p>
    <w:p>
      <w:pPr>
        <w:pStyle w:val="TextBody"/>
        <w:bidi w:val="0"/>
        <w:spacing w:lineRule="auto" w:line="288" w:before="0" w:after="20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Codman Specialty Surgical (~70% of Revenues)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Total revenues were $268.2 million, representing reported growth of 7.4% and organic growth of 7.4% compared to the third quarter of 2022, attributable to</w:t>
      </w:r>
      <w:r>
        <w:rPr>
          <w:color w:val="000000"/>
        </w:rPr>
        <w:t xml:space="preserve"> </w:t>
      </w:r>
      <w:r>
        <w:rPr>
          <w:rFonts w:ascii="Times New Roman;sans-serif" w:hAnsi="Times New Roman;sans-serif"/>
          <w:b w:val="false"/>
          <w:color w:val="000000"/>
          <w:sz w:val="24"/>
        </w:rPr>
        <w:t xml:space="preserve">low-double digit growth </w:t>
      </w:r>
      <w:r>
        <w:rPr>
          <w:rFonts w:ascii="Times New Roman;sans-serif" w:hAnsi="Times New Roman;sans-serif"/>
          <w:b w:val="false"/>
          <w:color w:val="000000"/>
          <w:sz w:val="22"/>
        </w:rPr>
        <w:t xml:space="preserve">in CSF management and Neuro Monitoring driven by Certas® Plus valves, BactiSeal® catheters and ICP microsensors; </w:t>
      </w:r>
      <w:r>
        <w:rPr>
          <w:rFonts w:ascii="Times New Roman;sans-serif" w:hAnsi="Times New Roman;sans-serif"/>
          <w:b w:val="false"/>
          <w:color w:val="000000"/>
          <w:sz w:val="24"/>
        </w:rPr>
        <w:t xml:space="preserve">high-single-digit growth </w:t>
      </w:r>
      <w:r>
        <w:rPr>
          <w:rFonts w:ascii="Times New Roman;sans-serif" w:hAnsi="Times New Roman;sans-serif"/>
          <w:b w:val="false"/>
          <w:color w:val="000000"/>
          <w:sz w:val="22"/>
        </w:rPr>
        <w:t xml:space="preserve">in Dural Access and Repair driven by DuraGen® DuraSeal® and Mayfield®; </w:t>
      </w:r>
      <w:r>
        <w:rPr>
          <w:rFonts w:ascii="Times New Roman;sans-serif" w:hAnsi="Times New Roman;sans-serif"/>
          <w:b w:val="false"/>
          <w:color w:val="000000"/>
          <w:sz w:val="24"/>
        </w:rPr>
        <w:t>low single-digit decline i</w:t>
      </w:r>
      <w:r>
        <w:rPr>
          <w:rFonts w:ascii="Times New Roman;sans-serif" w:hAnsi="Times New Roman;sans-serif"/>
          <w:b w:val="false"/>
          <w:color w:val="000000"/>
          <w:sz w:val="22"/>
        </w:rPr>
        <w:t>n Advanced Energy due to timing of CUSA® capital orders; and</w:t>
      </w:r>
      <w:r>
        <w:rPr>
          <w:color w:val="000000"/>
        </w:rPr>
        <w:t xml:space="preserve"> </w:t>
      </w:r>
      <w:r>
        <w:rPr>
          <w:rFonts w:ascii="Times New Roman;sans-serif" w:hAnsi="Times New Roman;sans-serif"/>
          <w:b w:val="false"/>
          <w:color w:val="000000"/>
          <w:sz w:val="24"/>
        </w:rPr>
        <w:t>mid single-digit growth</w:t>
      </w:r>
      <w:r>
        <w:rPr>
          <w:color w:val="000000"/>
        </w:rPr>
        <w:t xml:space="preserve"> </w:t>
      </w:r>
      <w:r>
        <w:rPr>
          <w:rFonts w:ascii="Times New Roman;sans-serif" w:hAnsi="Times New Roman;sans-serif"/>
          <w:b w:val="false"/>
          <w:color w:val="000000"/>
          <w:sz w:val="22"/>
        </w:rPr>
        <w:t>in Instruments.</w:t>
      </w:r>
    </w:p>
    <w:p>
      <w:pPr>
        <w:pStyle w:val="TextBody"/>
        <w:bidi w:val="0"/>
        <w:spacing w:before="0" w:after="0"/>
        <w:jc w:val="left"/>
        <w:rPr/>
      </w:pPr>
      <w:r>
        <w:rPr/>
      </w:r>
    </w:p>
    <w:p>
      <w:pPr>
        <w:pStyle w:val="TextBody"/>
        <w:bidi w:val="0"/>
        <w:spacing w:lineRule="auto" w:line="276" w:before="0" w:after="0"/>
        <w:ind w:left="0" w:right="0" w:hanging="720"/>
        <w:jc w:val="left"/>
        <w:rPr>
          <w:rFonts w:ascii="Times New Roman;sans-serif" w:hAnsi="Times New Roman;sans-serif"/>
          <w:b/>
          <w:color w:val="000000"/>
          <w:sz w:val="22"/>
        </w:rPr>
      </w:pPr>
      <w:r>
        <w:rPr>
          <w:rFonts w:ascii="Times New Roman;sans-serif" w:hAnsi="Times New Roman;sans-serif"/>
          <w:b/>
          <w:color w:val="000000"/>
          <w:sz w:val="22"/>
        </w:rPr>
        <w:t>Tissue Technologies (~30% of Revenues)</w:t>
      </w:r>
    </w:p>
    <w:p>
      <w:pPr>
        <w:pStyle w:val="TextBody"/>
        <w:bidi w:val="0"/>
        <w:spacing w:before="0" w:after="0"/>
        <w:ind w:left="0" w:right="0" w:hanging="72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Total revenues were $114.2 million, representing reported decline of 15.6% and organic decline of 15.1% compared to the third quarter of 2022, due to the impact of the lost revenue and increase in the return provision related to the Boston product recall which was partially offset b</w:t>
      </w:r>
      <w:r>
        <w:rPr>
          <w:rFonts w:ascii="Times New Roman;sans-serif" w:hAnsi="Times New Roman;sans-serif"/>
          <w:b w:val="false"/>
          <w:color w:val="000000"/>
          <w:sz w:val="24"/>
        </w:rPr>
        <w:t>y double digit</w:t>
      </w:r>
      <w:r>
        <w:rPr>
          <w:color w:val="000000"/>
        </w:rPr>
        <w:t xml:space="preserve"> </w:t>
      </w:r>
      <w:r>
        <w:rPr>
          <w:rFonts w:ascii="Times New Roman;sans-serif" w:hAnsi="Times New Roman;sans-serif"/>
          <w:b w:val="false"/>
          <w:color w:val="000000"/>
          <w:sz w:val="22"/>
        </w:rPr>
        <w:t>growth from MicroMatrix®, Cytal®, Gentrix® and amniotics.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Tissue Technologies organic growth excluding Boston products was 6.7%.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Key Products and Business Highlights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color w:val="000000"/>
          <w:sz w:val="22"/>
        </w:rPr>
        <w:t xml:space="preserve">Boston Restart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2"/>
        </w:rPr>
        <w:t>Project team driving progress on Boston remediation plan with external inspections confirming quality of execution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2"/>
        </w:rPr>
        <w:t>Expect to restart manufacturing in Boston by end of Q4’23 and resume commercial distribution in mid-to late Q2’24</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color w:val="000000"/>
          <w:sz w:val="22"/>
        </w:rPr>
        <w:t>Advancing our portfolio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Relaunched CereLink in select international markets and submitted a 510(k) premarket notification to the U.S. Food and Drug Administration for CereLink.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Submitted 510(k) premarket notification for next generation Aurora® 8mm Surgiscope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Continued international expansion of CUSA platform with the launch of Clarity Stage 3, Laparoscopic tip and Single Sided Bone Tip in Saudi Arabia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Launched DuraGen Plus in China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Completed international registrations of DuraGen, DuraSeal, Mayfield, Duo LED lighting, electrosurgery and nerve products primarily in LATAM and EMEA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Extended the Urinary Bladder Matrix platform by obtaining 510(k) clearance for MicroMatrix Flex</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Progressed In-China-for-China strategy by beginning buildout of leased manufacturing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Issued </w:t>
      </w:r>
      <w:r>
        <w:rPr>
          <w:rFonts w:ascii="Times New Roman;sans-serif" w:hAnsi="Times New Roman;sans-serif"/>
          <w:b w:val="false"/>
          <w:color w:val="0000FF"/>
          <w:sz w:val="22"/>
          <w:u w:val="single"/>
        </w:rPr>
        <w:t>2022 ESG report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Further strengthened executive leadership team with the appointment of Chantal Veillon as chief human resources officer </w:t>
      </w:r>
    </w:p>
    <w:p>
      <w:pPr>
        <w:pStyle w:val="TextBody"/>
        <w:bidi w:val="0"/>
        <w:spacing w:before="0" w:after="200"/>
        <w:jc w:val="left"/>
        <w:rPr/>
      </w:pPr>
      <w:r>
        <w:rPr/>
      </w:r>
    </w:p>
    <w:p>
      <w:pPr>
        <w:pStyle w:val="TextBody"/>
        <w:bidi w:val="0"/>
        <w:spacing w:lineRule="auto" w:line="268" w:before="0" w:after="200"/>
        <w:jc w:val="left"/>
        <w:rPr>
          <w:rFonts w:ascii="Times New Roman;sans-serif" w:hAnsi="Times New Roman;sans-serif"/>
          <w:b/>
          <w:color w:val="000000"/>
          <w:sz w:val="22"/>
        </w:rPr>
      </w:pPr>
      <w:r>
        <w:rPr>
          <w:rFonts w:ascii="Times New Roman;sans-serif" w:hAnsi="Times New Roman;sans-serif"/>
          <w:b/>
          <w:color w:val="000000"/>
          <w:sz w:val="22"/>
        </w:rPr>
        <w:t>Balance Sheet, Cash Flow and Capital Allocation</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generated cash flow from operations of $26.8 million in the quarter. Total balance sheet debt and net debt at the end of the quarter were $1.52 billion and $1.24 billion, respectively, and the consolidated total leverage ratio was 3.0x.</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of quarter end, the Company had total liquidity of approximately $1.48 billion, including $273.7 million in cash and the remainder available under its revolving credit facility.</w:t>
      </w:r>
    </w:p>
    <w:p>
      <w:pPr>
        <w:pStyle w:val="TextBody"/>
        <w:bidi w:val="0"/>
        <w:spacing w:before="0" w:after="0"/>
        <w:jc w:val="left"/>
        <w:rPr/>
      </w:pPr>
      <w:r>
        <w:rPr/>
      </w:r>
    </w:p>
    <w:p>
      <w:pPr>
        <w:pStyle w:val="TextBody"/>
        <w:bidi w:val="0"/>
        <w:spacing w:lineRule="auto" w:line="268" w:before="0" w:after="200"/>
        <w:jc w:val="left"/>
        <w:rPr>
          <w:rFonts w:ascii="Times New Roman;sans-serif" w:hAnsi="Times New Roman;sans-serif"/>
          <w:b/>
          <w:color w:val="000000"/>
          <w:sz w:val="22"/>
        </w:rPr>
      </w:pPr>
      <w:r>
        <w:rPr>
          <w:rFonts w:ascii="Times New Roman;sans-serif" w:hAnsi="Times New Roman;sans-serif"/>
          <w:b/>
          <w:color w:val="000000"/>
          <w:sz w:val="22"/>
        </w:rPr>
        <w:t>2023 Outlook</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full year 2023, the Company is updating its revenue and adjusted EPS expectations to $1.541 to $1.547 billion and $3.10 to $3.14, respectively. The revenue range represents reported growth of -1.1% to -0.7%, with organic growth of 0.1% to 0.5%, reflecting the impact of higher-than-expected Boston recall returns, strong organic growth excluding Boston, the strength of the U.S. dollar, and an updated tax rate.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fourth quarter 2023, the Company expects reported revenues in the range of $397 million to $403 million, representing reported growth of -0.4% to +1.1% and organic growth of -0.8% to +0.7%. Adjusted earnings per diluted share are expected to be in the range of $0.89 to $0.93, including the impact of the Boston recall, the strength of the U.S. dollar, and an updated tax rate.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guidance for the fourth quarter and full-year organic sales growth excludes acquisitions and divestitures, the effects of foreign currency and the year-over-year change in revenue from discontinued products. Organic growth excludes sales from the divestiture of the Company’s traditional wound care (TWC) business as of September 1, 2022, and sales from the acquisition of Surgical Innovation Associates, Inc. (SIA) through December 1, 2023. Adjusted earnings per share guidance reflects the impacts of the divestiture of the TWC business, the SIA acquisition, and foreign currency. </w:t>
      </w:r>
    </w:p>
    <w:p>
      <w:pPr>
        <w:pStyle w:val="TextBody"/>
        <w:bidi w:val="0"/>
        <w:spacing w:before="0" w:after="0"/>
        <w:jc w:val="left"/>
        <w:rPr/>
      </w:pPr>
      <w:r>
        <w:rPr/>
      </w:r>
    </w:p>
    <w:p>
      <w:pPr>
        <w:pStyle w:val="TextBody"/>
        <w:bidi w:val="0"/>
        <w:spacing w:lineRule="auto" w:line="276" w:before="0" w:after="200"/>
        <w:jc w:val="left"/>
        <w:rPr>
          <w:rFonts w:ascii="Times New Roman;sans-serif" w:hAnsi="Times New Roman;sans-serif"/>
          <w:b/>
          <w:color w:val="000000"/>
          <w:sz w:val="22"/>
        </w:rPr>
      </w:pPr>
      <w:r>
        <w:rPr>
          <w:rFonts w:ascii="Times New Roman;sans-serif" w:hAnsi="Times New Roman;sans-serif"/>
          <w:b/>
          <w:color w:val="000000"/>
          <w:sz w:val="22"/>
        </w:rPr>
        <w:t>Conference Call and Presentation Available Online</w:t>
      </w:r>
    </w:p>
    <w:p>
      <w:pPr>
        <w:pStyle w:val="TextBody"/>
        <w:bidi w:val="0"/>
        <w:spacing w:lineRule="auto" w:line="276" w:before="0" w:after="0"/>
        <w:jc w:val="left"/>
        <w:rPr/>
      </w:pPr>
      <w:r>
        <w:rPr>
          <w:rFonts w:ascii="Times New Roman;sans-serif" w:hAnsi="Times New Roman;sans-serif"/>
          <w:b w:val="false"/>
          <w:color w:val="000000"/>
          <w:sz w:val="22"/>
        </w:rPr>
        <w:t>Integra has scheduled a conference call for 8:30 a.m. ET on Wednesday, October 25, 2023, to discuss third quarter 2023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w:t>
      </w:r>
      <w:r>
        <w:rPr>
          <w:rFonts w:ascii="Times New Roman;sans-serif" w:hAnsi="Times New Roman;sans-serif"/>
          <w:b w:val="false"/>
          <w:color w:val="000000"/>
          <w:sz w:val="22"/>
          <w:u w:val="single"/>
        </w:rPr>
        <w:t>t</w:t>
      </w:r>
      <w:r>
        <w:rPr>
          <w:color w:val="0000FF"/>
          <w:u w:val="single"/>
        </w:rPr>
        <w:t xml:space="preserve"> </w:t>
      </w:r>
      <w:r>
        <w:rPr>
          <w:rFonts w:ascii="Times New Roman;sans-serif" w:hAnsi="Times New Roman;sans-serif"/>
          <w:b w:val="false"/>
          <w:color w:val="0000FF"/>
          <w:sz w:val="22"/>
          <w:u w:val="single"/>
        </w:rPr>
        <w:t>investor.integralife.com.</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rPr>
        <w:t>A live webcast will be available on the Investors section of the Company’s website at investor.integralife.com. For those planning to participate on the call, register</w:t>
      </w:r>
      <w:r>
        <w:rPr>
          <w:color w:val="0000FF"/>
          <w:u w:val="single"/>
        </w:rPr>
        <w:t xml:space="preserve"> </w:t>
      </w:r>
      <w:r>
        <w:rPr>
          <w:rFonts w:ascii="Times New Roman;sans-serif" w:hAnsi="Times New Roman;sans-serif"/>
          <w:b w:val="false"/>
          <w:color w:val="0000FF"/>
          <w:sz w:val="22"/>
          <w:u w:val="single"/>
        </w:rPr>
        <w:t>here</w:t>
      </w:r>
      <w:r>
        <w:rPr>
          <w:color w:val="000000"/>
        </w:rPr>
        <w:t xml:space="preserve"> </w:t>
      </w:r>
      <w:r>
        <w:rPr>
          <w:rFonts w:ascii="Times New Roman;sans-serif" w:hAnsi="Times New Roman;sans-serif"/>
          <w:b w:val="false"/>
          <w:color w:val="000000"/>
          <w:sz w:val="22"/>
        </w:rPr>
        <w:t>to receive dial-in details and an individual pin. While not required, it is recommended to join 10 minutes prior to the event’s start. A webcast replay of the conference call will be available on the Investors section of the Company’s website following the call.</w:t>
      </w:r>
    </w:p>
    <w:p>
      <w:pPr>
        <w:pStyle w:val="TextBody"/>
        <w:bidi w:val="0"/>
        <w:spacing w:before="0" w:after="12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About Integra</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 Integra LifeSciences, we are driven by our purpose of restoring patients’ lives. We innovate treatment pathways to advance patient outcomes and set new standards of surgical, neurologic and regenerative care. We offer a comprehensive portfolio of high quality, leadership brands that include AmnioExcel®, Aurora®, Bactiseal®, BioD™, CerebroFlo®, CereLink® Certas® Plus, Codman®, CUSA®, Cytal®, DuraGen®, DuraSeal®, DuraSorb®, Gentrix®, ICP Express®, Integra®, Licox®, MAYFIELD®, MediHoney®, MicroFrance®, MicroMatrix®, NeuraGen®, NeuraWrap™, PriMatrix®, SurgiMend®, TCC-EZ® and VersaTru®. For the latest news and information about Integra and its products, please visit www.integralife.com.</w:t>
      </w:r>
    </w:p>
    <w:p>
      <w:pPr>
        <w:pStyle w:val="TextBody"/>
        <w:bidi w:val="0"/>
        <w:spacing w:before="0" w:after="0"/>
        <w:jc w:val="left"/>
        <w:rPr/>
      </w:pPr>
      <w:r>
        <w:rPr/>
      </w:r>
    </w:p>
    <w:p>
      <w:pPr>
        <w:pStyle w:val="TextBody"/>
        <w:bidi w:val="0"/>
        <w:spacing w:lineRule="auto" w:line="276"/>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2"/>
        </w:rPr>
        <w:t>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financial performance, including projections for revenues, expected revenue growth (both reported and organic), GAAP and adjusted net income, GAAP and adjusted earnings per diluted share, non-GAAP adjustments such as divestiture, acquisition and integration-related charges, intangible asset amortization, structural optimization charges, EU Medical Device Regulation-related charges, charges related to the voluntary global recall of all products manufactured at the Company’s facility in Boston, Massachusetts, and income tax expense (benefit) related to non-GAAP adjustments and other items, expectations and plans with respect to strategic initiatives, product development and regulatory approvals, including the status of the Company’s 510(k) premarket notification for Cerelink, and expectations concerning the resumption of manufacturing at the Company’s Boston, Massachusetts facility.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the ongoing and possible future effects of global challenges, including macroeconomic uncertainties, inflation, supply chain disruptions, trade regulation and tariffs, other 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global macroeconomic and political conditions, including the war in Ukraine and the conflict in Israel and Gaza;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fluctuations in hospitals' spending for capital equipment; the Company's ability to comply with regulations regarding products of human origin and products containing materials derived from animal source; difficulties in controlling expenses, including costs to procure and manufacture our products;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the scope, duration and effect of additional U.S. and international governmental, regulatory, fiscal, monetary and public health responses to the COVID-19 pandemic and any future public health crises; fluctuations in foreign currency exchange rates; the amount of our bank borrowings outstanding and other factors influencing liquidity;</w:t>
      </w:r>
      <w:r>
        <w:rPr>
          <w:color w:val="000000"/>
        </w:rPr>
        <w:t xml:space="preserve"> </w:t>
      </w:r>
      <w:r>
        <w:rPr>
          <w:rFonts w:ascii="Times New Roman;sans-serif" w:hAnsi="Times New Roman;sans-serif"/>
          <w:b w:val="false"/>
          <w:color w:val="000000"/>
          <w:sz w:val="22"/>
        </w:rPr>
        <w:t>potential negative impacts resulting from environmental, social and governance matters; and the economic, competitive, governmental, technological, and other risk factors and uncertainties identified under the heading “Risk Factors” included in Item 1A of Integra's Annual Report on Form 10-K for the year ended December 31, 2022 and information contained in subsequent filings with the Securities and Exchange Commission.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forward-looking statements are made only as of the date hereof, and the Company undertakes no obligation to update or revise the forward-looking statements, whether as a result of new information, future events, or otherwise.</w:t>
      </w:r>
    </w:p>
    <w:p>
      <w:pPr>
        <w:pStyle w:val="TextBody"/>
        <w:bidi w:val="0"/>
        <w:spacing w:before="0" w:after="0"/>
        <w:jc w:val="left"/>
        <w:rPr/>
      </w:pPr>
      <w:r>
        <w:rPr/>
      </w:r>
    </w:p>
    <w:p>
      <w:pPr>
        <w:pStyle w:val="TextBody"/>
        <w:bidi w:val="0"/>
        <w:spacing w:lineRule="auto" w:line="417"/>
        <w:jc w:val="left"/>
        <w:rPr>
          <w:rFonts w:ascii="Times New Roman;sans-serif" w:hAnsi="Times New Roman;sans-serif"/>
          <w:b/>
          <w:color w:val="000000"/>
          <w:sz w:val="22"/>
        </w:rPr>
      </w:pPr>
      <w:r>
        <w:rPr>
          <w:rFonts w:ascii="Times New Roman;sans-serif" w:hAnsi="Times New Roman;sans-serif"/>
          <w:b/>
          <w:color w:val="000000"/>
          <w:sz w:val="22"/>
        </w:rPr>
        <w:t>Discussion of Adjusted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2"/>
        </w:rPr>
        <w:t>In addition to our GAAP results, we provide certain non-GAAP measures, including organic revenues, organic revenues excluding Boston, adjusted earnings before interest, taxes, depreciation and amortization (EBITDA), adjusted net income, adjusted earnings per diluted share, free cash flow, adjusted free cash flow conversion, and net debt.</w:t>
      </w:r>
      <w:r>
        <w:rPr>
          <w:color w:val="000000"/>
        </w:rPr>
        <w:t xml:space="preserve"> </w:t>
      </w:r>
      <w:r>
        <w:rPr>
          <w:rFonts w:ascii="Times New Roman;sans-serif" w:hAnsi="Times New Roman;sans-serif"/>
          <w:b w:val="false"/>
          <w:color w:val="000000"/>
          <w:sz w:val="22"/>
        </w:rPr>
        <w:t>Organic revenues consist of total revenues excluding the effects of currency exchange rates, revenues from current-period acquisitions and product divestitures and discontinuances. Organic revenues excluding Boston consist of total revenues, excluding (i) the effects of currency exchange rates, revenues from current-period acquisitions and product divestitures and discontinuances and (ii) revenues associated with Boston produced products including sales reported prior to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w:t>
      </w:r>
      <w:r>
        <w:rPr>
          <w:color w:val="000000"/>
        </w:rPr>
        <w:t xml:space="preserve"> </w:t>
      </w:r>
      <w:r>
        <w:rPr>
          <w:rFonts w:ascii="Times New Roman;sans-serif" w:hAnsi="Times New Roman;sans-serif"/>
          <w:b w:val="false"/>
          <w:color w:val="000000"/>
          <w:sz w:val="22"/>
        </w:rPr>
        <w:t>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The adjusted earnings per diluted share measure is calculated by dividing adjusted net income attributable to diluted shares by diluted weighted average shares outstanding.</w:t>
      </w:r>
      <w:r>
        <w:rPr>
          <w:color w:val="000000"/>
        </w:rPr>
        <w:t xml:space="preserve"> </w:t>
      </w:r>
      <w:r>
        <w:rPr>
          <w:rFonts w:ascii="Times New Roman;sans-serif" w:hAnsi="Times New Roman;sans-serif"/>
          <w:b w:val="false"/>
          <w:color w:val="000000"/>
          <w:sz w:val="22"/>
        </w:rPr>
        <w:t>The measure of free cash flow consists of GAAP net cash provided by operating activities less purchases of property and equipment. The adjusted free cash flow conversion measure is calculated by dividing free cash flow by adjusted net income.</w:t>
      </w:r>
      <w:r>
        <w:rPr>
          <w:color w:val="000000"/>
        </w:rPr>
        <w:t xml:space="preserve"> </w:t>
      </w:r>
      <w:r>
        <w:rPr>
          <w:rFonts w:ascii="Times New Roman;sans-serif" w:hAnsi="Times New Roman;sans-serif"/>
          <w:b w:val="false"/>
          <w:color w:val="000000"/>
          <w:sz w:val="22"/>
          <w:shd w:fill="FFFFFF" w:val="clear"/>
        </w:rPr>
        <w:t>The measure of net debt consists of GAAP total debt (excluding deferred financing costs) less cash and cash equivalents.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Reconciliations of GAAP revenues to organic revenues, GAAP revenues to organic revenues excluding Boston, GAAP net income to adjusted EBITDA, and adjusted net income, GAAP total debt to net debt and GAAP earnings per diluted share to adjusted earnings per diluted share all for the quarter ended September 30, 2023 and 2022, and the free cash flow and adjusted free cash flow conversion for the quarter ended September 30, 2023 and 2022, appear in the financial tables in this release.</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2"/>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w:t>
      </w:r>
      <w:r>
        <w:rPr>
          <w:color w:val="000000"/>
        </w:rPr>
        <w:t xml:space="preserve"> </w:t>
      </w:r>
      <w:r>
        <w:rPr>
          <w:rFonts w:ascii="Times New Roman;sans-serif" w:hAnsi="Times New Roman;sans-serif"/>
          <w:b w:val="false"/>
          <w:color w:val="000000"/>
          <w:sz w:val="22"/>
        </w:rPr>
        <w:t>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w:t>
      </w:r>
      <w:r>
        <w:rPr>
          <w:rFonts w:ascii="Calibri;sans-serif" w:hAnsi="Calibri;sans-serif"/>
          <w:b w:val="false"/>
          <w:color w:val="000000"/>
          <w:sz w:val="22"/>
        </w:rPr>
        <w:t xml:space="preserve">t </w:t>
      </w:r>
      <w:r>
        <w:rPr>
          <w:rFonts w:ascii="Times New Roman;sans-serif" w:hAnsi="Times New Roman;sans-serif"/>
          <w:b w:val="false"/>
          <w:color w:val="000000"/>
          <w:sz w:val="22"/>
        </w:rPr>
        <w:t>www.sec.gov or on our website at www.integralife.com.</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4"/>
        </w:rPr>
        <w:t>Investor Relations Contact</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Chris Ward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(609) 772-7736</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chris.ward@integralife.com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Media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Laurene Isip</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(609) 208-8121</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laurene.isip@integralife.com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INTEGRA LIFESCIENCES HOLDINGS CORPORATION</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STATEMENTS OF OPERATIONS </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bl>
      <w:tblPr>
        <w:tblW w:w="9173" w:type="dxa"/>
        <w:jc w:val="center"/>
        <w:tblInd w:w="0" w:type="dxa"/>
        <w:tblLayout w:type="fixed"/>
        <w:tblCellMar>
          <w:top w:w="28" w:type="dxa"/>
          <w:left w:w="28" w:type="dxa"/>
          <w:bottom w:w="28" w:type="dxa"/>
          <w:right w:w="28" w:type="dxa"/>
        </w:tblCellMar>
      </w:tblPr>
      <w:tblGrid>
        <w:gridCol w:w="2356"/>
        <w:gridCol w:w="2071"/>
        <w:gridCol w:w="2082"/>
        <w:gridCol w:w="211"/>
        <w:gridCol w:w="826"/>
        <w:gridCol w:w="109"/>
        <w:gridCol w:w="109"/>
        <w:gridCol w:w="109"/>
        <w:gridCol w:w="109"/>
        <w:gridCol w:w="211"/>
        <w:gridCol w:w="826"/>
        <w:gridCol w:w="154"/>
      </w:tblGrid>
      <w:tr>
        <w:trPr/>
        <w:tc>
          <w:tcPr>
            <w:tcW w:w="23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 30,</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sale of business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for diluted net income per share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disaggregated by the major sources for the three months ended September 30, 2023 and 2022 (amounts in thousands):</w:t>
      </w:r>
    </w:p>
    <w:tbl>
      <w:tblPr>
        <w:tblW w:w="8621" w:type="dxa"/>
        <w:jc w:val="center"/>
        <w:tblInd w:w="0" w:type="dxa"/>
        <w:tblLayout w:type="fixed"/>
        <w:tblCellMar>
          <w:top w:w="28" w:type="dxa"/>
          <w:left w:w="28" w:type="dxa"/>
          <w:bottom w:w="28" w:type="dxa"/>
          <w:right w:w="28" w:type="dxa"/>
        </w:tblCellMar>
      </w:tblPr>
      <w:tblGrid>
        <w:gridCol w:w="2004"/>
        <w:gridCol w:w="1762"/>
        <w:gridCol w:w="1768"/>
        <w:gridCol w:w="211"/>
        <w:gridCol w:w="826"/>
        <w:gridCol w:w="109"/>
        <w:gridCol w:w="211"/>
        <w:gridCol w:w="826"/>
        <w:gridCol w:w="109"/>
        <w:gridCol w:w="232"/>
        <w:gridCol w:w="232"/>
        <w:gridCol w:w="331"/>
      </w:tblGrid>
      <w:tr>
        <w:trPr/>
        <w:tc>
          <w:tcPr>
            <w:tcW w:w="200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 30,</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Neurosurgery</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209,229</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Instruments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58,976</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Codman Specialty Surgical</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Wound Reconstruction and Care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Private Label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Tissue Technologies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reported revenues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Impact of changes in currency exchange rates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contribution of revenues from acquisitions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contribution of revenues from divested products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contribution of revenues from discontinued products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2"/>
              </w:rPr>
              <w:t>Total organic revenues</w:t>
            </w:r>
            <w:r>
              <w:rPr>
                <w:rFonts w:ascii="Times New Roman;sans-serif" w:hAnsi="Times New Roman;sans-serif"/>
                <w:b w:val="false"/>
                <w:color w:val="000000"/>
                <w:sz w:val="14"/>
              </w:rPr>
              <w:t>(1)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Boston Revenue impact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Total organic revenues</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excl. Boston</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r>
    </w:tbl>
    <w:p>
      <w:pPr>
        <w:pStyle w:val="TextBody"/>
        <w:bidi w:val="0"/>
        <w:spacing w:before="0" w:after="20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Organic revenues have been adjusted to exclude foreign currency (current period), acquisitions and to account for divested and discontinued products.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September 30, 2023 </w:t>
      </w:r>
    </w:p>
    <w:tbl>
      <w:tblPr>
        <w:tblW w:w="10205" w:type="dxa"/>
        <w:jc w:val="center"/>
        <w:tblInd w:w="0" w:type="dxa"/>
        <w:tblLayout w:type="fixed"/>
        <w:tblCellMar>
          <w:top w:w="28" w:type="dxa"/>
          <w:left w:w="28" w:type="dxa"/>
          <w:bottom w:w="28" w:type="dxa"/>
          <w:right w:w="28" w:type="dxa"/>
        </w:tblCellMar>
      </w:tblPr>
      <w:tblGrid>
        <w:gridCol w:w="1374"/>
        <w:gridCol w:w="1209"/>
        <w:gridCol w:w="1221"/>
        <w:gridCol w:w="414"/>
        <w:gridCol w:w="370"/>
        <w:gridCol w:w="340"/>
        <w:gridCol w:w="372"/>
        <w:gridCol w:w="349"/>
        <w:gridCol w:w="252"/>
        <w:gridCol w:w="308"/>
        <w:gridCol w:w="308"/>
        <w:gridCol w:w="229"/>
        <w:gridCol w:w="330"/>
        <w:gridCol w:w="331"/>
        <w:gridCol w:w="191"/>
        <w:gridCol w:w="308"/>
        <w:gridCol w:w="308"/>
        <w:gridCol w:w="253"/>
        <w:gridCol w:w="264"/>
        <w:gridCol w:w="247"/>
        <w:gridCol w:w="209"/>
        <w:gridCol w:w="383"/>
        <w:gridCol w:w="383"/>
        <w:gridCol w:w="252"/>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w:t>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COGS(a)</w:t>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SG&amp;A(b)</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R&amp;D(c)</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 (d)</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OI&amp;E(e)</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Tax(f)</w:t>
            </w:r>
          </w:p>
        </w:tc>
      </w:tr>
      <w:tr>
        <w:trPr/>
        <w:tc>
          <w:tcPr>
            <w:tcW w:w="3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divestiture and integration-related charges</w:t>
            </w:r>
          </w:p>
        </w:tc>
        <w:tc>
          <w:tcPr>
            <w:tcW w:w="7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Optimization charges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Medical Device Regulation charges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Recall</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17,661 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income tax impact from above adjustments and other items</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a)COGS - Cost of goods sold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b)SG&amp;A - Selling, general and administrative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c)R&amp;D - Research &amp; development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d)Amort. - Intangible asset amortization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e)OI&amp;E - Other income &amp; expense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 30, 2022</w:t>
      </w:r>
    </w:p>
    <w:tbl>
      <w:tblPr>
        <w:tblW w:w="10205" w:type="dxa"/>
        <w:jc w:val="center"/>
        <w:tblInd w:w="0" w:type="dxa"/>
        <w:tblLayout w:type="fixed"/>
        <w:tblCellMar>
          <w:top w:w="28" w:type="dxa"/>
          <w:left w:w="28" w:type="dxa"/>
          <w:bottom w:w="28" w:type="dxa"/>
          <w:right w:w="28" w:type="dxa"/>
        </w:tblCellMar>
      </w:tblPr>
      <w:tblGrid>
        <w:gridCol w:w="1381"/>
        <w:gridCol w:w="1206"/>
        <w:gridCol w:w="1229"/>
        <w:gridCol w:w="383"/>
        <w:gridCol w:w="383"/>
        <w:gridCol w:w="297"/>
        <w:gridCol w:w="376"/>
        <w:gridCol w:w="345"/>
        <w:gridCol w:w="224"/>
        <w:gridCol w:w="383"/>
        <w:gridCol w:w="383"/>
        <w:gridCol w:w="209"/>
        <w:gridCol w:w="307"/>
        <w:gridCol w:w="309"/>
        <w:gridCol w:w="171"/>
        <w:gridCol w:w="308"/>
        <w:gridCol w:w="308"/>
        <w:gridCol w:w="247"/>
        <w:gridCol w:w="330"/>
        <w:gridCol w:w="331"/>
        <w:gridCol w:w="194"/>
        <w:gridCol w:w="330"/>
        <w:gridCol w:w="331"/>
        <w:gridCol w:w="240"/>
      </w:tblGrid>
      <w:tr>
        <w:trPr/>
        <w:tc>
          <w:tcPr>
            <w:tcW w:w="138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Item</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Amount</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COGS(a)</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SG&amp;A(b)</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R&amp;D(c)</w:t>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Amort.(d)</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OI&amp;E(e)</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Tax(f)</w:t>
            </w:r>
          </w:p>
        </w:tc>
      </w:tr>
      <w:tr>
        <w:trPr/>
        <w:tc>
          <w:tcPr>
            <w:tcW w:w="3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divestiture and integration-related charges</w:t>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Optimization charges</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Medical Device Regulation charges</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income tax impact from above adjustments and other items</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a)COGS - Cost of goods sold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b)SG&amp;A - Selling, general and administrative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c)R&amp;D - Research &amp; development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d)Amort. - Intangible asset amortization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e)OI&amp;E - Other income &amp; expense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 OF NON-GAAP ADJUSTMENTS - GAAP NET INCOME TO ADJUSTED EBITDA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7182" w:type="dxa"/>
        <w:jc w:val="center"/>
        <w:tblInd w:w="0" w:type="dxa"/>
        <w:tblLayout w:type="fixed"/>
        <w:tblCellMar>
          <w:top w:w="28" w:type="dxa"/>
          <w:left w:w="28" w:type="dxa"/>
          <w:bottom w:w="28" w:type="dxa"/>
          <w:right w:w="28" w:type="dxa"/>
        </w:tblCellMar>
      </w:tblPr>
      <w:tblGrid>
        <w:gridCol w:w="1673"/>
        <w:gridCol w:w="1468"/>
        <w:gridCol w:w="1479"/>
        <w:gridCol w:w="211"/>
        <w:gridCol w:w="722"/>
        <w:gridCol w:w="109"/>
        <w:gridCol w:w="109"/>
        <w:gridCol w:w="109"/>
        <w:gridCol w:w="109"/>
        <w:gridCol w:w="211"/>
        <w:gridCol w:w="828"/>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intangible asset amortization expense</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optimization charges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Medical Device Regulation charges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Recall</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divestiture and integration-related charges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 non-GAAP adjustments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 OF NON-GAAP ADJUSTMENTS - GAAP NET INCOME TO MEASURES OF ADJUSTED NET INCOME AND ADJUSTED EARNINGS PER SHARE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bl>
      <w:tblPr>
        <w:tblW w:w="9069" w:type="dxa"/>
        <w:jc w:val="center"/>
        <w:tblInd w:w="0" w:type="dxa"/>
        <w:tblLayout w:type="fixed"/>
        <w:tblCellMar>
          <w:top w:w="28" w:type="dxa"/>
          <w:left w:w="28" w:type="dxa"/>
          <w:bottom w:w="28" w:type="dxa"/>
          <w:right w:w="28" w:type="dxa"/>
        </w:tblCellMar>
      </w:tblPr>
      <w:tblGrid>
        <w:gridCol w:w="2359"/>
        <w:gridCol w:w="2068"/>
        <w:gridCol w:w="2083"/>
        <w:gridCol w:w="220"/>
        <w:gridCol w:w="753"/>
        <w:gridCol w:w="113"/>
        <w:gridCol w:w="113"/>
        <w:gridCol w:w="113"/>
        <w:gridCol w:w="113"/>
        <w:gridCol w:w="220"/>
        <w:gridCol w:w="753"/>
        <w:gridCol w:w="161"/>
      </w:tblGrid>
      <w:tr>
        <w:trPr/>
        <w:tc>
          <w:tcPr>
            <w:tcW w:w="23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optimization charges</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divestiture and integration-related charges(1)</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 Medical Device Regulation charges</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Boston Recall</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income tax impact from adjustments and other items</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 non-GAAP adjustments</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71,694 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net income per share</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for diluted net income per share</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BALANCE SHEET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7959" w:type="dxa"/>
        <w:jc w:val="center"/>
        <w:tblInd w:w="0" w:type="dxa"/>
        <w:tblLayout w:type="fixed"/>
        <w:tblCellMar>
          <w:top w:w="28" w:type="dxa"/>
          <w:left w:w="28" w:type="dxa"/>
          <w:bottom w:w="28" w:type="dxa"/>
          <w:right w:w="28" w:type="dxa"/>
        </w:tblCellMar>
      </w:tblPr>
      <w:tblGrid>
        <w:gridCol w:w="1809"/>
        <w:gridCol w:w="1588"/>
        <w:gridCol w:w="1598"/>
        <w:gridCol w:w="211"/>
        <w:gridCol w:w="976"/>
        <w:gridCol w:w="109"/>
        <w:gridCol w:w="109"/>
        <w:gridCol w:w="109"/>
        <w:gridCol w:w="109"/>
        <w:gridCol w:w="211"/>
        <w:gridCol w:w="97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2022</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long-term borrowing under senior credit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securitization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convertible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1,804,403 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0" w:after="0"/>
        <w:jc w:val="left"/>
        <w:rPr/>
      </w:pPr>
      <w:r>
        <w:rPr/>
      </w:r>
    </w:p>
    <w:tbl>
      <w:tblPr>
        <w:tblW w:w="7823" w:type="dxa"/>
        <w:jc w:val="center"/>
        <w:tblInd w:w="0" w:type="dxa"/>
        <w:tblLayout w:type="fixed"/>
        <w:tblCellMar>
          <w:top w:w="28" w:type="dxa"/>
          <w:left w:w="28" w:type="dxa"/>
          <w:bottom w:w="28" w:type="dxa"/>
          <w:right w:w="28" w:type="dxa"/>
        </w:tblCellMar>
      </w:tblPr>
      <w:tblGrid>
        <w:gridCol w:w="1840"/>
        <w:gridCol w:w="1620"/>
        <w:gridCol w:w="1624"/>
        <w:gridCol w:w="211"/>
        <w:gridCol w:w="901"/>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RECONCILIATION OF NON-GAAP ADJUSTMENTS - GAAP OPERATING CASH FLOW TO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MEASURES OF FREE CASH FLOW AND ADJUSTED FREE CASH FLOW CONVERSION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6164" w:type="dxa"/>
        <w:jc w:val="center"/>
        <w:tblInd w:w="0" w:type="dxa"/>
        <w:tblLayout w:type="fixed"/>
        <w:tblCellMar>
          <w:top w:w="28" w:type="dxa"/>
          <w:left w:w="28" w:type="dxa"/>
          <w:bottom w:w="28" w:type="dxa"/>
          <w:right w:w="28" w:type="dxa"/>
        </w:tblCellMar>
      </w:tblPr>
      <w:tblGrid>
        <w:gridCol w:w="1254"/>
        <w:gridCol w:w="1104"/>
        <w:gridCol w:w="1107"/>
        <w:gridCol w:w="214"/>
        <w:gridCol w:w="838"/>
        <w:gridCol w:w="275"/>
        <w:gridCol w:w="214"/>
        <w:gridCol w:w="838"/>
        <w:gridCol w:w="320"/>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68,310 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net income</w:t>
            </w:r>
            <w:r>
              <w:rPr>
                <w:rFonts w:ascii="Times New Roman;sans-serif" w:hAnsi="Times New Roman;sans-serif"/>
                <w:b w:val="false"/>
                <w:color w:val="000000"/>
                <w:sz w:val="13"/>
              </w:rPr>
              <w:t>(1)</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60,539 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71,694 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 conversion</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Sept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166,539 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248,418 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(56,868)</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(55,315)</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109,671 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193,103 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net income</w:t>
            </w:r>
            <w:r>
              <w:rPr>
                <w:rFonts w:ascii="Times New Roman;sans-serif" w:hAnsi="Times New Roman;sans-serif"/>
                <w:b w:val="false"/>
                <w:color w:val="000000"/>
                <w:sz w:val="13"/>
              </w:rPr>
              <w:t>(1)</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257,514 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274,183 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 conversion</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Adjusted net income for quarters ended September 30, 2023 and 2022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adjusted free cash flow conversion by dividing its free cash flow by adjusted net income. The Company believes this measure is useful in evaluating the significance of the cash special charges in its adjusted earnings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RECONCILIATION OF NON-GAAP ADJUSTMENTS - NET DEBT CALCULATION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680" w:type="dxa"/>
        <w:jc w:val="left"/>
        <w:tblInd w:w="0" w:type="dxa"/>
        <w:tblLayout w:type="fixed"/>
        <w:tblCellMar>
          <w:top w:w="28" w:type="dxa"/>
          <w:left w:w="28" w:type="dxa"/>
          <w:bottom w:w="28" w:type="dxa"/>
          <w:right w:w="28" w:type="dxa"/>
        </w:tblCellMar>
      </w:tblPr>
      <w:tblGrid>
        <w:gridCol w:w="1491"/>
        <w:gridCol w:w="1313"/>
        <w:gridCol w:w="1320"/>
        <w:gridCol w:w="211"/>
        <w:gridCol w:w="976"/>
        <w:gridCol w:w="109"/>
        <w:gridCol w:w="223"/>
        <w:gridCol w:w="874"/>
        <w:gridCol w:w="163"/>
      </w:tblGrid>
      <w:tr>
        <w:trPr/>
        <w:tc>
          <w:tcPr>
            <w:tcW w:w="149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br/>
              <w:t>2023</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2022</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under senior credit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under senior credit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733,149 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securitization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convertible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567,341 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netted in the above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&amp; Cash Equivalents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(456,661)</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998,039 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6422</Words>
  <Characters>38122</Characters>
  <CharactersWithSpaces>44226</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