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left"/>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(609) 275-0500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 xml:space="preserve">Former Name, Former Address and Former Fiscal Year, if Changed Since Last Report: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927" w:type="dxa"/>
        <w:jc w:val="center"/>
        <w:tblInd w:w="0" w:type="dxa"/>
        <w:tblLayout w:type="fixed"/>
        <w:tblCellMar>
          <w:top w:w="28" w:type="dxa"/>
          <w:left w:w="28" w:type="dxa"/>
          <w:bottom w:w="28" w:type="dxa"/>
          <w:right w:w="28" w:type="dxa"/>
        </w:tblCellMar>
      </w:tblPr>
      <w:tblGrid>
        <w:gridCol w:w="1161"/>
        <w:gridCol w:w="1020"/>
        <w:gridCol w:w="1028"/>
        <w:gridCol w:w="599"/>
        <w:gridCol w:w="599"/>
        <w:gridCol w:w="601"/>
        <w:gridCol w:w="1438"/>
        <w:gridCol w:w="1438"/>
        <w:gridCol w:w="2043"/>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IART</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603"/>
        <w:gridCol w:w="530"/>
        <w:gridCol w:w="532"/>
        <w:gridCol w:w="145"/>
        <w:gridCol w:w="145"/>
        <w:gridCol w:w="146"/>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The number of shares of the registrant’s Common Stock, $0.01 par value, outstanding as of </w:t>
      </w:r>
      <w:r>
        <w:rPr>
          <w:rFonts w:ascii="Times New Roman;serif" w:hAnsi="Times New Roman;serif"/>
          <w:b w:val="false"/>
          <w:color w:val="000000"/>
          <w:sz w:val="20"/>
        </w:rPr>
        <w:t>May 4, 2026</w:t>
      </w:r>
      <w:r>
        <w:rPr>
          <w:color w:val="000000"/>
        </w:rPr>
        <w:t xml:space="preserve"> </w:t>
      </w:r>
      <w:r>
        <w:rPr>
          <w:rFonts w:ascii="Times New Roman;serif" w:hAnsi="Times New Roman;serif"/>
          <w:b w:val="false"/>
          <w:color w:val="000000"/>
          <w:sz w:val="18"/>
        </w:rPr>
        <w:t>was 77,796,903.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1"/>
        <w:gridCol w:w="2996"/>
        <w:gridCol w:w="3001"/>
        <w:gridCol w:w="233"/>
        <w:gridCol w:w="233"/>
        <w:gridCol w:w="331"/>
      </w:tblGrid>
      <w:tr>
        <w:trPr/>
        <w:tc>
          <w:tcPr>
            <w:tcW w:w="3411"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0">
              <w:r>
                <w:rPr>
                  <w:rStyle w:val="InternetLink"/>
                  <w:rFonts w:ascii="Times New Roman;serif" w:hAnsi="Times New Roman;serif"/>
                  <w:b w:val="false"/>
                  <w:color w:val="0000FF"/>
                  <w:sz w:val="18"/>
                  <w:u w:val="single"/>
                </w:rPr>
                <w:t>PART I. FINANCIAL INFORMATION</w:t>
              </w:r>
            </w:hyperlink>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3">
              <w:r>
                <w:rPr>
                  <w:rStyle w:val="InternetLink"/>
                  <w:rFonts w:ascii="Times New Roman;serif" w:hAnsi="Times New Roman;serif"/>
                  <w:b w:val="false"/>
                  <w:color w:val="0000FF"/>
                  <w:sz w:val="18"/>
                  <w:u w:val="single"/>
                </w:rPr>
                <w:t>Item 1. Financial Statements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3">
              <w:r>
                <w:rPr>
                  <w:rStyle w:val="InternetLink"/>
                  <w:rFonts w:ascii="Times New Roman;serif" w:hAnsi="Times New Roman;serif"/>
                  <w:b w:val="false"/>
                  <w:color w:val="0000FF"/>
                  <w:sz w:val="18"/>
                  <w:u w:val="single"/>
                </w:rPr>
                <w:t>3</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6">
              <w:r>
                <w:rPr>
                  <w:rStyle w:val="InternetLink"/>
                  <w:rFonts w:ascii="Times New Roman;serif" w:hAnsi="Times New Roman;serif"/>
                  <w:b w:val="false"/>
                  <w:color w:val="000080"/>
                  <w:sz w:val="18"/>
                  <w:u w:val="single"/>
                </w:rPr>
                <w:t>Condensed Consolidated Statements of Operations and Comprehensive</w:t>
              </w:r>
            </w:hyperlink>
            <w:hyperlink w:anchor="ibae315c273334ecb8f15cada0212803d_16">
              <w:r>
                <w:rPr>
                  <w:rStyle w:val="InternetLink"/>
                  <w:rFonts w:ascii="Times New Roman;serif" w:hAnsi="Times New Roman;serif"/>
                  <w:b w:val="false"/>
                  <w:color w:val="000080"/>
                  <w:sz w:val="18"/>
                  <w:u w:val="single"/>
                </w:rPr>
                <w:t xml:space="preserve"> Loss</w:t>
              </w:r>
            </w:hyperlink>
            <w:hyperlink w:anchor="ibae315c273334ecb8f15cada0212803d_16">
              <w:r>
                <w:rPr>
                  <w:rStyle w:val="InternetLink"/>
                  <w:rFonts w:ascii="Times New Roman;serif" w:hAnsi="Times New Roman;serif"/>
                  <w:b w:val="false"/>
                  <w:color w:val="000080"/>
                  <w:sz w:val="18"/>
                  <w:u w:val="single"/>
                </w:rPr>
                <w:t xml:space="preserve"> for the Three </w:t>
              </w:r>
            </w:hyperlink>
            <w:hyperlink w:anchor="ibae315c273334ecb8f15cada0212803d_16">
              <w:r>
                <w:rPr>
                  <w:rStyle w:val="InternetLink"/>
                  <w:rFonts w:ascii="Times New Roman;serif" w:hAnsi="Times New Roman;serif"/>
                  <w:b w:val="false"/>
                  <w:color w:val="000080"/>
                  <w:sz w:val="18"/>
                  <w:u w:val="single"/>
                </w:rPr>
                <w:t xml:space="preserve">Months Ended </w:t>
              </w:r>
            </w:hyperlink>
            <w:hyperlink w:anchor="ibae315c273334ecb8f15cada0212803d_16">
              <w:r>
                <w:rPr>
                  <w:rStyle w:val="InternetLink"/>
                  <w:rFonts w:ascii="Times New Roman;serif" w:hAnsi="Times New Roman;serif"/>
                  <w:b w:val="false"/>
                  <w:color w:val="000080"/>
                  <w:sz w:val="18"/>
                  <w:u w:val="single"/>
                </w:rPr>
                <w:t>March 31, 2026</w:t>
              </w:r>
            </w:hyperlink>
            <w:hyperlink w:anchor="ibae315c273334ecb8f15cada0212803d_16">
              <w:r>
                <w:rPr>
                  <w:rStyle w:val="InternetLink"/>
                  <w:rFonts w:ascii="Times New Roman;serif" w:hAnsi="Times New Roman;serif"/>
                  <w:b w:val="false"/>
                  <w:color w:val="000080"/>
                  <w:sz w:val="18"/>
                  <w:u w:val="single"/>
                </w:rPr>
                <w:t xml:space="preserve"> and 202</w:t>
              </w:r>
            </w:hyperlink>
            <w:hyperlink w:anchor="ibae315c273334ecb8f15cada0212803d_16">
              <w:r>
                <w:rPr>
                  <w:rStyle w:val="InternetLink"/>
                  <w:rFonts w:ascii="Times New Roman;serif" w:hAnsi="Times New Roman;serif"/>
                  <w:b w:val="false"/>
                  <w:color w:val="000080"/>
                  <w:sz w:val="18"/>
                  <w:u w:val="single"/>
                </w:rPr>
                <w:t>5</w:t>
              </w:r>
            </w:hyperlink>
            <w:hyperlink w:anchor="ibae315c273334ecb8f15cada0212803d_16">
              <w:r>
                <w:rPr>
                  <w:rStyle w:val="InternetLink"/>
                  <w:rFonts w:ascii="Times New Roman;serif" w:hAnsi="Times New Roman;serif"/>
                  <w:b w:val="false"/>
                  <w:color w:val="000080"/>
                  <w:sz w:val="18"/>
                  <w:u w:val="single"/>
                </w:rPr>
                <w:t xml:space="preserve">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6">
              <w:r>
                <w:rPr>
                  <w:rStyle w:val="InternetLink"/>
                  <w:rFonts w:ascii="Times New Roman;serif" w:hAnsi="Times New Roman;serif"/>
                  <w:b w:val="false"/>
                  <w:color w:val="0000FF"/>
                  <w:sz w:val="18"/>
                  <w:u w:val="single"/>
                </w:rPr>
                <w:t>3</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9">
              <w:r>
                <w:rPr>
                  <w:rStyle w:val="InternetLink"/>
                  <w:rFonts w:ascii="Times New Roman;serif" w:hAnsi="Times New Roman;serif"/>
                  <w:b w:val="false"/>
                  <w:color w:val="000080"/>
                  <w:sz w:val="18"/>
                  <w:u w:val="single"/>
                </w:rPr>
                <w:t xml:space="preserve">Condensed Consolidated Balance Sheets as of </w:t>
              </w:r>
            </w:hyperlink>
            <w:hyperlink w:anchor="ibae315c273334ecb8f15cada0212803d_19">
              <w:r>
                <w:rPr>
                  <w:rStyle w:val="InternetLink"/>
                  <w:rFonts w:ascii="Times New Roman;serif" w:hAnsi="Times New Roman;serif"/>
                  <w:b w:val="false"/>
                  <w:color w:val="000080"/>
                  <w:sz w:val="18"/>
                  <w:u w:val="single"/>
                </w:rPr>
                <w:t>March 31,</w:t>
              </w:r>
            </w:hyperlink>
            <w:hyperlink w:anchor="ibae315c273334ecb8f15cada0212803d_19">
              <w:r>
                <w:rPr>
                  <w:rStyle w:val="InternetLink"/>
                  <w:rFonts w:ascii="Times New Roman;serif" w:hAnsi="Times New Roman;serif"/>
                  <w:b w:val="false"/>
                  <w:color w:val="000080"/>
                  <w:sz w:val="18"/>
                  <w:u w:val="single"/>
                </w:rPr>
                <w:t xml:space="preserve"> 2026</w:t>
              </w:r>
            </w:hyperlink>
            <w:hyperlink w:anchor="ibae315c273334ecb8f15cada0212803d_19">
              <w:r>
                <w:rPr>
                  <w:rStyle w:val="InternetLink"/>
                  <w:rFonts w:ascii="Times New Roman;serif" w:hAnsi="Times New Roman;serif"/>
                  <w:b w:val="false"/>
                  <w:color w:val="000080"/>
                  <w:sz w:val="18"/>
                  <w:u w:val="single"/>
                </w:rPr>
                <w:t xml:space="preserve"> and December 31, 202</w:t>
              </w:r>
            </w:hyperlink>
            <w:hyperlink w:anchor="ibae315c273334ecb8f15cada0212803d_19">
              <w:r>
                <w:rPr>
                  <w:rStyle w:val="InternetLink"/>
                  <w:rFonts w:ascii="Times New Roman;serif" w:hAnsi="Times New Roman;serif"/>
                  <w:b w:val="false"/>
                  <w:color w:val="000080"/>
                  <w:sz w:val="18"/>
                  <w:u w:val="single"/>
                </w:rPr>
                <w:t>5</w:t>
              </w:r>
            </w:hyperlink>
            <w:hyperlink w:anchor="ibae315c273334ecb8f15cada0212803d_19">
              <w:r>
                <w:rPr>
                  <w:rStyle w:val="InternetLink"/>
                  <w:rFonts w:ascii="Times New Roman;serif" w:hAnsi="Times New Roman;serif"/>
                  <w:b w:val="false"/>
                  <w:color w:val="000080"/>
                  <w:sz w:val="18"/>
                  <w:u w:val="single"/>
                </w:rPr>
                <w:t xml:space="preserve">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9">
              <w:r>
                <w:rPr>
                  <w:rStyle w:val="InternetLink"/>
                  <w:rFonts w:ascii="Times New Roman;serif" w:hAnsi="Times New Roman;serif"/>
                  <w:b w:val="false"/>
                  <w:color w:val="0000FF"/>
                  <w:sz w:val="18"/>
                  <w:u w:val="single"/>
                </w:rPr>
                <w:t>4</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25">
              <w:r>
                <w:rPr>
                  <w:rStyle w:val="InternetLink"/>
                  <w:rFonts w:ascii="Times New Roman;serif" w:hAnsi="Times New Roman;serif"/>
                  <w:b w:val="false"/>
                  <w:color w:val="000080"/>
                  <w:sz w:val="18"/>
                  <w:u w:val="single"/>
                </w:rPr>
                <w:t xml:space="preserve">Condensed Consolidated Statements of Cash Flows for the </w:t>
              </w:r>
            </w:hyperlink>
            <w:hyperlink w:anchor="ibae315c273334ecb8f15cada0212803d_25">
              <w:r>
                <w:rPr>
                  <w:rStyle w:val="InternetLink"/>
                  <w:rFonts w:ascii="Times New Roman;serif" w:hAnsi="Times New Roman;serif"/>
                  <w:b w:val="false"/>
                  <w:color w:val="000080"/>
                  <w:sz w:val="18"/>
                  <w:u w:val="single"/>
                </w:rPr>
                <w:t>Three</w:t>
              </w:r>
            </w:hyperlink>
            <w:hyperlink w:anchor="ibae315c273334ecb8f15cada0212803d_25">
              <w:r>
                <w:rPr>
                  <w:rStyle w:val="InternetLink"/>
                  <w:rFonts w:ascii="Times New Roman;serif" w:hAnsi="Times New Roman;serif"/>
                  <w:b w:val="false"/>
                  <w:color w:val="000080"/>
                  <w:sz w:val="18"/>
                  <w:u w:val="single"/>
                </w:rPr>
                <w:t xml:space="preserve"> Months Ended </w:t>
              </w:r>
            </w:hyperlink>
            <w:hyperlink w:anchor="ibae315c273334ecb8f15cada0212803d_25">
              <w:r>
                <w:rPr>
                  <w:rStyle w:val="InternetLink"/>
                  <w:rFonts w:ascii="Times New Roman;serif" w:hAnsi="Times New Roman;serif"/>
                  <w:b w:val="false"/>
                  <w:color w:val="000080"/>
                  <w:sz w:val="18"/>
                  <w:u w:val="single"/>
                </w:rPr>
                <w:t>March 31, 2026</w:t>
              </w:r>
            </w:hyperlink>
            <w:hyperlink w:anchor="ibae315c273334ecb8f15cada0212803d_25">
              <w:r>
                <w:rPr>
                  <w:rStyle w:val="InternetLink"/>
                  <w:rFonts w:ascii="Times New Roman;serif" w:hAnsi="Times New Roman;serif"/>
                  <w:b w:val="false"/>
                  <w:color w:val="000080"/>
                  <w:sz w:val="18"/>
                  <w:u w:val="single"/>
                </w:rPr>
                <w:t xml:space="preserve"> and 202</w:t>
              </w:r>
            </w:hyperlink>
            <w:hyperlink w:anchor="ibae315c273334ecb8f15cada0212803d_25">
              <w:r>
                <w:rPr>
                  <w:rStyle w:val="InternetLink"/>
                  <w:rFonts w:ascii="Times New Roman;serif" w:hAnsi="Times New Roman;serif"/>
                  <w:b w:val="false"/>
                  <w:color w:val="000080"/>
                  <w:sz w:val="18"/>
                  <w:u w:val="single"/>
                </w:rPr>
                <w:t>5</w:t>
              </w:r>
            </w:hyperlink>
            <w:hyperlink w:anchor="ibae315c273334ecb8f15cada0212803d_25">
              <w:r>
                <w:rPr>
                  <w:rStyle w:val="InternetLink"/>
                  <w:rFonts w:ascii="Times New Roman;serif" w:hAnsi="Times New Roman;serif"/>
                  <w:b w:val="false"/>
                  <w:color w:val="000080"/>
                  <w:sz w:val="18"/>
                  <w:u w:val="single"/>
                </w:rPr>
                <w:t xml:space="preserve">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25">
              <w:r>
                <w:rPr>
                  <w:rStyle w:val="InternetLink"/>
                  <w:rFonts w:ascii="Times New Roman;serif" w:hAnsi="Times New Roman;serif"/>
                  <w:b w:val="false"/>
                  <w:color w:val="0000FF"/>
                  <w:sz w:val="18"/>
                  <w:u w:val="single"/>
                </w:rPr>
                <w:t>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28">
              <w:r>
                <w:rPr>
                  <w:rStyle w:val="InternetLink"/>
                  <w:rFonts w:ascii="Times New Roman;serif" w:hAnsi="Times New Roman;serif"/>
                  <w:b w:val="false"/>
                  <w:color w:val="000080"/>
                  <w:sz w:val="18"/>
                  <w:u w:val="single"/>
                </w:rPr>
                <w:t>Condensed Consolidated Statements of Changes in Shareholders' Equity for the</w:t>
              </w:r>
            </w:hyperlink>
            <w:hyperlink w:anchor="ibae315c273334ecb8f15cada0212803d_28">
              <w:r>
                <w:rPr>
                  <w:rStyle w:val="InternetLink"/>
                  <w:rFonts w:ascii="Times New Roman;serif" w:hAnsi="Times New Roman;serif"/>
                  <w:b w:val="false"/>
                  <w:color w:val="000080"/>
                  <w:sz w:val="18"/>
                  <w:u w:val="single"/>
                </w:rPr>
                <w:t xml:space="preserve"> Thr</w:t>
              </w:r>
            </w:hyperlink>
            <w:hyperlink w:anchor="ibae315c273334ecb8f15cada0212803d_28">
              <w:r>
                <w:rPr>
                  <w:rStyle w:val="InternetLink"/>
                  <w:rFonts w:ascii="Times New Roman;serif" w:hAnsi="Times New Roman;serif"/>
                  <w:b w:val="false"/>
                  <w:color w:val="000080"/>
                  <w:sz w:val="18"/>
                  <w:u w:val="single"/>
                </w:rPr>
                <w:t>ee</w:t>
              </w:r>
            </w:hyperlink>
            <w:hyperlink w:anchor="ibae315c273334ecb8f15cada0212803d_28">
              <w:r>
                <w:rPr>
                  <w:rStyle w:val="InternetLink"/>
                  <w:rFonts w:ascii="Times New Roman;serif" w:hAnsi="Times New Roman;serif"/>
                  <w:b w:val="false"/>
                  <w:color w:val="000080"/>
                  <w:sz w:val="18"/>
                  <w:u w:val="single"/>
                </w:rPr>
                <w:t xml:space="preserve"> Months Ended </w:t>
              </w:r>
            </w:hyperlink>
            <w:hyperlink w:anchor="ibae315c273334ecb8f15cada0212803d_28">
              <w:r>
                <w:rPr>
                  <w:rStyle w:val="InternetLink"/>
                  <w:rFonts w:ascii="Times New Roman;serif" w:hAnsi="Times New Roman;serif"/>
                  <w:b w:val="false"/>
                  <w:color w:val="000080"/>
                  <w:sz w:val="18"/>
                  <w:u w:val="single"/>
                </w:rPr>
                <w:t>March 31, 2026</w:t>
              </w:r>
            </w:hyperlink>
            <w:hyperlink w:anchor="ibae315c273334ecb8f15cada0212803d_28">
              <w:r>
                <w:rPr>
                  <w:rStyle w:val="InternetLink"/>
                  <w:rFonts w:ascii="Times New Roman;serif" w:hAnsi="Times New Roman;serif"/>
                  <w:b w:val="false"/>
                  <w:color w:val="000080"/>
                  <w:sz w:val="18"/>
                  <w:u w:val="single"/>
                </w:rPr>
                <w:t xml:space="preserve"> and 202</w:t>
              </w:r>
            </w:hyperlink>
            <w:hyperlink w:anchor="ibae315c273334ecb8f15cada0212803d_28">
              <w:r>
                <w:rPr>
                  <w:rStyle w:val="InternetLink"/>
                  <w:rFonts w:ascii="Times New Roman;serif" w:hAnsi="Times New Roman;serif"/>
                  <w:b w:val="false"/>
                  <w:color w:val="000080"/>
                  <w:sz w:val="18"/>
                  <w:u w:val="single"/>
                </w:rPr>
                <w:t>5</w:t>
              </w:r>
            </w:hyperlink>
            <w:hyperlink w:anchor="ibae315c273334ecb8f15cada0212803d_28">
              <w:r>
                <w:rPr>
                  <w:rStyle w:val="InternetLink"/>
                  <w:rFonts w:ascii="Times New Roman;serif" w:hAnsi="Times New Roman;serif"/>
                  <w:b w:val="false"/>
                  <w:color w:val="000080"/>
                  <w:sz w:val="18"/>
                  <w:u w:val="single"/>
                </w:rPr>
                <w:t xml:space="preserve"> (Unaudited)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28">
              <w:r>
                <w:rPr>
                  <w:rStyle w:val="InternetLink"/>
                  <w:rFonts w:ascii="Times New Roman;serif" w:hAnsi="Times New Roman;serif"/>
                  <w:b w:val="false"/>
                  <w:color w:val="0000FF"/>
                  <w:sz w:val="18"/>
                  <w:u w:val="single"/>
                </w:rPr>
                <w:t>6</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31">
              <w:r>
                <w:rPr>
                  <w:rStyle w:val="InternetLink"/>
                  <w:rFonts w:ascii="Times New Roman;serif" w:hAnsi="Times New Roman;serif"/>
                  <w:b w:val="false"/>
                  <w:color w:val="0000FF"/>
                  <w:sz w:val="18"/>
                  <w:u w:val="single"/>
                </w:rPr>
                <w:t>Notes to Unaudited Condensed Consolidated Financial Statements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31">
              <w:r>
                <w:rPr>
                  <w:rStyle w:val="InternetLink"/>
                  <w:rFonts w:ascii="Times New Roman;serif" w:hAnsi="Times New Roman;serif"/>
                  <w:b w:val="false"/>
                  <w:color w:val="0000FF"/>
                  <w:sz w:val="18"/>
                  <w:u w:val="single"/>
                </w:rPr>
                <w:t>7</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91">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91">
              <w:r>
                <w:rPr>
                  <w:rStyle w:val="InternetLink"/>
                  <w:rFonts w:ascii="Times New Roman;serif" w:hAnsi="Times New Roman;serif"/>
                  <w:b w:val="false"/>
                  <w:color w:val="0000FF"/>
                  <w:sz w:val="18"/>
                  <w:u w:val="single"/>
                </w:rPr>
                <w:t>33</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15">
              <w:r>
                <w:rPr>
                  <w:rStyle w:val="InternetLink"/>
                  <w:rFonts w:ascii="Times New Roman;serif" w:hAnsi="Times New Roman;serif"/>
                  <w:b w:val="false"/>
                  <w:color w:val="0000FF"/>
                  <w:sz w:val="18"/>
                  <w:u w:val="single"/>
                </w:rPr>
                <w:t>Item 3. Quantitative and Qualitative Disclosures About Market Risk</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15">
              <w:r>
                <w:rPr>
                  <w:rStyle w:val="InternetLink"/>
                  <w:rFonts w:ascii="Times New Roman;serif" w:hAnsi="Times New Roman;serif"/>
                  <w:b w:val="false"/>
                  <w:color w:val="0000FF"/>
                  <w:sz w:val="18"/>
                  <w:u w:val="single"/>
                </w:rPr>
                <w:t>44</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18">
              <w:r>
                <w:rPr>
                  <w:rStyle w:val="InternetLink"/>
                  <w:rFonts w:ascii="Times New Roman;serif" w:hAnsi="Times New Roman;serif"/>
                  <w:b w:val="false"/>
                  <w:color w:val="0000FF"/>
                  <w:sz w:val="18"/>
                  <w:u w:val="single"/>
                </w:rPr>
                <w:t>Item 4. Controls and Procedures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18">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21">
              <w:r>
                <w:rPr>
                  <w:rStyle w:val="InternetLink"/>
                  <w:rFonts w:ascii="Times New Roman;serif" w:hAnsi="Times New Roman;serif"/>
                  <w:b w:val="false"/>
                  <w:color w:val="0000FF"/>
                  <w:sz w:val="18"/>
                  <w:u w:val="single"/>
                </w:rPr>
                <w:t>PART II. OTHER INFORMATION</w:t>
              </w:r>
            </w:hyperlink>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24">
              <w:r>
                <w:rPr>
                  <w:rStyle w:val="InternetLink"/>
                  <w:rFonts w:ascii="Times New Roman;serif" w:hAnsi="Times New Roman;serif"/>
                  <w:b w:val="false"/>
                  <w:color w:val="0000FF"/>
                  <w:sz w:val="18"/>
                  <w:u w:val="single"/>
                </w:rPr>
                <w:t>Item 1. Legal Proceedings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24">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27">
              <w:r>
                <w:rPr>
                  <w:rStyle w:val="InternetLink"/>
                  <w:rFonts w:ascii="Times New Roman;serif" w:hAnsi="Times New Roman;serif"/>
                  <w:b w:val="false"/>
                  <w:color w:val="0000FF"/>
                  <w:sz w:val="18"/>
                  <w:u w:val="single"/>
                </w:rPr>
                <w:t>Item 1A. Risk Factors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27">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30">
              <w:r>
                <w:rPr>
                  <w:rStyle w:val="InternetLink"/>
                  <w:rFonts w:ascii="Times New Roman;serif" w:hAnsi="Times New Roman;serif"/>
                  <w:b w:val="false"/>
                  <w:color w:val="0000FF"/>
                  <w:sz w:val="18"/>
                  <w:u w:val="single"/>
                </w:rPr>
                <w:t>Item 2. Unregistered Sales of Equity Securities and Use of Proceeds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30">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33">
              <w:r>
                <w:rPr>
                  <w:rStyle w:val="InternetLink"/>
                  <w:rFonts w:ascii="Times New Roman;serif" w:hAnsi="Times New Roman;serif"/>
                  <w:b w:val="false"/>
                  <w:color w:val="0000FF"/>
                  <w:sz w:val="18"/>
                  <w:u w:val="single"/>
                </w:rPr>
                <w:t>Item 3. Defaults Upon Senior Securities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33">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36">
              <w:r>
                <w:rPr>
                  <w:rStyle w:val="InternetLink"/>
                  <w:rFonts w:ascii="Times New Roman;serif" w:hAnsi="Times New Roman;serif"/>
                  <w:b w:val="false"/>
                  <w:color w:val="0000FF"/>
                  <w:sz w:val="18"/>
                  <w:u w:val="single"/>
                </w:rPr>
                <w:t>Item 4. Mine Safety Disclosures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36">
              <w:r>
                <w:rPr>
                  <w:rStyle w:val="InternetLink"/>
                  <w:rFonts w:ascii="Times New Roman;serif" w:hAnsi="Times New Roman;serif"/>
                  <w:b w:val="false"/>
                  <w:color w:val="0000FF"/>
                  <w:sz w:val="18"/>
                  <w:u w:val="single"/>
                </w:rPr>
                <w:t>45</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39">
              <w:r>
                <w:rPr>
                  <w:rStyle w:val="InternetLink"/>
                  <w:rFonts w:ascii="Times New Roman;serif" w:hAnsi="Times New Roman;serif"/>
                  <w:b w:val="false"/>
                  <w:color w:val="0000FF"/>
                  <w:sz w:val="18"/>
                  <w:u w:val="single"/>
                </w:rPr>
                <w:t>Item 5. Other Information</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39">
              <w:r>
                <w:rPr>
                  <w:rStyle w:val="InternetLink"/>
                  <w:rFonts w:ascii="Times New Roman;serif" w:hAnsi="Times New Roman;serif"/>
                  <w:b w:val="false"/>
                  <w:color w:val="0000FF"/>
                  <w:sz w:val="18"/>
                  <w:u w:val="single"/>
                </w:rPr>
                <w:t>46</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45">
              <w:r>
                <w:rPr>
                  <w:rStyle w:val="InternetLink"/>
                  <w:rFonts w:ascii="Times New Roman;serif" w:hAnsi="Times New Roman;serif"/>
                  <w:b w:val="false"/>
                  <w:color w:val="0000FF"/>
                  <w:sz w:val="18"/>
                  <w:u w:val="single"/>
                </w:rPr>
                <w:t>Item 6. Exhibits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45">
              <w:r>
                <w:rPr>
                  <w:rStyle w:val="InternetLink"/>
                  <w:rFonts w:ascii="Times New Roman;serif" w:hAnsi="Times New Roman;serif"/>
                  <w:b w:val="false"/>
                  <w:color w:val="0000FF"/>
                  <w:sz w:val="18"/>
                  <w:u w:val="single"/>
                </w:rPr>
                <w:t>46</w:t>
              </w:r>
            </w:hyperlink>
          </w:p>
        </w:tc>
      </w:tr>
      <w:tr>
        <w:trPr/>
        <w:tc>
          <w:tcPr>
            <w:tcW w:w="9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e315c273334ecb8f15cada0212803d_148">
              <w:r>
                <w:rPr>
                  <w:rStyle w:val="InternetLink"/>
                  <w:rFonts w:ascii="Times New Roman;serif" w:hAnsi="Times New Roman;serif"/>
                  <w:b w:val="false"/>
                  <w:color w:val="0000FF"/>
                  <w:sz w:val="18"/>
                  <w:u w:val="single"/>
                </w:rPr>
                <w:t>SIGNATURES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e315c273334ecb8f15cada0212803d_148">
              <w:r>
                <w:rPr>
                  <w:rStyle w:val="InternetLink"/>
                  <w:rFonts w:ascii="Times New Roman;serif" w:hAnsi="Times New Roman;serif"/>
                  <w:b w:val="false"/>
                  <w:color w:val="0000FF"/>
                  <w:sz w:val="18"/>
                  <w:u w:val="single"/>
                </w:rPr>
                <w:t>48</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7870" w:type="dxa"/>
        <w:jc w:val="left"/>
        <w:tblInd w:w="0" w:type="dxa"/>
        <w:tblLayout w:type="fixed"/>
        <w:tblCellMar>
          <w:top w:w="28" w:type="dxa"/>
          <w:left w:w="28" w:type="dxa"/>
          <w:bottom w:w="28" w:type="dxa"/>
          <w:right w:w="28" w:type="dxa"/>
        </w:tblCellMar>
      </w:tblPr>
      <w:tblGrid>
        <w:gridCol w:w="1741"/>
        <w:gridCol w:w="1533"/>
        <w:gridCol w:w="1541"/>
        <w:gridCol w:w="209"/>
        <w:gridCol w:w="788"/>
        <w:gridCol w:w="116"/>
        <w:gridCol w:w="116"/>
        <w:gridCol w:w="116"/>
        <w:gridCol w:w="116"/>
        <w:gridCol w:w="209"/>
        <w:gridCol w:w="788"/>
        <w:gridCol w:w="116"/>
        <w:gridCol w:w="109"/>
        <w:gridCol w:w="109"/>
        <w:gridCol w:w="109"/>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0" w:name="id5d887c49abe46ceb9dbbbd0c9fd1038_2-3-26"/>
            <w:bookmarkEnd w:id="0"/>
            <w:r>
              <w:rPr>
                <w:rFonts w:ascii="Times New Roman;serif" w:hAnsi="Times New Roman;serif"/>
                <w:b w:val="false"/>
                <w:color w:val="000000"/>
                <w:sz w:val="18"/>
              </w:rPr>
              <w:t>382,653 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398,150 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 average common shares outstanding (See Note 13):</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loss (See Note 14)</w:t>
            </w:r>
          </w:p>
        </w:tc>
        <w:tc>
          <w:tcPr>
            <w:tcW w:w="9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(21,828)</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804"/>
        <w:gridCol w:w="2180"/>
        <w:gridCol w:w="2188"/>
        <w:gridCol w:w="208"/>
        <w:gridCol w:w="925"/>
        <w:gridCol w:w="115"/>
        <w:gridCol w:w="109"/>
        <w:gridCol w:w="109"/>
        <w:gridCol w:w="109"/>
        <w:gridCol w:w="233"/>
        <w:gridCol w:w="1038"/>
        <w:gridCol w:w="187"/>
      </w:tblGrid>
      <w:tr>
        <w:trPr/>
        <w:tc>
          <w:tcPr>
            <w:tcW w:w="280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$7,410 and $7,230</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1,105,345 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3,577,726 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senior credit facility</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securitization facility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senior credit facility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1,729,556 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securitization facility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2,535,320 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15,000 authorized shares; none outstanding</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240,000 authorized shares; 92,174 and 92,286 issued at March 31, 2026 and December 31, 2025, respectively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1,340,722 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14,356 shares and 14,399 shares at March 31, 2026 and December 31, 2025, respectively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(687,122)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3,577,726 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3,602,001 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8859" w:type="dxa"/>
        <w:jc w:val="center"/>
        <w:tblInd w:w="0" w:type="dxa"/>
        <w:tblLayout w:type="fixed"/>
        <w:tblCellMar>
          <w:top w:w="28" w:type="dxa"/>
          <w:left w:w="28" w:type="dxa"/>
          <w:bottom w:w="28" w:type="dxa"/>
          <w:right w:w="28" w:type="dxa"/>
        </w:tblCellMar>
      </w:tblPr>
      <w:tblGrid>
        <w:gridCol w:w="2259"/>
        <w:gridCol w:w="1985"/>
        <w:gridCol w:w="1995"/>
        <w:gridCol w:w="209"/>
        <w:gridCol w:w="787"/>
        <w:gridCol w:w="116"/>
        <w:gridCol w:w="116"/>
        <w:gridCol w:w="116"/>
        <w:gridCol w:w="116"/>
        <w:gridCol w:w="209"/>
        <w:gridCol w:w="787"/>
        <w:gridCol w:w="164"/>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expenses associated with debt refinancing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adjustment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others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long-term indebtedness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contingent considerations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exercised stock options and employee stock purchase plan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in net equity settlement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239,104 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92,286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(14,399)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1,338,386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(30,077)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1,043,463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92,174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(14,356)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1,340,722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(30,940)</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418,824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1,042,406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(14,445)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1,545,280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(24,106)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914,622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1,524,139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terms “we,” “our,” “us,” “Company” and “Integra” refer to Integra LifeSciences Holdings Corporation, a Delaware corporation, and its subsidiaries unless the context suggests otherwise.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March 31, 2026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2025 included in the Company’s Annual Report on Form 10-K. The consolidated balance sheet as of December 31, 2025 was derived from audited financial statements, but does not include all disclosures required by GAAP. Operating results for the three-month period ended March 31, 2026 are not necessarily indicative of the results to be expected for the entire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bidi w:val="0"/>
        <w:spacing w:lineRule="auto" w:line="288" w:before="120" w:after="120"/>
        <w:jc w:val="left"/>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2025-01”). ASU 2024-03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pStyle w:val="TextBody"/>
        <w:bidi w:val="0"/>
        <w:spacing w:lineRule="auto" w:line="288" w:before="12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ASU is effective for fiscal years beginning after December 15, 2027, and interim periods within those fiscal years, with early adoption permitted as of the beginning of a fiscal year. The amendment may be applied prospectively, retrospectively, or via a modified prospective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2025, the FASB issued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(“ASU 2025-09”), which amends existing guidance to clarify and enhance the hedge accounting guidance in FASB Topic 815 and better align hedge accounting with the economics of an entity’s risk management strategies to enable entities to achieve and maintain hedge accounting for highly effective economic hedges. This ASU is effective for fiscal years beginning after December 15, 2026, and interim periods within those fiscal years, with early adoption permitted. The amendment may be applied prospectively for all hedging relationships. The Company is currently evaluating the impact that the adoption of this guidance will have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 xml:space="preserve">Government Grants (Topic 832): Accounting for Government Grants by Business Entities </w:t>
      </w:r>
      <w:r>
        <w:rPr>
          <w:rFonts w:ascii="Times New Roman;serif" w:hAnsi="Times New Roman;serif"/>
          <w:b w:val="false"/>
          <w:color w:val="000000"/>
          <w:sz w:val="20"/>
        </w:rPr>
        <w:t>(“ASU 2025-10”), which establishes authoritative guidance on the recognition, measurement, presentation, and disclosure for government grants received by business entities. This amendment defines a government grant, establishes when and how a grant related to an asset or income is recognized and measured, and includes presentation and disclosure requirements. This ASU is effective for fiscal years beginning after December 15, 2028, and interim periods within those fiscal years, with early adoption permitted. The amendment may be applied using a modified prospective, modified retrospective, or fully retrospective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are expected to have any significant effect on the Company’s financial position, results of operations, or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cash and cash equivalents, primarily consisting of cash on-hand, as well as time deposits with original maturities of three months or less and money market funds, which are highly liquid and readily convertible to cash, totaling approximately $236.8 million and $235.0 million at March 31, 2026 and December 31, 2025,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short-term investments, primarily consisting of time deposits with original maturities between three months and one year, totaling approximately $28.7 million and $28.7 million at March 31, 2026 and December 31, 2025, respectively. The short-term investments are valued based on Level 1 measurements in the fair value hierarchy.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IEEPA tariff refund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ruled to invalidate the U.S. administration’s tariff program implemented during 2025 under the International Emergency Economic Powers Act (“IEEPA”), concluding that IEEPA did not authorize the broad import duties previously imposed. Subsequent to the U.S. Supreme Court ruling,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submit IEEPA tariff refund requests. All requests will be reviewed by the CBP to determine validity prior to the issuance of refunds</w:t>
      </w:r>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During the three months ended March 31,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 xml:space="preserve">(“ASC 405-20”). As a result, the Company recognized a receivable of $18.7 million, recorded in other current assets, for tariffs previously paid on imported goods that are subject to refund. Of this amount, $3.4 million had been previously expensed in 2025 to cost of goods sold and $15.3 million would have been expensed in the current year. These adjustments relate to the legal right to receive a refund of IEEPA tariffs previously imposed on the Company without appropriate authority. </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adopted a written severance plan that covers most U.S. employees. In situations outside the U.S., the Company has severance policies that meet or exceed the minimum statutory termination benefits requirements by country that must be paid to the affected employees. The Company records employee severance costs associated with restructuring activities in accordance with the authoritative guidance for non-retirement post-employment benefits. Charges associated with these restructuring activities are recorded when the payment of benefits is probable and can be reasonably estimated. In situations where the Company pays out termination benefits in excess of the Company’s severance policies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employee termination costs on restructuring activities in the consolidated statement of operations for the three months ended March 31, 2026 and 2025. The following table summarizes the activity in the restructuring related accrual balances included within accrued expenses and other current liabilities in the consolidated balance sheet for the three months ended March 31, 2026 and 2025.</w:t>
      </w:r>
    </w:p>
    <w:tbl>
      <w:tblPr>
        <w:tblW w:w="5500"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35"/>
        <w:gridCol w:w="776"/>
        <w:gridCol w:w="131"/>
        <w:gridCol w:w="131"/>
        <w:gridCol w:w="131"/>
        <w:gridCol w:w="131"/>
        <w:gridCol w:w="235"/>
        <w:gridCol w:w="668"/>
        <w:gridCol w:w="185"/>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120"/>
        <w:jc w:val="both"/>
        <w:rPr/>
      </w:pPr>
      <w:r>
        <w:rPr>
          <w:rFonts w:ascii="Times New Roman;serif" w:hAnsi="Times New Roman;serif"/>
          <w:b w:val="false"/>
          <w:color w:val="000000"/>
          <w:sz w:val="20"/>
        </w:rPr>
        <w:t xml:space="preserve">During the three months ended March 31, 2026, the Company updated the allocation of certain cost and expense information from the Corporate and Other category to the Company’s two reportable segments to align with how the Company’s Chief Operating Decision Maker (“CODM”) reviews and manages the business. As a result of this update, the Company retrospectively recast prior period results, by segment, to conform to the current period presentation. This update had no impact on the Company’s consolidated results of operations. See </w:t>
      </w:r>
      <w:r>
        <w:rPr>
          <w:rFonts w:ascii="Times New Roman;serif" w:hAnsi="Times New Roman;serif"/>
          <w:b w:val="false"/>
          <w:i/>
          <w:color w:val="000000"/>
          <w:sz w:val="20"/>
        </w:rPr>
        <w:t>Note 15. Segment and Geographic Information</w:t>
      </w:r>
      <w:r>
        <w:rPr>
          <w:rFonts w:ascii="Times New Roman;serif" w:hAnsi="Times New Roman;serif"/>
          <w:b w:val="false"/>
          <w:color w:val="000000"/>
          <w:sz w:val="20"/>
        </w:rPr>
        <w:t>, for details of the reallocation of certain cost of goods sold and operating expense information to the Company’s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months ended March 31, 2026, the Company renamed its Codman Specialty Surgical reportable segment to Specialty Surgery and its Tissue Technologies reportable segment to Tissue Reconstruction to better align with the reportable segments’ business activities, structures, and strategies. The reportable segment name change did not result in any change to the composition of the reportable segments and has no impact on previously reported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ACQUISITIONS AND DIVESTITURES</w:t>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Acquisition of Durepair®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completed the acquisition of the product rights for Durepair Regeneration Matrix (“Durepair”), a non-synthetic dura substitute for repair of the dura mater during neurosurgical procedures, from Medtronic plc for total consideration of $45.0 million. The Company made cash payments of $10.0 million upon the closing of the acquisition in October 2024, $15.0 million on the first anniversary of the acquisition in October 2025, and will make an additional cash payment of $20.0 million upon the second anniversary of the acquisition in October 2026. The additional cash payment to be made in October 2026 is included at its present value in accrued expenses and other current liabilities as of March 31, 2026.</w:t>
      </w:r>
    </w:p>
    <w:p>
      <w:pPr>
        <w:pStyle w:val="TextBody"/>
        <w:bidi w:val="0"/>
        <w:spacing w:lineRule="auto" w:line="288" w:before="120" w:after="120"/>
        <w:jc w:val="both"/>
        <w:rPr/>
      </w:pPr>
      <w:r>
        <w:rPr>
          <w:rFonts w:ascii="Times New Roman;serif" w:hAnsi="Times New Roman;serif"/>
          <w:b w:val="false"/>
          <w:color w:val="000000"/>
          <w:sz w:val="20"/>
        </w:rPr>
        <w:t xml:space="preserve">The acquisition of the product rights for Durepair, which consist of certain patents and trademarks, regulatory approvals, and other records, has been accounted for as an asset acquisition in accordance with FASB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as the acquisition does not include an assembled workforce and substantially all of the fair value of the assets acquired is concentrated in a single identifiable intangible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3. REVENUES FROM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Accounting Policies on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Significant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contract asset and liability balances for the three months ended March 31, 2026:</w:t>
      </w:r>
    </w:p>
    <w:tbl>
      <w:tblPr>
        <w:tblW w:w="9057" w:type="dxa"/>
        <w:jc w:val="center"/>
        <w:tblInd w:w="0" w:type="dxa"/>
        <w:tblLayout w:type="fixed"/>
        <w:tblCellMar>
          <w:top w:w="28" w:type="dxa"/>
          <w:left w:w="28" w:type="dxa"/>
          <w:bottom w:w="28" w:type="dxa"/>
          <w:right w:w="28" w:type="dxa"/>
        </w:tblCellMar>
      </w:tblPr>
      <w:tblGrid>
        <w:gridCol w:w="2569"/>
        <w:gridCol w:w="2254"/>
        <w:gridCol w:w="2257"/>
        <w:gridCol w:w="109"/>
        <w:gridCol w:w="109"/>
        <w:gridCol w:w="109"/>
        <w:gridCol w:w="109"/>
        <w:gridCol w:w="109"/>
        <w:gridCol w:w="109"/>
        <w:gridCol w:w="196"/>
        <w:gridCol w:w="646"/>
        <w:gridCol w:w="109"/>
        <w:gridCol w:w="109"/>
        <w:gridCol w:w="109"/>
        <w:gridCol w:w="154"/>
      </w:tblGrid>
      <w:tr>
        <w:trPr/>
        <w:tc>
          <w:tcPr>
            <w:tcW w:w="256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to trade receivables from contract asset included in beginning of the year 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 net of transferred to trade receivables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revenue included in beginning of year 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 net of revenue recognized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short-term portion of the contract liability of $11.6 million, representing 52% of unsatisfied or partially unsatisfied performance obligations, is expected to be recognized as revenue within 12 months and is included in current liabilities in the consolidated balance sheet. The long-term portion of $10.8 million, representing the remaining balance to be recognized thereafter, is included in other liabilities in the consolidated balance sheet.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Shipping and Handling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Taxes Collected from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of revenues for the three months ended March 31, 2026 and 2025 (dollar amounts in thousands):</w:t>
      </w:r>
    </w:p>
    <w:tbl>
      <w:tblPr>
        <w:tblW w:w="8515" w:type="dxa"/>
        <w:jc w:val="center"/>
        <w:tblInd w:w="0" w:type="dxa"/>
        <w:tblLayout w:type="fixed"/>
        <w:tblCellMar>
          <w:top w:w="28" w:type="dxa"/>
          <w:left w:w="28" w:type="dxa"/>
          <w:bottom w:w="28" w:type="dxa"/>
          <w:right w:w="28" w:type="dxa"/>
        </w:tblCellMar>
      </w:tblPr>
      <w:tblGrid>
        <w:gridCol w:w="760"/>
        <w:gridCol w:w="669"/>
        <w:gridCol w:w="670"/>
        <w:gridCol w:w="528"/>
        <w:gridCol w:w="1983"/>
        <w:gridCol w:w="293"/>
        <w:gridCol w:w="109"/>
        <w:gridCol w:w="109"/>
        <w:gridCol w:w="109"/>
        <w:gridCol w:w="528"/>
        <w:gridCol w:w="1983"/>
        <w:gridCol w:w="293"/>
        <w:gridCol w:w="109"/>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Neurosurgery</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198,195 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w:t>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w:t>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Surgery</w:t>
            </w:r>
          </w:p>
        </w:tc>
        <w:tc>
          <w:tcPr>
            <w:tcW w:w="251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283,135 </w:t>
            </w:r>
          </w:p>
        </w:tc>
        <w:tc>
          <w:tcPr>
            <w:tcW w:w="2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280,664 </w:t>
            </w:r>
          </w:p>
        </w:tc>
        <w:tc>
          <w:tcPr>
            <w:tcW w:w="2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Wound Reconstruction</w:t>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79,648 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Label</w:t>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Tissue Reconstruction</w:t>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108,783 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382,653 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Note 15. Segment and Geographic Information</w:t>
      </w:r>
      <w:r>
        <w:rPr>
          <w:rFonts w:ascii="Times New Roman;serif" w:hAnsi="Times New Roman;serif"/>
          <w:b w:val="false"/>
          <w:color w:val="000000"/>
          <w:sz w:val="20"/>
        </w:rPr>
        <w:t>, 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4812" w:type="dxa"/>
        <w:jc w:val="left"/>
        <w:tblInd w:w="0" w:type="dxa"/>
        <w:tblLayout w:type="fixed"/>
        <w:tblCellMar>
          <w:top w:w="28" w:type="dxa"/>
          <w:left w:w="28" w:type="dxa"/>
          <w:bottom w:w="28" w:type="dxa"/>
          <w:right w:w="28" w:type="dxa"/>
        </w:tblCellMar>
      </w:tblPr>
      <w:tblGrid>
        <w:gridCol w:w="582"/>
        <w:gridCol w:w="511"/>
        <w:gridCol w:w="512"/>
        <w:gridCol w:w="243"/>
        <w:gridCol w:w="912"/>
        <w:gridCol w:w="135"/>
        <w:gridCol w:w="109"/>
        <w:gridCol w:w="109"/>
        <w:gridCol w:w="109"/>
        <w:gridCol w:w="287"/>
        <w:gridCol w:w="1078"/>
        <w:gridCol w:w="225"/>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495,035 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492,735 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5. GOODWILL AND OTHER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three-month period ended March 31, 2026 were as follows:</w:t>
      </w:r>
    </w:p>
    <w:tbl>
      <w:tblPr>
        <w:tblW w:w="7408" w:type="dxa"/>
        <w:jc w:val="left"/>
        <w:tblInd w:w="0" w:type="dxa"/>
        <w:tblLayout w:type="fixed"/>
        <w:tblCellMar>
          <w:top w:w="28" w:type="dxa"/>
          <w:left w:w="28" w:type="dxa"/>
          <w:bottom w:w="28" w:type="dxa"/>
          <w:right w:w="28" w:type="dxa"/>
        </w:tblCellMar>
      </w:tblPr>
      <w:tblGrid>
        <w:gridCol w:w="870"/>
        <w:gridCol w:w="764"/>
        <w:gridCol w:w="765"/>
        <w:gridCol w:w="274"/>
        <w:gridCol w:w="1029"/>
        <w:gridCol w:w="152"/>
        <w:gridCol w:w="109"/>
        <w:gridCol w:w="109"/>
        <w:gridCol w:w="109"/>
        <w:gridCol w:w="341"/>
        <w:gridCol w:w="1283"/>
        <w:gridCol w:w="190"/>
        <w:gridCol w:w="109"/>
        <w:gridCol w:w="109"/>
        <w:gridCol w:w="109"/>
        <w:gridCol w:w="196"/>
        <w:gridCol w:w="73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Surgery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Reconstruction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at December 31, 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344,167 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270,990 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at March 31, 2026</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343,098 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270,149 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performed a quantitative assessment of its Tissue Reconstruction, Neurosurgery, and Instruments and ENT reporting units in accordance with ASC 350 due to the decrease in the price per share of the Company’s common stock related to a number of factors including recent tariff changes that have created broad economic uncertainty and the impact of quality, operational, and supply issues. The Company recognized an aggregate charge of $511.4 million in goodwill impairment expense in the consolidated statement of operations in the second quarter of 2025. The quantitative test for the Tissue Reconstruction reporting unit utilized a terminal growth rate of 2.5% and a discount rate of 13.5% in the income approach. The Company determined, after performing the quantitative analysis, that the fair value of the Tissue Reconstruction reporting unit was less than its carrying amount and recognized an impairment of $123.3 million. The quantitative test for the Neurosurgery reporting unit utilized a terminal growth rate of 2.5% and a discount rate of 13.5% in the income approach. The Company determined, after performing the quantitative analysis, that the fair value of the Neurosurgery reporting unit was less than its carrying amount and recognized an impairment of $249.0 million. The quantitative test for the Instruments and ENT reporting unit utilized a terminal growth rate of 2.5% and a discount rate of 12.0% in the income approach. The Company determined, after performing the quantitative analysis, that the fair value of the Instruments and ENT reporting unit was less than its carrying amount and recognized an impairment of $139.1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reporting units for impairment and completed a qualitative evaluation of its Tissue Reconstruction and Neurosurgery reporting units. The Instruments and ENT reporting unit had been deemed fully-impaired during the second quarter of 2025 and was excluded from this evaluation. After performing the qualitative analysis, the Company concluded that it was more likely than not that the fair values of the Tissue Reconstruction and Neurosurgery reporting units were greater than their carrying amounts. Therefore, it was not necessary to perform a quantitative impairment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observed a decline in the market valuation of the Company’s common stock along with a volatile macroeconomic environment due to continuing tensions in global trade relationships and the ongoing military conflict between the U.S., Israel, and Iran. As a result, the Company has evaluated whether an event has occurred or circumstances changed that could potentially reduce the fair value of a reporting unit below its carrying amount as of March 31, 2026, and determined it was not more likely than not that the fair values of the Tissue Reconstruction and Neurosurgery reporting units was less than their respective carrying values. The Company will continue to evaluate changes in events and circumstances which could impact this conclusion in the future, including quantitative and qualitative factors such as the Company’s market capitalization or macroeconomic conditions affecting the Company’s forecast results. If an event occurs or circumstances change that could potentially reduce the fair value of a reporting unit below its carrying amount, the Company will perform an interim assessment of goodwill for impairment. The Company will also continue to monitor conditions that may require the Company to perform an interim assessment of its intangible assets for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Intangible Assets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identifiable intangible assets were as follows:</w:t>
      </w:r>
    </w:p>
    <w:tbl>
      <w:tblPr>
        <w:tblW w:w="7261" w:type="dxa"/>
        <w:jc w:val="left"/>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(883,308)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1" w:type="dxa"/>
        <w:jc w:val="center"/>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(858,068)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Indefinite Lives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performed a quantitative assessment of its Codman tradename intangible asset in accordance with ASC 350 due to the decrease in the price per share of the Company’s common stock related to a number of factors including recent tariff changes that have created broad economic uncertainty and the impact of quality, operational, and supply issues. In performing this test, the Company utilized a discount rate of 14.5%. The assumptions used in evaluating the Codman tradename for impairment are subject to change and are tracked against historical results by management. Based on the results of the quantitative test, the Company recorded no impairment to the Codman tradename intangible asset.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intangible assets with indefinite lives for impairment and completed a qualitative evaluation of its Codman tradename intangible asset. After performing the qualitative analysis, the Company concluded that it was more likely than not that the fair value of the Codman tradename intangible asset was greater than its carrying amount. Therefore, it was not necessary to perform a quantitative impairment test.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Definite Lives</w:t>
      </w:r>
    </w:p>
    <w:p>
      <w:pPr>
        <w:pStyle w:val="TextBody"/>
        <w:bidi w:val="0"/>
        <w:spacing w:lineRule="auto" w:line="288" w:before="120" w:after="120"/>
        <w:jc w:val="both"/>
        <w:rPr/>
      </w:pPr>
      <w:r>
        <w:rPr>
          <w:rFonts w:ascii="Times New Roman;serif" w:hAnsi="Times New Roman;serif"/>
          <w:b w:val="false"/>
          <w:color w:val="000000"/>
          <w:sz w:val="20"/>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(“ASC 360”) whenever events or changes in circumstances indicate that a definite-lived intangible asset’s carrying value may not be recoverable.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amortization of intangible assets for the three months ended March 31, 2026 was $27.0 million. Of this amount, $23.2 million was related to amortization of technology based intangibles and included in cost of goods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amortization of intangible assets for the three months ended March 31, 2025 was $26.5 million. Of this amount, $22.8 million was related to amortization of technology based intangibles and included in 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quarter-end exchange rates, amortization expense (including amounts reported in cost of goods sold) is expected to be approximately $80.8 million for the remainder of 2026, $106.8 million in 2027, $103.2 million in 2028, $97.9 million in 2029, $91.8 million in 2030, $88.8 million in 2031 and $359.9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Amendment to the Seventh Amended and Restated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24, 2023, the Company entered into the March 2023 Amendment of the Senior Credit Facility with a syndicate of lending banks with Bank of America, N.A., as Administrative Agent. The March 2023 Amendment of the Senior Credit Facility extended the maturity date to March 24, 2028, amended the contractual repayments of the term loan component, and amended the interest rate from LIBOR to SOFR-indexed interest. The Senior Credit Facility is collateralized by substantially all of the assets of the Company’s U.S. subsidiaries, excluding intangible assets. The Senior Credit Facility is subject to various financial and negative covenants and, at March 31, 2026, the Company was in compliance with all such covenants.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in response to the risks and uncertainties surrounding the Company’s future results of operations due to tariffs, the Company entered into the June 2025 Amendment of the Senior Credit Facility (the “June 2025 Amendment”) with a syndicate of lending banks with Bank of America, N.A., as Administrative Agent. The June 2025 Amendment did not increase the Company’s total indebtedness or extend the maturity date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terms of the June 2025 Amendment, the Company’s Consolidated Total Leverage Ratio (defined, as of any date of determination, as the ratio of (a) Consolidated Funded Indebtedness as of such date (as defined in the Senior Credit Facility) less cash that is not subject to any restriction on the use or investment thereof to (b) Consolidated EBITDA (as defined in the Senior Credit Facility)) for the period of four consecutive fiscal quarters ending on such date was modified to the following:</w:t>
      </w:r>
    </w:p>
    <w:tbl>
      <w:tblPr>
        <w:tblW w:w="8607" w:type="dxa"/>
        <w:jc w:val="left"/>
        <w:tblInd w:w="0" w:type="dxa"/>
        <w:tblLayout w:type="fixed"/>
        <w:tblCellMar>
          <w:top w:w="28" w:type="dxa"/>
          <w:left w:w="28" w:type="dxa"/>
          <w:bottom w:w="28" w:type="dxa"/>
          <w:right w:w="28" w:type="dxa"/>
        </w:tblCellMar>
      </w:tblPr>
      <w:tblGrid>
        <w:gridCol w:w="1669"/>
        <w:gridCol w:w="1469"/>
        <w:gridCol w:w="1482"/>
        <w:gridCol w:w="109"/>
        <w:gridCol w:w="109"/>
        <w:gridCol w:w="109"/>
        <w:gridCol w:w="1072"/>
        <w:gridCol w:w="1072"/>
        <w:gridCol w:w="1516"/>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and the last day of each fiscal quarter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Senior Credit Facility,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Senior Credit Facility or designating any subsidiary that owns or exclusively licenses any material intellectual property as an excluded subsidiary under the Senior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Senior Credit Facility bear interest under the applicable rate schedule, at the Company’s option, at a rate equal to the following: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i.Term SOFR in effect from time to time plus 0.10% plus the applicable rate (ranging from 1.00% to 2.13% during the Covenant Relief Period and from 1.00% to 1.75% thereafter) or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highest of: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weighted average overnight Federal funds rate, as published by the Federal Reserve Bank of New York, plus 0.50%;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one-month Term SOFR plus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rates are based on the Company’s Consolidated Total Leverage Ratio for the period of four consecutive fiscal quarters ending on such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June 2025 Amendment, the Company incurred $3.9 million in fees to creditors and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have the aggregate principal amount of up to approximately $2.1 billion available to it through the following facilities: (i) a $775.0 million term loan facility, and (ii) a $1.3 billion revolving credit facility, which includes a $60.0 million sublimit for the issuance of standby letters of credit and a $60.0 million sublimit for swingline loans. The terms of the Senior Credit Facility limit the amount of dividends the Company may pay. </w:t>
      </w:r>
    </w:p>
    <w:p>
      <w:pPr>
        <w:pStyle w:val="TextBody"/>
        <w:bidi w:val="0"/>
        <w:spacing w:lineRule="auto" w:line="288" w:before="120" w:after="120"/>
        <w:jc w:val="both"/>
        <w:rPr/>
      </w:pPr>
      <w:r>
        <w:rPr>
          <w:rFonts w:ascii="Times New Roman;serif" w:hAnsi="Times New Roman;serif"/>
          <w:b w:val="false"/>
          <w:color w:val="000000"/>
          <w:sz w:val="20"/>
        </w:rPr>
        <w:t>At March 31, 2026 and December 31, 2025, there wa</w:t>
      </w:r>
      <w:r>
        <w:rPr>
          <w:rFonts w:ascii="Times New Roman;serif" w:hAnsi="Times New Roman;serif"/>
          <w:b w:val="false"/>
          <w:color w:val="000000"/>
          <w:sz w:val="20"/>
          <w:shd w:fill="FFFFFF" w:val="clear"/>
        </w:rPr>
        <w:t>s $1,075.0 million and $1,045.0 million, respectively, ou</w:t>
      </w:r>
      <w:r>
        <w:rPr>
          <w:rFonts w:ascii="Times New Roman;serif" w:hAnsi="Times New Roman;serif"/>
          <w:b w:val="false"/>
          <w:color w:val="000000"/>
          <w:sz w:val="20"/>
        </w:rPr>
        <w:t>tstanding under the revolving credit facility component of the Senior Credit Facility. At March 31, 2026 and December 31, 2025, there was $716.9 million and $726.6 million outstanding under the term loan component of the Senior Credit Facility at a weighted average interest rate of 5.9% and 5.7%, respectively. As of March 31, 2026 and December 31, 2025 there was $38.8 million of the term loan component of the Senior Credit Facility classified as current on the condensed consolidated balance sheet.</w:t>
      </w:r>
    </w:p>
    <w:p>
      <w:pPr>
        <w:pStyle w:val="TextBody"/>
        <w:bidi w:val="0"/>
        <w:spacing w:lineRule="auto" w:line="288" w:before="120" w:after="120"/>
        <w:jc w:val="both"/>
        <w:rPr/>
      </w:pPr>
      <w:r>
        <w:rPr>
          <w:rFonts w:ascii="Times New Roman;serif" w:hAnsi="Times New Roman;serif"/>
          <w:b w:val="false"/>
          <w:color w:val="000000"/>
          <w:sz w:val="20"/>
        </w:rPr>
        <w:t>The fair value of the term loan component and revolving credit facility component of the Senior Credit Facility at March 31, 2026 was $713.4 million, and $1,069.5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and December 31, 2025, letters of credit outstanding to</w:t>
      </w:r>
      <w:r>
        <w:rPr>
          <w:rFonts w:ascii="Times New Roman;serif" w:hAnsi="Times New Roman;serif"/>
          <w:b w:val="false"/>
          <w:color w:val="000000"/>
          <w:sz w:val="20"/>
        </w:rPr>
        <w:t>taled $3.0 million. There were no amounts drawn under the letters of credit outstanding as of March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Contractual repayments of the term loan component of the Senior Credit Facility are due as follows:</w:t>
      </w:r>
    </w:p>
    <w:tbl>
      <w:tblPr>
        <w:tblW w:w="3852" w:type="dxa"/>
        <w:jc w:val="center"/>
        <w:tblInd w:w="0" w:type="dxa"/>
        <w:tblLayout w:type="fixed"/>
        <w:tblCellMar>
          <w:top w:w="28" w:type="dxa"/>
          <w:left w:w="28" w:type="dxa"/>
          <w:bottom w:w="28" w:type="dxa"/>
          <w:right w:w="28" w:type="dxa"/>
        </w:tblCellMar>
      </w:tblPr>
      <w:tblGrid>
        <w:gridCol w:w="635"/>
        <w:gridCol w:w="559"/>
        <w:gridCol w:w="561"/>
        <w:gridCol w:w="109"/>
        <w:gridCol w:w="109"/>
        <w:gridCol w:w="109"/>
        <w:gridCol w:w="319"/>
        <w:gridCol w:w="1200"/>
        <w:gridCol w:w="251"/>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Repayment</w:t>
            </w:r>
          </w:p>
        </w:tc>
      </w:tr>
      <w:tr>
        <w:trPr/>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716,875 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interest payments on the term loan component of the Senior Credit Facility based on current interest rates are expected to approximate $31.3 million for the remainder of 2026, $39.5 million in 2027 and $8.6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outstanding borrowings on the revolving credit facility component of the Senior Credit Facility are due on March 24, 2028.</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0.5% Convertible Senior Notes due 2025 (the “2025 Notes”) issued in February 2020 pursuant to an indenture, dated as of February 7, 2020 (the “Original Indenture”), between the Company and Citibank, N.A., as trustee, matured on August 15, 2025. The 2025 Notes were settled upon maturity for $575.0 million in cash, excluding accrued interest, funded by borrowings on the revolving credit facility component of the Senior Credit Facility. No shares were issued to settle the 2025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 The call transactions entered into with the hedge participants expired in August 2025 and the warrant transactions entered into with the hedge participants expired ratably over the period from November 2025 through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2026, the Company was in compliance with the covenants and none of the termination events had occurred.</w:t>
      </w:r>
    </w:p>
    <w:p>
      <w:pPr>
        <w:pStyle w:val="TextBody"/>
        <w:bidi w:val="0"/>
        <w:spacing w:lineRule="auto" w:line="288" w:before="120" w:after="120"/>
        <w:jc w:val="both"/>
        <w:rPr/>
      </w:pPr>
      <w:r>
        <w:rPr>
          <w:rFonts w:ascii="Times New Roman;serif" w:hAnsi="Times New Roman;serif"/>
          <w:b w:val="false"/>
          <w:color w:val="000000"/>
          <w:sz w:val="20"/>
        </w:rPr>
        <w:t>At March 31, 2026 and December 31, 2025, the Company had $76.4 million and $87.8 million, respectively, of outstanding borrowings under its Securitization Facility with an interest rate of 4.7% and 4.8%, respectively. The fair value of the outstanding borrowing of the Securitization Facility at March 31, 2026 was $73.1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10, 2026, the Company entered into an amendment to the Securitization Facility Agreement with a syndicate of lending banks with PNC Bank, N.A., as Administrative Agent (the “2026 Securitization Facility Amendment”). The 2026 Securitization Facility Amendment extended the maturity date from December 15, 2026 to April 10, 2029 and modified the terms of certain financial covenants and termination events but did not increase the borrowing capacity available to the Company under the Securitization Facility. Under the terms of the 2026 Securitization Facility Amendment, fees on the Company’s borrowings drawn under the Securitization Facility were modified and will range between 95 basis points and 125 basis points based upon the Company’s Consolidated Total Leverage Ratio. The Company incurred approximately $0.3 million of new issuance costs associated with the 2026 Securitization Facility Amendment which will be amortized over the remaining term of the Securitization Agreement as amended.</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Senior Credit Facility (other than the revolving credit facility component) are presented as a reduction to the carrying value of the related debt. Debt issuance costs associated with the revolving credit facility component of the Senior Credit Facility are capitalized within other long-term assets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Estimated Fair Value of Debt Measurements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carrying amounts and the estimated fair values of debt as of </w:t>
      </w:r>
      <w:r>
        <w:rPr>
          <w:rFonts w:ascii="Times New Roman;serif" w:hAnsi="Times New Roman;serif"/>
          <w:b w:val="false"/>
          <w:color w:val="000000"/>
          <w:sz w:val="20"/>
        </w:rPr>
        <w:t xml:space="preserve">March 31, 2026 and December 31, 2025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996"/>
        <w:gridCol w:w="823"/>
        <w:gridCol w:w="824"/>
        <w:gridCol w:w="595"/>
        <w:gridCol w:w="595"/>
        <w:gridCol w:w="596"/>
        <w:gridCol w:w="211"/>
        <w:gridCol w:w="941"/>
        <w:gridCol w:w="117"/>
        <w:gridCol w:w="265"/>
        <w:gridCol w:w="1180"/>
        <w:gridCol w:w="147"/>
        <w:gridCol w:w="211"/>
        <w:gridCol w:w="941"/>
        <w:gridCol w:w="117"/>
        <w:gridCol w:w="262"/>
        <w:gridCol w:w="1169"/>
        <w:gridCol w:w="215"/>
      </w:tblGrid>
      <w:tr>
        <w:trPr/>
        <w:tc>
          <w:tcPr>
            <w:tcW w:w="9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1,069,462 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1,855,995 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1,859,363 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1,865,405 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1,855,995 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1,856,106 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1,855,498 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7. DERIVATIVE INSTRUMENTS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March 31, 2026 and December 31, 2025 (dollar amounts in thousands):</w:t>
      </w:r>
    </w:p>
    <w:tbl>
      <w:tblPr>
        <w:tblW w:w="10290"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(Liability)</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Basis Swap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4" w:type="dxa"/>
            <w:gridSpan w:val="31"/>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20"/>
        </w:rPr>
        <w:t xml:space="preserve">The interest rate swaps are carried on the consolidated balance sheet at fair value and changes in the fair values were recorded as unrealized gains or losses in accumulated other comprehensive income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 xml:space="preserve">table below. The estimated gain that is expected to be reclassified to interest income from AOCI as of March 31, 2026 within the next twelve months is $17.4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Cross-Currency Rate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entered into cross-currency swap agreements to convert an aggregate notional amount of $170.0 million equivalent to 137.6 million of two CHF-denominated intercompany loans into U.S. dollars. The CHF-denominated intercompany loans were the result of an intra-entity transfer of certain intellectual property rights to a subsidiary in Switzerland completed during the fourth quarter of 2025. The intercompany loan of CHF 80.9 million which matures in September 2028 requires quarterly interest payments and annual principal payments of CHF 8.1 million in September 2026 and September 2027; the intercompany loan of CHF 56.6 million which matures in September 2030 requires quarterly interest payments and a principal payment of CHF 8.1 million in September 2029. As the principal outstanding decreases on the intercompany loans, the aggregate notional amount of the related cross-currency swaps will decrease by a corresponding amount.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as of March 31, 2026 and December 31, 2025 (dollar amounts in thousands):</w:t>
      </w:r>
    </w:p>
    <w:tbl>
      <w:tblPr>
        <w:tblW w:w="10205" w:type="dxa"/>
        <w:jc w:val="center"/>
        <w:tblInd w:w="0" w:type="dxa"/>
        <w:tblLayout w:type="fixed"/>
        <w:tblCellMar>
          <w:top w:w="28" w:type="dxa"/>
          <w:left w:w="28" w:type="dxa"/>
          <w:bottom w:w="28" w:type="dxa"/>
          <w:right w:w="28" w:type="dxa"/>
        </w:tblCellMar>
      </w:tblPr>
      <w:tblGrid>
        <w:gridCol w:w="325"/>
        <w:gridCol w:w="274"/>
        <w:gridCol w:w="219"/>
        <w:gridCol w:w="109"/>
        <w:gridCol w:w="109"/>
        <w:gridCol w:w="109"/>
        <w:gridCol w:w="396"/>
        <w:gridCol w:w="334"/>
        <w:gridCol w:w="335"/>
        <w:gridCol w:w="109"/>
        <w:gridCol w:w="109"/>
        <w:gridCol w:w="109"/>
        <w:gridCol w:w="402"/>
        <w:gridCol w:w="402"/>
        <w:gridCol w:w="404"/>
        <w:gridCol w:w="109"/>
        <w:gridCol w:w="109"/>
        <w:gridCol w:w="109"/>
        <w:gridCol w:w="216"/>
        <w:gridCol w:w="216"/>
        <w:gridCol w:w="218"/>
        <w:gridCol w:w="109"/>
        <w:gridCol w:w="109"/>
        <w:gridCol w:w="109"/>
        <w:gridCol w:w="429"/>
        <w:gridCol w:w="344"/>
        <w:gridCol w:w="276"/>
        <w:gridCol w:w="467"/>
        <w:gridCol w:w="359"/>
        <w:gridCol w:w="361"/>
        <w:gridCol w:w="109"/>
        <w:gridCol w:w="109"/>
        <w:gridCol w:w="109"/>
        <w:gridCol w:w="211"/>
        <w:gridCol w:w="737"/>
        <w:gridCol w:w="117"/>
        <w:gridCol w:w="109"/>
        <w:gridCol w:w="109"/>
        <w:gridCol w:w="109"/>
        <w:gridCol w:w="225"/>
        <w:gridCol w:w="788"/>
        <w:gridCol w:w="188"/>
      </w:tblGrid>
      <w:tr>
        <w:trPr/>
        <w:tc>
          <w:tcPr>
            <w:tcW w:w="3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1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305,137 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(50,500)</w:t>
            </w:r>
          </w:p>
        </w:tc>
        <w:tc>
          <w:tcPr>
            <w:tcW w:w="117"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(54,149)</w:t>
            </w:r>
          </w:p>
        </w:tc>
        <w:tc>
          <w:tcPr>
            <w:tcW w:w="188"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336,088 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342,543 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7"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8"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w:t>
            </w:r>
          </w:p>
        </w:tc>
        <w:tc>
          <w:tcPr>
            <w:tcW w:w="117"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88"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2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7"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8"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29,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17"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w:t>
            </w:r>
          </w:p>
        </w:tc>
        <w:tc>
          <w:tcPr>
            <w:tcW w:w="188"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37"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17"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788"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188"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The cross-currency swaps designated as cash flow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other income (expense), net from AOCI as of March 31, 2026 within the next twelve months is $10.0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recorded a gain of $5.9 million and a loss of $(9.4) million, respectively, in other income, net related to change in fair value related to the foreign currency rate translation to offset the gains and losses, respectively, recognized on the intercompany loans.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recorded gains of $3.5 million and $1.2 million, respectively, in other income, net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25, 2025, the Company entered into a cross-currency swap agreement with a notional amount of CHF 59.7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designated as net investment hedges as of March 31, 2026 and December 31, 2025, respectively (dollar amounts in thousands):</w:t>
      </w:r>
    </w:p>
    <w:tbl>
      <w:tblPr>
        <w:tblW w:w="10205" w:type="dxa"/>
        <w:jc w:val="center"/>
        <w:tblInd w:w="0" w:type="dxa"/>
        <w:tblLayout w:type="fixed"/>
        <w:tblCellMar>
          <w:top w:w="28" w:type="dxa"/>
          <w:left w:w="28" w:type="dxa"/>
          <w:bottom w:w="28" w:type="dxa"/>
          <w:right w:w="28" w:type="dxa"/>
        </w:tblCellMar>
      </w:tblPr>
      <w:tblGrid>
        <w:gridCol w:w="299"/>
        <w:gridCol w:w="248"/>
        <w:gridCol w:w="175"/>
        <w:gridCol w:w="109"/>
        <w:gridCol w:w="109"/>
        <w:gridCol w:w="109"/>
        <w:gridCol w:w="361"/>
        <w:gridCol w:w="280"/>
        <w:gridCol w:w="282"/>
        <w:gridCol w:w="109"/>
        <w:gridCol w:w="109"/>
        <w:gridCol w:w="109"/>
        <w:gridCol w:w="369"/>
        <w:gridCol w:w="369"/>
        <w:gridCol w:w="370"/>
        <w:gridCol w:w="109"/>
        <w:gridCol w:w="109"/>
        <w:gridCol w:w="109"/>
        <w:gridCol w:w="188"/>
        <w:gridCol w:w="188"/>
        <w:gridCol w:w="189"/>
        <w:gridCol w:w="109"/>
        <w:gridCol w:w="109"/>
        <w:gridCol w:w="109"/>
        <w:gridCol w:w="155"/>
        <w:gridCol w:w="155"/>
        <w:gridCol w:w="156"/>
        <w:gridCol w:w="429"/>
        <w:gridCol w:w="319"/>
        <w:gridCol w:w="228"/>
        <w:gridCol w:w="109"/>
        <w:gridCol w:w="109"/>
        <w:gridCol w:w="109"/>
        <w:gridCol w:w="452"/>
        <w:gridCol w:w="312"/>
        <w:gridCol w:w="313"/>
        <w:gridCol w:w="109"/>
        <w:gridCol w:w="109"/>
        <w:gridCol w:w="109"/>
        <w:gridCol w:w="201"/>
        <w:gridCol w:w="685"/>
        <w:gridCol w:w="111"/>
        <w:gridCol w:w="109"/>
        <w:gridCol w:w="109"/>
        <w:gridCol w:w="109"/>
        <w:gridCol w:w="205"/>
        <w:gridCol w:w="702"/>
        <w:gridCol w:w="175"/>
      </w:tblGrid>
      <w:tr>
        <w:trPr/>
        <w:tc>
          <w:tcPr>
            <w:tcW w:w="29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192,140 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(44,759)</w:t>
            </w:r>
          </w:p>
        </w:tc>
        <w:tc>
          <w:tcPr>
            <w:tcW w:w="111"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(47,619)</w:t>
            </w:r>
          </w:p>
        </w:tc>
        <w:tc>
          <w:tcPr>
            <w:tcW w:w="17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w:t>
            </w:r>
          </w:p>
        </w:tc>
        <w:tc>
          <w:tcPr>
            <w:tcW w:w="111"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(10,568)</w:t>
            </w:r>
          </w:p>
        </w:tc>
        <w:tc>
          <w:tcPr>
            <w:tcW w:w="17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(12,051)</w:t>
            </w:r>
          </w:p>
        </w:tc>
        <w:tc>
          <w:tcPr>
            <w:tcW w:w="111"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(12,407)</w:t>
            </w:r>
          </w:p>
        </w:tc>
        <w:tc>
          <w:tcPr>
            <w:tcW w:w="17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w:t>
            </w:r>
          </w:p>
        </w:tc>
        <w:tc>
          <w:tcPr>
            <w:tcW w:w="111"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w:t>
            </w:r>
          </w:p>
        </w:tc>
        <w:tc>
          <w:tcPr>
            <w:tcW w:w="17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w:t>
            </w:r>
          </w:p>
        </w:tc>
        <w:tc>
          <w:tcPr>
            <w:tcW w:w="111"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7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1"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5"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The net investment hedges are carried on the consolidated balance sheet at fair value and changes in the fair values were recorded as unrealized gains or losses in AOCI.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 The estimated gain that is expected to be reclassified to interest income from AOCI as of March 31, 2026 within the next twelve months is $11.1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forward contracts designated as cash flow hedges for forecasted purchases in foreign currencies, primarily CHF-denominated intercompany purchases. These contracts typically settle at various dates within twelve months of execution. As of March 31, 2026, the notional amount of foreign currency forward contracts was CHF 14.1 million. The foreign currency forward contracts are carried on the consolidated balance sheet at fair value and changes in the fair values were recorded as unrealized gains or losses in AOCI. The changes in fair value will be recognized into earnings as a component of cost of sales when the forecasted-transaction occurs.</w:t>
      </w:r>
    </w:p>
    <w:p>
      <w:pPr>
        <w:pStyle w:val="TextBody"/>
        <w:bidi w:val="0"/>
        <w:spacing w:lineRule="auto" w:line="288" w:before="120" w:after="120"/>
        <w:jc w:val="both"/>
        <w:rPr/>
      </w:pPr>
      <w:r>
        <w:rPr>
          <w:rFonts w:ascii="Times New Roman;serif" w:hAnsi="Times New Roman;serif"/>
          <w:b w:val="false"/>
          <w:color w:val="000000"/>
          <w:sz w:val="20"/>
        </w:rPr>
        <w:t>For the three months ended March 31, 2026 and 2025, amounts reclassified to earnings included (i) the effective hedge component amounts of $0.5 million and $0.2 million, respectively, within cost of goods sold, and (ii) forward</w:t>
        <w:noBreakHyphen/>
        <w:t xml:space="preserve">points amortization of $(0.1) million and $(0.2) million, respectively, within other income (expense), net. Related gain/loss amounts recognized in AOCI and earnings are presented in the </w:t>
      </w:r>
      <w:r>
        <w:rPr>
          <w:rFonts w:ascii="Times New Roman;serif" w:hAnsi="Times New Roman;serif"/>
          <w:b w:val="false"/>
          <w:i/>
          <w:color w:val="000000"/>
          <w:sz w:val="20"/>
        </w:rPr>
        <w:t>Effects of Derivative Instruments</w:t>
      </w:r>
      <w:r>
        <w:rPr>
          <w:color w:val="000000"/>
        </w:rPr>
        <w:t xml:space="preserve"> </w:t>
      </w:r>
      <w:r>
        <w:rPr>
          <w:rFonts w:ascii="Times New Roman;serif" w:hAnsi="Times New Roman;serif"/>
          <w:b w:val="false"/>
          <w:color w:val="000000"/>
          <w:sz w:val="20"/>
        </w:rPr>
        <w:t>table below.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28, 2026, the Company entered into foreign currency forwards with a notional amount of CHF 3.1 million to be designated as a cash flow hedge to mitigate the exchange rate risk of CHF-denominated intercompany purchases. These contracts settle at various dates within twelve months of execution.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Counterparty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classified all of its derivative instruments within Level 2 of the fair value hierarchy because observable inputs are available for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for derivatives designated as hedging instruments in the condensed consolidated balance sheets as of March 31, 2026 and December 31, 2025:</w:t>
      </w:r>
    </w:p>
    <w:tbl>
      <w:tblPr>
        <w:tblW w:w="8034" w:type="dxa"/>
        <w:jc w:val="left"/>
        <w:tblInd w:w="0" w:type="dxa"/>
        <w:tblLayout w:type="fixed"/>
        <w:tblCellMar>
          <w:top w:w="28" w:type="dxa"/>
          <w:left w:w="28" w:type="dxa"/>
          <w:bottom w:w="28" w:type="dxa"/>
          <w:right w:w="28" w:type="dxa"/>
        </w:tblCellMar>
      </w:tblPr>
      <w:tblGrid>
        <w:gridCol w:w="1470"/>
        <w:gridCol w:w="1294"/>
        <w:gridCol w:w="1300"/>
        <w:gridCol w:w="109"/>
        <w:gridCol w:w="109"/>
        <w:gridCol w:w="109"/>
        <w:gridCol w:w="243"/>
        <w:gridCol w:w="912"/>
        <w:gridCol w:w="135"/>
        <w:gridCol w:w="109"/>
        <w:gridCol w:w="109"/>
        <w:gridCol w:w="109"/>
        <w:gridCol w:w="291"/>
        <w:gridCol w:w="1093"/>
        <w:gridCol w:w="161"/>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Location on Balance Sheet </w:t>
            </w:r>
            <w:r>
              <w:rPr>
                <w:rFonts w:ascii="Times New Roman;serif" w:hAnsi="Times New Roman;serif"/>
                <w:b/>
                <w:color w:val="000000"/>
                <w:sz w:val="10"/>
              </w:rPr>
              <w:t>(1)</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150,994 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 classifies derivative assets and liabilities as current based on the cash flows expected to be incurred within the following 12 months.</w:t>
      </w:r>
    </w:p>
    <w:p>
      <w:pPr>
        <w:pStyle w:val="TextBody"/>
        <w:bidi w:val="0"/>
        <w:spacing w:before="0" w:after="24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00" w:after="200"/>
        <w:jc w:val="both"/>
        <w:rPr>
          <w:rFonts w:ascii="Times New Roman;serif" w:hAnsi="Times New Roman;serif"/>
          <w:b/>
          <w:color w:val="000000"/>
          <w:sz w:val="20"/>
        </w:rPr>
      </w:pPr>
      <w:r>
        <w:rPr>
          <w:rFonts w:ascii="Times New Roman;serif" w:hAnsi="Times New Roman;serif"/>
          <w:b/>
          <w:color w:val="000000"/>
          <w:sz w:val="20"/>
        </w:rPr>
        <w:t>Effects of Derivative Instruments</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effect of derivative instruments designated as cash flow hedges and net investment hedges on the accompanying condensed consolidated statement of operations during the three months ended March 31, 2026 and 2025:</w:t>
      </w:r>
    </w:p>
    <w:tbl>
      <w:tblPr>
        <w:tblW w:w="10205" w:type="dxa"/>
        <w:jc w:val="left"/>
        <w:tblInd w:w="0" w:type="dxa"/>
        <w:tblLayout w:type="fixed"/>
        <w:tblCellMar>
          <w:top w:w="28" w:type="dxa"/>
          <w:left w:w="28" w:type="dxa"/>
          <w:bottom w:w="28" w:type="dxa"/>
          <w:right w:w="28" w:type="dxa"/>
        </w:tblCellMar>
      </w:tblPr>
      <w:tblGrid>
        <w:gridCol w:w="867"/>
        <w:gridCol w:w="560"/>
        <w:gridCol w:w="561"/>
        <w:gridCol w:w="289"/>
        <w:gridCol w:w="975"/>
        <w:gridCol w:w="162"/>
        <w:gridCol w:w="109"/>
        <w:gridCol w:w="109"/>
        <w:gridCol w:w="109"/>
        <w:gridCol w:w="237"/>
        <w:gridCol w:w="801"/>
        <w:gridCol w:w="133"/>
        <w:gridCol w:w="109"/>
        <w:gridCol w:w="109"/>
        <w:gridCol w:w="109"/>
        <w:gridCol w:w="327"/>
        <w:gridCol w:w="1081"/>
        <w:gridCol w:w="184"/>
        <w:gridCol w:w="109"/>
        <w:gridCol w:w="109"/>
        <w:gridCol w:w="109"/>
        <w:gridCol w:w="289"/>
        <w:gridCol w:w="975"/>
        <w:gridCol w:w="162"/>
        <w:gridCol w:w="109"/>
        <w:gridCol w:w="109"/>
        <w:gridCol w:w="109"/>
        <w:gridCol w:w="377"/>
        <w:gridCol w:w="377"/>
        <w:gridCol w:w="540"/>
      </w:tblGrid>
      <w:tr>
        <w:trPr/>
        <w:tc>
          <w:tcPr>
            <w:tcW w:w="86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(71,750)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Derivative Instruments not Designated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forward contracts to mitigate risk from the fluctuations in foreign currency exchange rates associated with intercompany balances in Chinese yuan (“CNH”) CHF, and EUR. These contracts typically settle at various dates within twelve months of execution. As of March 31, 2026, the notional amounts totaled CNH 30.0 million, CHF 4.0 million, and EUR 7.0 million equivalent to $4.4 million, $5.1 million, and $8.2 million,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2021, the Company entered into a foreign currency swap, with a notional amount of JPY 800.0 million,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JPY 400.0 million, equivalent to $3.6 million as of March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foreign currency swaps not designated as hedges was $1.3 million and $1.0 million as of March 31, 2026 and December 31,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not designated as hedges on the condensed consolidated statements of income, which was included in other income:</w:t>
      </w:r>
    </w:p>
    <w:tbl>
      <w:tblPr>
        <w:tblW w:w="6007" w:type="dxa"/>
        <w:jc w:val="center"/>
        <w:tblInd w:w="0" w:type="dxa"/>
        <w:tblLayout w:type="fixed"/>
        <w:tblCellMar>
          <w:top w:w="28" w:type="dxa"/>
          <w:left w:w="28" w:type="dxa"/>
          <w:bottom w:w="28" w:type="dxa"/>
          <w:right w:w="28" w:type="dxa"/>
        </w:tblCellMar>
      </w:tblPr>
      <w:tblGrid>
        <w:gridCol w:w="952"/>
        <w:gridCol w:w="835"/>
        <w:gridCol w:w="837"/>
        <w:gridCol w:w="109"/>
        <w:gridCol w:w="109"/>
        <w:gridCol w:w="109"/>
        <w:gridCol w:w="272"/>
        <w:gridCol w:w="690"/>
        <w:gridCol w:w="151"/>
        <w:gridCol w:w="151"/>
        <w:gridCol w:w="151"/>
        <w:gridCol w:w="151"/>
        <w:gridCol w:w="272"/>
        <w:gridCol w:w="586"/>
        <w:gridCol w:w="151"/>
        <w:gridCol w:w="109"/>
        <w:gridCol w:w="109"/>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stock options, restricted stock awards, performance stock units and restricted stock units outstanding under the Integra LifeSciences Holdings Corporation Fifth Amended and Restated 2003 Equity Incentive Plan, as amended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were approximately $4.0 million of total unrecognized compensation costs related to unvested stock options. These costs are expected to be recognized over a weighted-average period of approximately three years. There were no stock options granted during the three months ended March 31, 2026.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and Performance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stock units, restricted stock units and restricted stock awards generally have requisite service periods of three years, except in certain instances that result in accelerated vesting due to death, disability, retirement age provision or change-in-control provisions in their grant agreements. Performance stock units are subject to graded vesting conditions based on specific revenue and profitability targets. The Company expenses the fair value of restricted stock awards and restricted stock units on a straight-line basis over the requisite service period. As of March 31, 2026, there was approximately $54.2 million of total unrecognized compensation costs related to these unvested awards. The Company expects to recognize these costs over a weighted-average period of approximately two years. The Company granted 2,397,075 restricted stock units and 1,149,357 performance stock units during the three months ended March 31, 2026. For the three months ended March 31, 2026, the weighted average grant date fair value for restricted stock units and performance stock units granted was $9.79 and $9.61 per award,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RETIREMENT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various defined benefit plans which cover certain employees in France, Japan, Germany and Switzerland.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months ended March 31, 2026 were $0.4 million. The components of the net periodic benefit costs other than the service cost component of $1.0 million for the three months ended March 31, 2026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months ended March 31, 2025 were $0.4 million. The components of the net periodic benefit costs other than the service cost component of $0.8 million for the three months ended March 31, 2025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plan assets were $71.1 million and $71.7 million as of March 31, 2026 and December 31, 2025, respectively. The net plan assets of the pension plans are invested in common trusts as of March 31, 2026 and December 31, 2025.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$7.3 million and $7.9 million as of March 31, 2026 and December 31, 2025, respectively.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10. LEASES AND 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administrative, manufacturing, research and distribution facilities, equipment and vehicles through operating lease agreements. The Company has no finance leases as of March 31, 2026. Many of the Company’s facility leases include both lease (e.g., fixed payments including rent) and non-lease components (e.g., common-area or other maintenance costs). For vehicles, the Company has elected the practical expedient to group lease and non-lease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lease expense for the three months ended March 31, 2026 and March 31, 2025 was $6.4 million and $5.9 million, respectively, which includes $0.1 million in related party operating lease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were as follows:</w:t>
      </w:r>
    </w:p>
    <w:tbl>
      <w:tblPr>
        <w:tblW w:w="7675" w:type="dxa"/>
        <w:jc w:val="center"/>
        <w:tblInd w:w="0" w:type="dxa"/>
        <w:tblLayout w:type="fixed"/>
        <w:tblCellMar>
          <w:top w:w="28" w:type="dxa"/>
          <w:left w:w="28" w:type="dxa"/>
          <w:bottom w:w="28" w:type="dxa"/>
          <w:right w:w="28" w:type="dxa"/>
        </w:tblCellMar>
      </w:tblPr>
      <w:tblGrid>
        <w:gridCol w:w="1461"/>
        <w:gridCol w:w="1282"/>
        <w:gridCol w:w="1291"/>
        <w:gridCol w:w="109"/>
        <w:gridCol w:w="109"/>
        <w:gridCol w:w="109"/>
        <w:gridCol w:w="109"/>
        <w:gridCol w:w="212"/>
        <w:gridCol w:w="799"/>
        <w:gridCol w:w="278"/>
        <w:gridCol w:w="109"/>
        <w:gridCol w:w="109"/>
        <w:gridCol w:w="109"/>
        <w:gridCol w:w="252"/>
        <w:gridCol w:w="949"/>
        <w:gridCol w:w="388"/>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137,197 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163,059 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177,078 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years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three months ended March 31, 2026 and 2025 were as follows:</w:t>
      </w:r>
    </w:p>
    <w:tbl>
      <w:tblPr>
        <w:tblW w:w="8500" w:type="dxa"/>
        <w:jc w:val="center"/>
        <w:tblInd w:w="0" w:type="dxa"/>
        <w:tblLayout w:type="fixed"/>
        <w:tblCellMar>
          <w:top w:w="28" w:type="dxa"/>
          <w:left w:w="28" w:type="dxa"/>
          <w:bottom w:w="28" w:type="dxa"/>
          <w:right w:w="28" w:type="dxa"/>
        </w:tblCellMar>
      </w:tblPr>
      <w:tblGrid>
        <w:gridCol w:w="2013"/>
        <w:gridCol w:w="1766"/>
        <w:gridCol w:w="1770"/>
        <w:gridCol w:w="293"/>
        <w:gridCol w:w="833"/>
        <w:gridCol w:w="163"/>
        <w:gridCol w:w="109"/>
        <w:gridCol w:w="109"/>
        <w:gridCol w:w="109"/>
        <w:gridCol w:w="289"/>
        <w:gridCol w:w="819"/>
        <w:gridCol w:w="227"/>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 net of modifications: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at March 31, 2026 were as follows:</w:t>
      </w:r>
    </w:p>
    <w:tbl>
      <w:tblPr>
        <w:tblW w:w="6328" w:type="dxa"/>
        <w:jc w:val="left"/>
        <w:tblInd w:w="0" w:type="dxa"/>
        <w:tblLayout w:type="fixed"/>
        <w:tblCellMar>
          <w:top w:w="28" w:type="dxa"/>
          <w:left w:w="28" w:type="dxa"/>
          <w:bottom w:w="28" w:type="dxa"/>
          <w:right w:w="28" w:type="dxa"/>
        </w:tblCellMar>
      </w:tblPr>
      <w:tblGrid>
        <w:gridCol w:w="838"/>
        <w:gridCol w:w="735"/>
        <w:gridCol w:w="737"/>
        <w:gridCol w:w="276"/>
        <w:gridCol w:w="785"/>
        <w:gridCol w:w="153"/>
        <w:gridCol w:w="109"/>
        <w:gridCol w:w="109"/>
        <w:gridCol w:w="109"/>
        <w:gridCol w:w="200"/>
        <w:gridCol w:w="753"/>
        <w:gridCol w:w="111"/>
        <w:gridCol w:w="109"/>
        <w:gridCol w:w="109"/>
        <w:gridCol w:w="109"/>
        <w:gridCol w:w="196"/>
        <w:gridCol w:w="73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lease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future minimum lease payments under finance leases at March 31,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were 14.4 million and 14.4 million shares of treasury stock outstanding with a cost of $687.1 million and $689.2 million, respectively, at a weighted average cost per share of $47.86 for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31, 2025, the Company’s share repurchase program expired. At the time of expiration, approximately $50.0 million remained available for repurchase. The Company did not adopt a new share repurchase program upon the expiration.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effective tax rate:</w:t>
      </w:r>
    </w:p>
    <w:tbl>
      <w:tblPr>
        <w:tblW w:w="4502" w:type="dxa"/>
        <w:jc w:val="center"/>
        <w:tblInd w:w="0" w:type="dxa"/>
        <w:tblLayout w:type="fixed"/>
        <w:tblCellMar>
          <w:top w:w="28" w:type="dxa"/>
          <w:left w:w="28" w:type="dxa"/>
          <w:bottom w:w="28" w:type="dxa"/>
          <w:right w:w="28" w:type="dxa"/>
        </w:tblCellMar>
      </w:tblPr>
      <w:tblGrid>
        <w:gridCol w:w="477"/>
        <w:gridCol w:w="420"/>
        <w:gridCol w:w="422"/>
        <w:gridCol w:w="269"/>
        <w:gridCol w:w="271"/>
        <w:gridCol w:w="518"/>
        <w:gridCol w:w="220"/>
        <w:gridCol w:w="220"/>
        <w:gridCol w:w="220"/>
        <w:gridCol w:w="233"/>
        <w:gridCol w:w="233"/>
        <w:gridCol w:w="518"/>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March 31, 2026 and 2025 were (91.7)% and 15.8%, respectively. For the three months ended March 31, 2026, the Company’s effective tax rate was primarily driven by a $2.9 million tax expense related to a shortfall from stock-based compensation, due to market conditions. For the three months ended March 31, 2025, the Company’s effective tax rate was driven by federal, state, and international tax benefits generated from operating losses in certain jurisdictions, offset by a $2.1 million tax expense related to a shortfall from stock-based compensation.</w: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with certain provisions effective in 2025 and others implemented through 2027.</w:t>
      </w:r>
      <w:r>
        <w:rPr>
          <w:color w:val="000000"/>
        </w:rPr>
        <w:t xml:space="preserve"> </w:t>
      </w:r>
      <w:r>
        <w:rPr>
          <w:rFonts w:ascii="Times New Roman;serif" w:hAnsi="Times New Roman;serif"/>
          <w:b w:val="false"/>
          <w:color w:val="000000"/>
          <w:sz w:val="20"/>
        </w:rPr>
        <w:t xml:space="preserve">The OBBBA included the permanent extension of certain expiring provisions of the 2017 Tax Cuts and Jobs Act, the immediate expensing of previously capitalized research and development costs, and reduced limitations on interest expense deductions, among other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Further, the Company continues to monitor legislation in foreign jurisdictions, enacted in response to ongoing efforts led by the Organization of Economic Cooperation and Development (“OECD”).</w:t>
      </w:r>
      <w:r>
        <w:rPr>
          <w:color w:val="000000"/>
        </w:rPr>
        <w:t xml:space="preserve"> </w:t>
      </w:r>
      <w:r>
        <w:rPr>
          <w:rFonts w:ascii="Times New Roman;serif" w:hAnsi="Times New Roman;serif"/>
          <w:b w:val="false"/>
          <w:color w:val="000000"/>
          <w:sz w:val="20"/>
        </w:rPr>
        <w:t xml:space="preserve">The OECD released Pillar Two model rules, defining a new 15% global minimum tax for each jurisdiction in which a multinational corporation operates, effective beginning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as follows:</w:t>
      </w:r>
    </w:p>
    <w:tbl>
      <w:tblPr>
        <w:tblW w:w="7705" w:type="dxa"/>
        <w:jc w:val="left"/>
        <w:tblInd w:w="0" w:type="dxa"/>
        <w:tblLayout w:type="fixed"/>
        <w:tblCellMar>
          <w:top w:w="28" w:type="dxa"/>
          <w:left w:w="28" w:type="dxa"/>
          <w:bottom w:w="28" w:type="dxa"/>
          <w:right w:w="28" w:type="dxa"/>
        </w:tblCellMar>
      </w:tblPr>
      <w:tblGrid>
        <w:gridCol w:w="1684"/>
        <w:gridCol w:w="1480"/>
        <w:gridCol w:w="1485"/>
        <w:gridCol w:w="221"/>
        <w:gridCol w:w="711"/>
        <w:gridCol w:w="122"/>
        <w:gridCol w:w="122"/>
        <w:gridCol w:w="122"/>
        <w:gridCol w:w="122"/>
        <w:gridCol w:w="221"/>
        <w:gridCol w:w="812"/>
        <w:gridCol w:w="122"/>
        <w:gridCol w:w="109"/>
        <w:gridCol w:w="109"/>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Dollars in thousands, except per share amounts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net loss per share:</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net loss per share:</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for diluted earnings per share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pStyle w:val="TextBody"/>
        <w:bidi w:val="0"/>
        <w:spacing w:lineRule="auto" w:line="288" w:before="120" w:after="120"/>
        <w:jc w:val="both"/>
        <w:rPr/>
      </w:pPr>
      <w:r>
        <w:rPr>
          <w:rFonts w:ascii="Times New Roman;serif" w:hAnsi="Times New Roman;serif"/>
          <w:b w:val="false"/>
          <w:color w:val="000000"/>
          <w:sz w:val="20"/>
        </w:rPr>
        <w:t>Common stock of approximately 1.6 million and 1.6 million</w:t>
      </w:r>
      <w:r>
        <w:rPr>
          <w:color w:val="000000"/>
          <w:shd w:fill="FFFFFF" w:val="clear"/>
        </w:rPr>
        <w:t xml:space="preserve"> </w:t>
      </w:r>
      <w:r>
        <w:rPr>
          <w:rFonts w:ascii="Times New Roman;serif" w:hAnsi="Times New Roman;serif"/>
          <w:b w:val="false"/>
          <w:color w:val="000000"/>
          <w:sz w:val="20"/>
          <w:shd w:fill="FFFFFF" w:val="clear"/>
        </w:rPr>
        <w:t xml:space="preserve">shares at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and 2025, res</w:t>
      </w:r>
      <w:r>
        <w:rPr>
          <w:rFonts w:ascii="Times New Roman;serif" w:hAnsi="Times New Roman;serif"/>
          <w:b w:val="false"/>
          <w:color w:val="000000"/>
          <w:sz w:val="20"/>
        </w:rPr>
        <w:t>pectively, were not included in the computation of diluted net income and diluted net loss per share, respectively, because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ACCUMULATED OTHER COMPREHENSIVE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Comprehensive loss for the three months ended March 31, 2026 and 2025:</w:t>
      </w:r>
    </w:p>
    <w:tbl>
      <w:tblPr>
        <w:tblW w:w="7063" w:type="dxa"/>
        <w:jc w:val="left"/>
        <w:tblInd w:w="0" w:type="dxa"/>
        <w:tblLayout w:type="fixed"/>
        <w:tblCellMar>
          <w:top w:w="28" w:type="dxa"/>
          <w:left w:w="28" w:type="dxa"/>
          <w:bottom w:w="28" w:type="dxa"/>
          <w:right w:w="28" w:type="dxa"/>
        </w:tblCellMar>
      </w:tblPr>
      <w:tblGrid>
        <w:gridCol w:w="1518"/>
        <w:gridCol w:w="1332"/>
        <w:gridCol w:w="1335"/>
        <w:gridCol w:w="205"/>
        <w:gridCol w:w="661"/>
        <w:gridCol w:w="114"/>
        <w:gridCol w:w="114"/>
        <w:gridCol w:w="114"/>
        <w:gridCol w:w="114"/>
        <w:gridCol w:w="205"/>
        <w:gridCol w:w="756"/>
        <w:gridCol w:w="114"/>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(gain) loss on derivatives, net of tax</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tax</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net</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between December 31, 2025 and March 31, 2026 are presented in the table below, net of tax:</w:t>
      </w:r>
    </w:p>
    <w:tbl>
      <w:tblPr>
        <w:tblW w:w="10205" w:type="dxa"/>
        <w:jc w:val="left"/>
        <w:tblInd w:w="0" w:type="dxa"/>
        <w:tblLayout w:type="fixed"/>
        <w:tblCellMar>
          <w:top w:w="28" w:type="dxa"/>
          <w:left w:w="28" w:type="dxa"/>
          <w:bottom w:w="28" w:type="dxa"/>
          <w:right w:w="28" w:type="dxa"/>
        </w:tblCellMar>
      </w:tblPr>
      <w:tblGrid>
        <w:gridCol w:w="1329"/>
        <w:gridCol w:w="992"/>
        <w:gridCol w:w="995"/>
        <w:gridCol w:w="109"/>
        <w:gridCol w:w="109"/>
        <w:gridCol w:w="109"/>
        <w:gridCol w:w="339"/>
        <w:gridCol w:w="1118"/>
        <w:gridCol w:w="188"/>
        <w:gridCol w:w="109"/>
        <w:gridCol w:w="109"/>
        <w:gridCol w:w="109"/>
        <w:gridCol w:w="344"/>
        <w:gridCol w:w="978"/>
        <w:gridCol w:w="191"/>
        <w:gridCol w:w="109"/>
        <w:gridCol w:w="109"/>
        <w:gridCol w:w="109"/>
        <w:gridCol w:w="269"/>
        <w:gridCol w:w="960"/>
        <w:gridCol w:w="149"/>
        <w:gridCol w:w="109"/>
        <w:gridCol w:w="109"/>
        <w:gridCol w:w="109"/>
        <w:gridCol w:w="196"/>
        <w:gridCol w:w="689"/>
        <w:gridCol w:w="160"/>
      </w:tblGrid>
      <w:tr>
        <w:trPr/>
        <w:tc>
          <w:tcPr>
            <w:tcW w:w="13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(51,485)</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reclassified gains of $7.3 million and $5.7 million from AOCI to other income and interest income, respectively. Additionally, the Company reclassified a loss of $0.3 million from AOCI to cost of goods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renamed its two reportable segments to better align with the reportable segments’ business activities, structures, and strategies. The reportable segment name change did not result in any change to the composition of the reportable segments and has no impact on previously reported financial information. The two reportable segments and their activities are described below.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Specialty Surgery reportable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Tissue Reconstruction reportable segment operations consists of the Wound Reconstruction business, which sells offerings such as skin and wound repair, plastics and surgical reconstruction products and nerve and tendon repair products. The Tissue Reconstruction segment also includes the Company’s private label business which performs contract manufacturing for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Corporate and Other category includes a portion of various executive, finance, human resource, information systems and legal functions which are not allocated to the reportable segments. During the three months ended March 31, 2026, the Company updated the allocation of certain cost and expense information that the CODM regularly reviews to evaluate performance for decision-making purposes from the Corporate and Other category to the Company’s reportable segments to align with how the CODM reviews and manages the business. As a result of this update, the Company retrospectively recast prior period results, by reportable segment, to conform to the current period presentation. This update had no impact on the Company’s consolidated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reportable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and profit by each reportable segment for the three months ended March 31, 2026 and 2025 are as follows:</w:t>
      </w:r>
    </w:p>
    <w:tbl>
      <w:tblPr>
        <w:tblW w:w="10205" w:type="dxa"/>
        <w:jc w:val="left"/>
        <w:tblInd w:w="0" w:type="dxa"/>
        <w:tblLayout w:type="fixed"/>
        <w:tblCellMar>
          <w:top w:w="28" w:type="dxa"/>
          <w:left w:w="28" w:type="dxa"/>
          <w:bottom w:w="28" w:type="dxa"/>
          <w:right w:w="28" w:type="dxa"/>
        </w:tblCellMar>
      </w:tblPr>
      <w:tblGrid>
        <w:gridCol w:w="869"/>
        <w:gridCol w:w="746"/>
        <w:gridCol w:w="745"/>
        <w:gridCol w:w="269"/>
        <w:gridCol w:w="1011"/>
        <w:gridCol w:w="149"/>
        <w:gridCol w:w="109"/>
        <w:gridCol w:w="109"/>
        <w:gridCol w:w="109"/>
        <w:gridCol w:w="334"/>
        <w:gridCol w:w="1260"/>
        <w:gridCol w:w="186"/>
        <w:gridCol w:w="109"/>
        <w:gridCol w:w="109"/>
        <w:gridCol w:w="109"/>
        <w:gridCol w:w="323"/>
        <w:gridCol w:w="1189"/>
        <w:gridCol w:w="179"/>
        <w:gridCol w:w="109"/>
        <w:gridCol w:w="109"/>
        <w:gridCol w:w="109"/>
        <w:gridCol w:w="196"/>
        <w:gridCol w:w="736"/>
        <w:gridCol w:w="109"/>
        <w:gridCol w:w="109"/>
        <w:gridCol w:w="109"/>
        <w:gridCol w:w="109"/>
        <w:gridCol w:w="109"/>
        <w:gridCol w:w="109"/>
        <w:gridCol w:w="109"/>
        <w:gridCol w:w="109"/>
        <w:gridCol w:w="160"/>
      </w:tblGrid>
      <w:tr>
        <w:trPr/>
        <w:tc>
          <w:tcPr>
            <w:tcW w:w="86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Surgery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Reconstruction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5"/>
        <w:gridCol w:w="768"/>
        <w:gridCol w:w="769"/>
        <w:gridCol w:w="264"/>
        <w:gridCol w:w="993"/>
        <w:gridCol w:w="146"/>
        <w:gridCol w:w="109"/>
        <w:gridCol w:w="109"/>
        <w:gridCol w:w="109"/>
        <w:gridCol w:w="328"/>
        <w:gridCol w:w="1237"/>
        <w:gridCol w:w="183"/>
        <w:gridCol w:w="109"/>
        <w:gridCol w:w="109"/>
        <w:gridCol w:w="109"/>
        <w:gridCol w:w="315"/>
        <w:gridCol w:w="1155"/>
        <w:gridCol w:w="175"/>
        <w:gridCol w:w="109"/>
        <w:gridCol w:w="109"/>
        <w:gridCol w:w="109"/>
        <w:gridCol w:w="196"/>
        <w:gridCol w:w="736"/>
        <w:gridCol w:w="109"/>
        <w:gridCol w:w="109"/>
        <w:gridCol w:w="109"/>
        <w:gridCol w:w="109"/>
        <w:gridCol w:w="109"/>
        <w:gridCol w:w="109"/>
        <w:gridCol w:w="109"/>
        <w:gridCol w:w="109"/>
        <w:gridCol w:w="162"/>
      </w:tblGrid>
      <w:tr>
        <w:trPr/>
        <w:tc>
          <w:tcPr>
            <w:tcW w:w="92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6"/>
            <w:tcBorders/>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Surgery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Reconstruction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goods sold </w:t>
            </w:r>
            <w:r>
              <w:rPr>
                <w:rFonts w:ascii="Times New Roman;serif" w:hAnsi="Times New Roman;serif"/>
                <w:b w:val="false"/>
                <w:color w:val="000000"/>
                <w:sz w:val="12"/>
              </w:rPr>
              <w:t>(1)</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&amp; administrative </w:t>
            </w:r>
            <w:r>
              <w:rPr>
                <w:rFonts w:ascii="Times New Roman;serif" w:hAnsi="Times New Roman;serif"/>
                <w:b w:val="false"/>
                <w:color w:val="000000"/>
                <w:sz w:val="12"/>
              </w:rPr>
              <w:t>(1)</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97,546 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92,161 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(92,161)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6"/>
        </w:rPr>
        <w:t>(1) The amounts reported for the three months ended March 31, 2025 have been retrospectively recast to reflect the realignment of certain cost and expense information as discussed in</w:t>
      </w:r>
      <w:r>
        <w:rPr>
          <w:color w:val="000000"/>
        </w:rPr>
        <w:t xml:space="preserve"> </w:t>
      </w:r>
      <w:r>
        <w:rPr>
          <w:rFonts w:ascii="Times New Roman;serif" w:hAnsi="Times New Roman;serif"/>
          <w:b w:val="false"/>
          <w:i/>
          <w:color w:val="000000"/>
          <w:sz w:val="16"/>
        </w:rPr>
        <w:t>Note 1. Basis of Presentation</w:t>
      </w:r>
      <w:r>
        <w:rPr>
          <w:rFonts w:ascii="Times New Roman;serif" w:hAnsi="Times New Roman;serif"/>
          <w:b w:val="false"/>
          <w:color w:val="000000"/>
          <w:sz w:val="16"/>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tbl>
      <w:tblPr>
        <w:tblW w:w="4585" w:type="dxa"/>
        <w:jc w:val="left"/>
        <w:tblInd w:w="0" w:type="dxa"/>
        <w:tblLayout w:type="fixed"/>
        <w:tblCellMar>
          <w:top w:w="28" w:type="dxa"/>
          <w:left w:w="28" w:type="dxa"/>
          <w:bottom w:w="28" w:type="dxa"/>
          <w:right w:w="28" w:type="dxa"/>
        </w:tblCellMar>
      </w:tblPr>
      <w:tblGrid>
        <w:gridCol w:w="555"/>
        <w:gridCol w:w="487"/>
        <w:gridCol w:w="488"/>
        <w:gridCol w:w="209"/>
        <w:gridCol w:w="788"/>
        <w:gridCol w:w="116"/>
        <w:gridCol w:w="116"/>
        <w:gridCol w:w="116"/>
        <w:gridCol w:w="116"/>
        <w:gridCol w:w="209"/>
        <w:gridCol w:w="788"/>
        <w:gridCol w:w="116"/>
        <w:gridCol w:w="109"/>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arbitration was held in September 2025. On April 15, 2026, the arbitration tribunal issued its decision finding in Integra’s favor on all claims and awarding the company its attorneys’ fees and costs to be paid by Fortis.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September 12, 2023, a securities class action complaint, captioned Pembroke Pines Firefighters &amp; Police Officers Pension Fund v. Integra LifeSciences Holdings Corporation,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Pembroke Litigation, and intends to continue to defend the matter vigorously. On July 1, 2025, the class action complaint was dismissed without prejudice. The plaintiffs filed a Second Amended Complaint on August 14, 2025. The Company has filed a motion to dismiss the Second Amended Complaint on October 14, 2025. On March 16, 2026, the plaintiffs filed their Supplemental Amended Complaint, in response to which the Company filed its Supplemental Motion to Dismiss on April 3, 2026.</w:t>
      </w:r>
    </w:p>
    <w:p>
      <w:pPr>
        <w:pStyle w:val="TextBody"/>
        <w:bidi w:val="0"/>
        <w:spacing w:lineRule="auto" w:line="288" w:before="120" w:after="120"/>
        <w:jc w:val="both"/>
        <w:rPr/>
      </w:pPr>
      <w:r>
        <w:rPr>
          <w:rFonts w:ascii="Times New Roman;serif" w:hAnsi="Times New Roman;serif"/>
          <w:b w:val="false"/>
          <w:color w:val="000000"/>
          <w:sz w:val="20"/>
        </w:rPr>
        <w:t xml:space="preserve">On May 13, 2025 and May 16, 2025, derivative lawsuits captioned </w:t>
      </w:r>
      <w:r>
        <w:rPr>
          <w:rFonts w:ascii="Times New Roman;serif" w:hAnsi="Times New Roman;serif"/>
          <w:b w:val="false"/>
          <w:i/>
          <w:color w:val="000000"/>
          <w:sz w:val="20"/>
        </w:rPr>
        <w:t>Leverett v. Integra LifeSciences Holding Corp. et al,</w:t>
      </w:r>
      <w:r>
        <w:rPr>
          <w:color w:val="000000"/>
        </w:rPr>
        <w:t xml:space="preserve"> </w:t>
      </w:r>
      <w:r>
        <w:rPr>
          <w:rFonts w:ascii="Times New Roman;serif" w:hAnsi="Times New Roman;serif"/>
          <w:b w:val="false"/>
          <w:color w:val="000000"/>
          <w:sz w:val="20"/>
        </w:rPr>
        <w:t xml:space="preserve">No. 3:2025-cv-04214 (D.N.J.) and </w:t>
      </w:r>
      <w:r>
        <w:rPr>
          <w:rFonts w:ascii="Times New Roman;serif" w:hAnsi="Times New Roman;serif"/>
          <w:b w:val="false"/>
          <w:i/>
          <w:color w:val="000000"/>
          <w:sz w:val="20"/>
        </w:rPr>
        <w:t>Simpkins v. Integra LifeSciences Holding Corp. et al,</w:t>
      </w:r>
      <w:r>
        <w:rPr>
          <w:color w:val="000000"/>
        </w:rPr>
        <w:t xml:space="preserve"> </w:t>
      </w:r>
      <w:r>
        <w:rPr>
          <w:rFonts w:ascii="Times New Roman;serif" w:hAnsi="Times New Roman;serif"/>
          <w:b w:val="false"/>
          <w:color w:val="000000"/>
          <w:sz w:val="20"/>
        </w:rPr>
        <w:t>No. 3:2025-cv-04446 (D.N.J.) were filed in the United States District Court for the District of New 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Reconstruction segment. The complaint seeks, among other things, compensatory damages, attorneys' fees, expert fees, and other costs. The Company believes that it has strong defenses to the allegations in the lawsuits and intends to defend the matters vigorously. These derivative actions have stayed pending resolution of the motion to dismiss in the Pembroke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contingent consideration during the three month period ended March 31, 2026 and March 31, 2025 to reflect the change in estimate, additions, payments, transfers and the time value of money during each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opening balances to the closing balances of these Level 3 measurements for the three months ended March 31, 2026 and March 31, 2025 is as follows (in thousands):</w:t>
      </w:r>
    </w:p>
    <w:tbl>
      <w:tblPr>
        <w:tblW w:w="10205" w:type="dxa"/>
        <w:jc w:val="center"/>
        <w:tblInd w:w="0" w:type="dxa"/>
        <w:tblLayout w:type="fixed"/>
        <w:tblCellMar>
          <w:top w:w="28" w:type="dxa"/>
          <w:left w:w="28" w:type="dxa"/>
          <w:bottom w:w="28" w:type="dxa"/>
          <w:right w:w="28" w:type="dxa"/>
        </w:tblCellMar>
      </w:tblPr>
      <w:tblGrid>
        <w:gridCol w:w="1141"/>
        <w:gridCol w:w="875"/>
        <w:gridCol w:w="882"/>
        <w:gridCol w:w="423"/>
        <w:gridCol w:w="1202"/>
        <w:gridCol w:w="235"/>
        <w:gridCol w:w="427"/>
        <w:gridCol w:w="910"/>
        <w:gridCol w:w="235"/>
        <w:gridCol w:w="235"/>
        <w:gridCol w:w="109"/>
        <w:gridCol w:w="520"/>
        <w:gridCol w:w="1717"/>
        <w:gridCol w:w="292"/>
        <w:gridCol w:w="196"/>
        <w:gridCol w:w="646"/>
        <w:gridCol w:w="160"/>
      </w:tblGrid>
      <w:tr>
        <w:trPr/>
        <w:tc>
          <w:tcPr>
            <w:tcW w:w="114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6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6"/>
            <w:tcBorders/>
          </w:tcPr>
          <w:p>
            <w:pPr>
              <w:pStyle w:val="TableContents"/>
              <w:bidi w:val="0"/>
              <w:spacing w:before="0" w:after="283"/>
              <w:jc w:val="left"/>
              <w:rPr>
                <w:sz w:val="4"/>
                <w:szCs w:val="4"/>
              </w:rPr>
            </w:pPr>
            <w:r>
              <w:rPr>
                <w:sz w:val="4"/>
                <w:szCs w:val="4"/>
              </w:rPr>
            </w:r>
          </w:p>
        </w:tc>
      </w:tr>
      <w:tr>
        <w:trPr/>
        <w:tc>
          <w:tcPr>
            <w:tcW w:w="2898" w:type="dxa"/>
            <w:gridSpan w:val="3"/>
            <w:vMerge w:val="continue"/>
            <w:tcBorders/>
            <w:tcMar>
              <w:top w:w="0" w:type="dxa"/>
              <w:left w:w="0" w:type="dxa"/>
              <w:bottom w:w="0" w:type="dxa"/>
              <w:right w:w="0" w:type="dxa"/>
            </w:tcMar>
            <w:vAlign w:val="center"/>
          </w:tcPr>
          <w:p>
            <w:pPr>
              <w:pStyle w:val="Normal"/>
              <w:bidi w:val="0"/>
              <w:jc w:val="left"/>
              <w:rPr/>
            </w:pPr>
            <w:r>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2026</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contingent consideration liabilities </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6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1"/>
        <w:gridCol w:w="938"/>
        <w:gridCol w:w="945"/>
        <w:gridCol w:w="254"/>
        <w:gridCol w:w="840"/>
        <w:gridCol w:w="141"/>
        <w:gridCol w:w="289"/>
        <w:gridCol w:w="822"/>
        <w:gridCol w:w="161"/>
        <w:gridCol w:w="254"/>
        <w:gridCol w:w="528"/>
        <w:gridCol w:w="141"/>
        <w:gridCol w:w="578"/>
        <w:gridCol w:w="1813"/>
        <w:gridCol w:w="305"/>
        <w:gridCol w:w="196"/>
        <w:gridCol w:w="646"/>
        <w:gridCol w:w="163"/>
      </w:tblGrid>
      <w:tr>
        <w:trPr/>
        <w:tc>
          <w:tcPr>
            <w:tcW w:w="119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61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the Acquisition of:</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12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26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10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(1) Location in financial statements: Research and development</w:t>
      </w:r>
    </w:p>
    <w:p>
      <w:pPr>
        <w:pStyle w:val="TextBody"/>
        <w:bidi w:val="0"/>
        <w:spacing w:lineRule="auto" w:line="288" w:before="60" w:after="60"/>
        <w:jc w:val="left"/>
        <w:rPr>
          <w:rFonts w:ascii="Times New Roman;serif" w:hAnsi="Times New Roman;serif"/>
          <w:b w:val="false"/>
          <w:color w:val="000000"/>
          <w:sz w:val="14"/>
        </w:rPr>
      </w:pPr>
      <w:r>
        <w:rPr>
          <w:rFonts w:ascii="Times New Roman;serif" w:hAnsi="Times New Roman;serif"/>
          <w:b w:val="false"/>
          <w:color w:val="000000"/>
          <w:sz w:val="14"/>
        </w:rPr>
        <w:t>(2) Location in financial statements: Selling, general and administrative</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Arkis BioSciences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Derma 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Surgical Innovations Associates,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In the second quarter of 2025, the Company paid out $18.1 million related to the 2024 performance year. Similarly, in the second quarter of 2024, the Company paid out $12.4 million related to the 2023 performance year. The Company calculated the remaining milestone payment for the 2025 performance year based on actual sales for the year ended December 31, 2025 and expects to make the 2025 performance year payment, totaling $18.1 million, in the second quarter of 2026. The Company used probabilities of achieving the conditions to calculate the fair value of the contingent consideration for the PMA approval milestone.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17.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erif" w:hAnsi="Times New Roman;serif"/>
          <w:b/>
          <w:color w:val="000000"/>
          <w:sz w:val="20"/>
          <w:u w:val="single"/>
        </w:rPr>
        <w:t>Level 1</w:t>
      </w:r>
      <w:r>
        <w:rPr>
          <w:rFonts w:ascii="Times New Roman;serif" w:hAnsi="Times New Roman;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u w:val="single"/>
        </w:rPr>
        <w:t>Level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erif" w:hAnsi="Times New Roman;serif"/>
          <w:b/>
          <w:color w:val="000000"/>
          <w:sz w:val="20"/>
          <w:u w:val="single"/>
        </w:rPr>
        <w:t>Level 3</w:t>
      </w:r>
      <w:r>
        <w:rPr>
          <w:rFonts w:ascii="Times New Roman;serif" w:hAnsi="Times New Roman;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erif" w:hAnsi="Times New Roman;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erif" w:hAnsi="Times New Roman;serif"/>
          <w:b w:val="false"/>
          <w:i/>
          <w:color w:val="000000"/>
          <w:sz w:val="20"/>
        </w:rPr>
        <w:t>Note 7. Derivative Instruments</w:t>
      </w:r>
      <w:r>
        <w:rPr>
          <w:color w:val="000000"/>
        </w:rPr>
        <w:t xml:space="preserve"> </w:t>
      </w:r>
      <w:r>
        <w:rPr>
          <w:rFonts w:ascii="Times New Roman;serif" w:hAnsi="Times New Roman;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erif" w:hAnsi="Times New Roman;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erif" w:hAnsi="Times New Roman;serif"/>
          <w:b w:val="false"/>
          <w:i/>
          <w:color w:val="000000"/>
          <w:sz w:val="20"/>
        </w:rPr>
        <w:t xml:space="preserve">Note 16. Commitments and Contingencies </w:t>
      </w:r>
      <w:r>
        <w:rPr>
          <w:rFonts w:ascii="Times New Roman;serif" w:hAnsi="Times New Roman;serif"/>
          <w:b w:val="false"/>
          <w:color w:val="000000"/>
          <w:sz w:val="20"/>
        </w:rPr>
        <w:t>for additional information on these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on a recurring basis as of March 31, 2026 and December 31, 2025 consisted of the following:</w:t>
      </w:r>
    </w:p>
    <w:tbl>
      <w:tblPr>
        <w:tblW w:w="8581" w:type="dxa"/>
        <w:jc w:val="left"/>
        <w:tblInd w:w="0" w:type="dxa"/>
        <w:tblLayout w:type="fixed"/>
        <w:tblCellMar>
          <w:top w:w="28" w:type="dxa"/>
          <w:left w:w="28" w:type="dxa"/>
          <w:bottom w:w="28" w:type="dxa"/>
          <w:right w:w="28" w:type="dxa"/>
        </w:tblCellMar>
      </w:tblPr>
      <w:tblGrid>
        <w:gridCol w:w="1645"/>
        <w:gridCol w:w="1449"/>
        <w:gridCol w:w="1451"/>
        <w:gridCol w:w="385"/>
        <w:gridCol w:w="385"/>
        <w:gridCol w:w="386"/>
        <w:gridCol w:w="243"/>
        <w:gridCol w:w="912"/>
        <w:gridCol w:w="135"/>
        <w:gridCol w:w="287"/>
        <w:gridCol w:w="1078"/>
        <w:gridCol w:w="225"/>
      </w:tblGrid>
      <w:tr>
        <w:trPr/>
        <w:tc>
          <w:tcPr>
            <w:tcW w:w="16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br/>
              <w:t>Measurement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currency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167,915 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during the three months ended March 31, 2026 and 2025.</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erif" w:hAnsi="Times New Roman;serif"/>
          <w:b w:val="false"/>
          <w:color w:val="000000"/>
          <w:sz w:val="20"/>
        </w:rPr>
        <w:t xml:space="preserve">Other than the fair value estimates disclosed in </w:t>
      </w:r>
      <w:r>
        <w:rPr>
          <w:rFonts w:ascii="Times New Roman;serif" w:hAnsi="Times New Roman;serif"/>
          <w:b w:val="false"/>
          <w:i/>
          <w:color w:val="000000"/>
          <w:sz w:val="20"/>
        </w:rPr>
        <w:t>Note 2. Acquisitions and Divestitures</w:t>
      </w:r>
      <w:r>
        <w:rPr>
          <w:rFonts w:ascii="Times New Roman;serif" w:hAnsi="Times New Roman;serif"/>
          <w:b w:val="false"/>
          <w:color w:val="000000"/>
          <w:sz w:val="20"/>
        </w:rPr>
        <w:t xml:space="preserve">, </w:t>
      </w:r>
      <w:r>
        <w:rPr>
          <w:rFonts w:ascii="Times New Roman;serif" w:hAnsi="Times New Roman;serif"/>
          <w:b w:val="false"/>
          <w:i/>
          <w:color w:val="000000"/>
          <w:sz w:val="20"/>
        </w:rPr>
        <w:t>Note 5. Goodwill and Other Intangible Assets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10. Leases and Related Party Leases</w:t>
      </w:r>
      <w:r>
        <w:rPr>
          <w:rFonts w:ascii="Times New Roman;serif" w:hAnsi="Times New Roman;serif"/>
          <w:b w:val="false"/>
          <w:color w:val="000000"/>
          <w:sz w:val="20"/>
        </w:rPr>
        <w:t>, there were no non-recurring fair value measurements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2025.</w:t>
      </w:r>
    </w:p>
    <w:p>
      <w:pPr>
        <w:pStyle w:val="TextBody"/>
        <w:bidi w:val="0"/>
        <w:spacing w:lineRule="auto" w:line="288" w:before="0" w:after="0"/>
        <w:jc w:val="both"/>
        <w:rPr/>
      </w:pPr>
      <w:r>
        <w:rPr>
          <w:rFonts w:ascii="Times New Roman;serif" w:hAnsi="Times New Roman;serif"/>
          <w:b w:val="false"/>
          <w:color w:val="000000"/>
          <w:sz w:val="20"/>
        </w:rPr>
        <w:t>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future business, operational and financial performance and the Company’s expectations and plans with respect to market opportunity, business and operational performance, strategic initiatives, capabilities, resources</w:t>
      </w:r>
      <w:r>
        <w:rPr>
          <w:rFonts w:ascii="Times New Roman;serif" w:hAnsi="Times New Roman;serif"/>
          <w:b w:val="false"/>
          <w:color w:val="008080"/>
          <w:sz w:val="20"/>
        </w:rPr>
        <w:t xml:space="preserve">, </w:t>
      </w:r>
      <w:r>
        <w:rPr>
          <w:rFonts w:ascii="Times New Roman;serif" w:hAnsi="Times New Roman;serif"/>
          <w:b w:val="false"/>
          <w:color w:val="000000"/>
          <w:sz w:val="20"/>
        </w:rPr>
        <w:t xml:space="preserve">manufacturing capabilities, product development, product availability and regulatory approvals, including our plans to operationalize the Company’s manufacturing facility in Braintree, Massachusetts (“the Braintree facility”), our expectations regarding the Compliance Master Plan (“the CMP”) implementation, engagement and efficacy,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financial condition and results of operations, our expected returns to shareholders, and our sales efforts, are forward-looking statements. In some cases, these forward-looking statements may be identified by forward-looking words such as “believe,” “may,” “might,” “could,” “will,” “estimate,” “continue,” “anticipate,” “intend,” “seek,” “plan,” “expect,” “should,” “would” or the negative version of these words or other similar words and expressions in this Quarterly Report.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2025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increased geopolitical tension, instability and other macroeconomic factors, including trade barriers and related restrictions (including tariffs and related countermeasures), armed conflict and acts of terrorism,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CMP; difficulties or delays in obtaining and maintaining required regulatory approvals, including the costs thereof; potential difficulties, delays and disruptions in manufacturing, distribution or sale of products;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information technology systems or products; and the potential impact of our compliance with governmental regulations and accounting guidance.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is a global medical technology company dedicated to restoring lives. We are advancing transformational care through impactful innovation and our portfolio of highly differentiated technologies is trusted by healthcare professionals to deliver transformative care.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manufacture and sell medical technologies and products in two reportable business segments: Specialty Surgery (formerly, Codman Specialty Surgical) and Tissue Reconstruction (formerly, Tissue Technologies). The Specialty Surgery segment, which represents approximately 70% of our total revenue, consists of market-leading technologies and instrumentation used for a wide range of specialties, such as neurosurgery, neurocritical care, and otolaryngology, commonly referred to as ear, nose, and throat (“ENT”). We are the world leader in neurosurgery and one of the top three providers in the U.S. in instruments used in precision, specialty, and general surgical procedures. Our Tissue Reconstruction segment generates about 30% of our overall revenue and focuses on wound reconstruction and private label.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PRODUCTS, SERVICES AND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were the first company to receive an FDA claim for regeneration of dermal tissue and are a world leader in regenerative technology. We have developed numerous product lines from this technology for applications ranging from burn and deep tissue wounds to the repair of dura mater in the brain, as well as nerves and tendons. We have expanded our base regenerative technology business to include neurosurgical products, ENT, surgical instruments and wound reconstruction solutions through global acquisitions and product development to meet the evolving needs of our customers and enhance patient care.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SPECIALTY SURGERY</w:t>
      </w:r>
    </w:p>
    <w:p>
      <w:pPr>
        <w:pStyle w:val="TextBody"/>
        <w:bidi w:val="0"/>
        <w:spacing w:lineRule="auto" w:line="288" w:before="120" w:after="120"/>
        <w:jc w:val="both"/>
        <w:rPr/>
      </w:pPr>
      <w:r>
        <w:rPr>
          <w:rFonts w:ascii="Times New Roman;serif" w:hAnsi="Times New Roman;serif"/>
          <w:b/>
          <w:i/>
          <w:color w:val="000000"/>
          <w:sz w:val="20"/>
        </w:rPr>
        <w:t>Neurosurgery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neurosurgery, we are a global leader in neuro-access, neuro-surgical and neuro-monitoring technologies. Our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 This portfolio features leading brands such as Codman, Duraseal, CUSA, Mayfield and Duragen.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leading technologies in dural repair, ultrasonic tissue ablation, intracranial pressure (“ICP”) monitoring, hydrocephalus management, and cranial stabilization systems, while providing a rich research and development pipeline for growth.</w:t>
      </w:r>
    </w:p>
    <w:p>
      <w:pPr>
        <w:pStyle w:val="TextBody"/>
        <w:bidi w:val="0"/>
        <w:spacing w:lineRule="auto" w:line="288" w:before="120" w:after="120"/>
        <w:jc w:val="both"/>
        <w:rPr/>
      </w:pPr>
      <w:r>
        <w:rPr>
          <w:rFonts w:ascii="Times New Roman;serif" w:hAnsi="Times New Roman;serif"/>
          <w:b/>
          <w:i/>
          <w:color w:val="000000"/>
          <w:sz w:val="20"/>
        </w:rPr>
        <w:t>Surgical Instruments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specialty instrumentation portfolio includes a catalog of surgical headlamps, surgical instruments, as well as after-market service. With thousands of surgical instrument products, comprised of a comprehensive portfolio of reusable and disposable instruments, including forceps, retractors, scissors, and curettes, tailored for neurosurgery and spine surgery including specialty surgical instruments, we call on the central sterile processing unit of hospitals and acute care surgical centers. Additionally, through a strong U.S. distribution model, we can serve the needs of medical offices.</w:t>
      </w:r>
    </w:p>
    <w:p>
      <w:pPr>
        <w:pStyle w:val="TextBody"/>
        <w:bidi w:val="0"/>
        <w:spacing w:lineRule="auto" w:line="288" w:before="120" w:after="120"/>
        <w:jc w:val="both"/>
        <w:rPr/>
      </w:pPr>
      <w:r>
        <w:rPr>
          <w:rFonts w:ascii="Times New Roman;serif" w:hAnsi="Times New Roman;serif"/>
          <w:b/>
          <w:i/>
          <w:color w:val="000000"/>
          <w:sz w:val="20"/>
        </w:rPr>
        <w:t>ENT Solutions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Company’s ENT portfolio comprises a broad range of products including the TruDi® Navigation System featuring navigated surgical instrumentation, the RELIEVA SPINPLUS® Balloon Sinuplasty System, the AERA® Eustachian Tube Dilation System, and the MicroFrance ENT instrumentation line.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TISSUE RECONSTRUCTION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Tissue Reconstruction segment develops and markets a broad portfolio of regenerative tissue products and technologies primarily focused on wound reconstruction and care and private label. This segment serves a diverse range of specialties, including plastic and reconstructive surgery, general surgery, and wound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currently utilize five unique regenerative technology platforms consisting of highly engineered bovine collagen (derived from bovine sources for structural support), bovine dermis (acellular dermal tissue for natural integration), porcine urinary bladder (extracellular matrix for cellular repopulation), human amniotic tissue (allografts as a wound cover), and resorbable synthetic mesh (biodegradable materials for temporary reinforcement). These technologies address clinical needs in treating acute wounds such as burns, chronic wounds including diabetic foot ulcers, and surgical tissue repair applications such as hernia reinforcement, tendon protection, and peripheral nerve repair.</w:t>
      </w:r>
    </w:p>
    <w:p>
      <w:pPr>
        <w:pStyle w:val="TextBody"/>
        <w:bidi w:val="0"/>
        <w:spacing w:lineRule="auto" w:line="288" w:before="0" w:after="0"/>
        <w:jc w:val="both"/>
        <w:rPr/>
      </w:pPr>
      <w:r>
        <w:rPr>
          <w:rFonts w:ascii="Times New Roman;serif" w:hAnsi="Times New Roman;serif"/>
          <w:b/>
          <w:i/>
          <w:color w:val="000000"/>
          <w:sz w:val="20"/>
        </w:rPr>
        <w:t>Wound Reconstruction:</w:t>
      </w:r>
      <w:r>
        <w:rPr>
          <w:color w:val="000000"/>
        </w:rPr>
        <w:t xml:space="preserve"> </w:t>
      </w:r>
      <w:r>
        <w:rPr>
          <w:rFonts w:ascii="Times New Roman;serif" w:hAnsi="Times New Roman;serif"/>
          <w:b w:val="false"/>
          <w:color w:val="000000"/>
          <w:sz w:val="20"/>
        </w:rPr>
        <w:t>We offer a broad portfolio of products and solutions addressing a full spectrum of needs when managing complex wounds including acute wounds (e.g., burns and trauma), chronic wounds (e.g., diabetic foot ulcers and venous ulcers), and other complex wound types. The goal is to support the body’s wound healing process by providing scaffolds that create a wound environment that facilitates cellular invasion and revascularization. These products are often used in hospital settings, wound care clinics, or outpatient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offer a continuum of advanced solutions for plastic and reconstructive surgery, complex hernias, and general surgery, including devices for implantation to reinforce soft tissue where weakness exists and for surgical repair of damaged or ruptured soft tissue membranes. These products provide structural support and promote tissue integration to address areas of tissue weakness. They are bioresorbable or acellular to minimize long-term foreign body reactions and reduce complications like adhesions or infections.</w:t>
      </w:r>
    </w:p>
    <w:p>
      <w:pPr>
        <w:pStyle w:val="TextBody"/>
        <w:bidi w:val="0"/>
        <w:spacing w:lineRule="auto" w:line="288" w:before="120" w:after="120"/>
        <w:jc w:val="both"/>
        <w:rPr/>
      </w:pPr>
      <w:r>
        <w:rPr>
          <w:rFonts w:ascii="Times New Roman;serif" w:hAnsi="Times New Roman;serif"/>
          <w:b/>
          <w:i/>
          <w:color w:val="000000"/>
          <w:sz w:val="20"/>
        </w:rPr>
        <w:t>Private Label</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offer extensive expertise in collagen biomaterials for other medical technology companies that sell to end markets primarily in spine, surgical and wound care. We manufacture a broad set of our regenerative and wound care technologies that are available for private label distribution by our customers, produce raw materials that can be integrated into our customers’ production processes, and have the expertise to design, develop and manufacture products to meet the specific needs of our customers.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RESEARCH AND DEVELOPMENT STRATEGY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important part of Integra’s growth strategy is introducing new products to strengthen and expand our portfolio through clinical evidence to support regulatory approval and strong reimbursement of our product portfolio around the world, including new indications for existing technologies. Our research and development activities focus on identifying unmet surgical needs and addressing those needs with innovative solutions and products.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We apply our core competency in regenerative technology to innovate products for neurosurgical, wound applications, plastic surgery, and reconstructive surgery and we have extensive R&amp;D development programs for our core platforms of electromechanical technologies.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we conduct projects and clinical studies to generate efficacy and health economic evidence. The Company has continued its investments in clinical education as a key value driver to leverage its global footprint, enhanced digital content, and strengthened its clinical network. As part of this objective, the Company remains committed to participation in clinical research demonstrating the efficacy of its products prior to market introduction, and in supporting the clinical education and technical training.</w:t>
      </w:r>
    </w:p>
    <w:p>
      <w:pPr>
        <w:pStyle w:val="TextBody"/>
        <w:bidi w:val="0"/>
        <w:spacing w:lineRule="auto" w:line="288" w:before="120" w:after="120"/>
        <w:jc w:val="both"/>
        <w:rPr/>
      </w:pPr>
      <w:r>
        <w:rPr>
          <w:rFonts w:ascii="Times New Roman;serif" w:hAnsi="Times New Roman;serif"/>
          <w:b w:val="false"/>
          <w:i/>
          <w:color w:val="000000"/>
          <w:sz w:val="20"/>
        </w:rPr>
        <w:t>Neurosurgery, Surgical Instruments, and ENT Solutions.</w:t>
      </w:r>
      <w:r>
        <w:rPr>
          <w:color w:val="000000"/>
        </w:rPr>
        <w:t xml:space="preserve"> </w:t>
      </w:r>
      <w:r>
        <w:rPr>
          <w:rFonts w:ascii="Times New Roman;serif" w:hAnsi="Times New Roman;serif"/>
          <w:b w:val="false"/>
          <w:color w:val="000000"/>
          <w:sz w:val="20"/>
        </w:rPr>
        <w:t>The Specialty Surgery neurosurgical business consists of a broad portfolio of market-leading brands,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advance the CerebroFlo® external ventricular drainage (“EVD”), a catheter with Endexo® technology. The Endexo polymer in polyurethane is a permanent additive which has shown to be effective in reducing platelet adhesion in-vitro, reducing thrombus accumulation in-vitro and in vivo, and reducing the clinical incidence of thrombus formation. In vitro evaluations and in vivo animal evaluations do not necessarily predict the clinical performance of the SureFlo EVD Catheter with respect to thrombus formation. The incidence of thrombus formation on polyurethane containing Endexo polymer in other medical devices and/or tissues systems does not necessarily predict the clinical performance of the SureFlo EVD Catheter for the intended use of CSF external drainage and monitoring.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continue to advance the Aurora® Surgiscope, which is the only tubular retractor system designed for cranial surgery with an integrated access channel, camera and lighting. The 15mm x 60mm and 15mm x 80mm Aurora Surgiscope System version received 510(k) clearance from the FDA in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we announced the inaugural enrollment of the first patient in the AERA Pediatric Registry, a prospective, multi-center observational registry evaluating the real-world use of the AERA Eustachian Tube Balloon Dilation System in children. This marks the focused effort to measure the ongoing, clinical performance of AERA in pediatric patients with obstructive Eustachian tube dysfunction. The registry is designed to capture both safety and efficacy outcomes for up to 300 pediatric patients who undergo Eustachian tube balloon dilation using AERA.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Mayfield® Ghost Base Unit Post launched in the U.S., which is designed to help provide clear visualization of anatomical structure and to support surgical accuracy and patient positioning.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2025, we received 510(k) clearance for the use of the CUSA Clarity system for cardiac surgeries, used for the debridement of unwanted tissue in cardiac surgeries, including valve replacement and repair.</w:t>
      </w:r>
    </w:p>
    <w:p>
      <w:pPr>
        <w:pStyle w:val="TextBody"/>
        <w:bidi w:val="0"/>
        <w:spacing w:lineRule="auto" w:line="288" w:before="120" w:after="120"/>
        <w:jc w:val="both"/>
        <w:rPr/>
      </w:pPr>
      <w:r>
        <w:rPr>
          <w:rFonts w:ascii="Times New Roman;serif" w:hAnsi="Times New Roman;serif"/>
          <w:b w:val="false"/>
          <w:i/>
          <w:color w:val="000000"/>
          <w:sz w:val="20"/>
        </w:rPr>
        <w:t>Regenerative Technologies</w:t>
      </w:r>
      <w:r>
        <w:rPr>
          <w:rFonts w:ascii="Times New Roman;serif" w:hAnsi="Times New Roman;serif"/>
          <w:b w:val="false"/>
          <w:color w:val="000000"/>
          <w:sz w:val="20"/>
        </w:rPr>
        <w:t>.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currently expect the Braintree facility to be operational in June 2026, with PMA approval anticipated to follow in 2027. We are also pursuing a PMA for DuraSorb for use in implant-based breast reconstruction (“IBBR”). We completed enrollment for the DuraSorb U.S. investigational device exemption clinical study for two-stage breast reconstruction in June 2023; completed treatment in 2024, completed patient 1-year follow up in 2025, and we continue to advance the PMA application. Currently, we hope to secure PMA approval for DuraSorb in 2027.</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EUROPEAN UNION MEDICAL DEVICE REGULATION UPDATES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certifying our products under the EU MDR. In recent years, we received EU MDR certification in our Specialty Surgery segment for Hakim Programmable Valves, Certas Plus with and without Bactiseal catheters, Surgical Patties and Strips, DuraSeal Dural and Xact, CUSA Clarity, DuraGen Suturable, Cranial Drills and Perforators, as well as IDRT, BioPatch, MicroMatrix, and Cytal in our Tissue Reconstruction segment. We do not currently anticipate any significant disruption to our commercial activities in Europe related to EU MDR.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FDA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throughout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2019, TEI Biosciences, Inc. (“TEI”), one of our wholly-owned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Tissue Reconstruction segment that were sold both in wound reconstruction and care and surgical reconstruction franchises, and in private label channels. The 2019 Warning Letter resulted from an inspection held at the Boston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Boston facility and at the conclusion of the inspection, issued an FDA Form 483 on November 12, 2021 (the “2021 Form 483”).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(the “Boston recall”).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planned to restart the manufacture of PriMatrix and SurgiMend at its Boston facility. The restart of the manufacturing of SurgiMend will occur at the Company’s new tissue manufacturing facility in Braintree, Massachusetts (the “Braintree transition”). The Company anticipates the Braintree facility to be operational in 2026. In addition, the Company entered into a new third-party agreement, which facilitated the relaunch of PriMatrix, as well as Durepair Dural Regeneration Matrix in 2025, ahead of previously disclosed timelines.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OPTIMIZATION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audits and inspections by regulatory agencies as well as our own review of the Company’s quality management system, we have implemented our enterprise-wide CMP, with the objective of providing a systematic and holistic approach to improving our quality management system across our manufacturing and supply network. The primary objectives of the CMP are to remediate quality system gaps, harmonize our quality management system and enhance the quality culture across the Company. The Company has completed baseline audits across all manufacturing facilities, conducted CMP training, and has made significant progress in its prioritized work streams. Our efforts to implement the CMP are expected to continue and although we anticipate improvements to our quality management system, such results remain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we approved a restructuring initiative to improve the Company’s operational performance by strengthening the stability and resilience of our supply chain, strengthening global commercial capabilities and advancing our prioritization and execution discipline. We expect to incur aggregate restructuring costs associated with this initiative of approximately $12.3 million related to severance and other employee costs. The costs will be incurred as specific actions required as part of the initiative are identified and approved and are expected to continue through the end of 2026. The amounts and timing of estimated restructuring costs are subject to change until finalized; actual amounts and timing may vary materially based on various factors. During 2025, we incurred $8.5 million of restructuring costs related to this initiative. In the first quarter of 2026, we incurred an additional $3.8 million in restructuring related expenses, consistent with the previously announced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loss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March 31, 2026 was $(4.6) million, or $(0.06) per diluted share, as compared to net loss of $(25.3) million, or $(0.33) per diluted share, for the </w:t>
      </w:r>
      <w:r>
        <w:rPr>
          <w:rFonts w:ascii="Times New Roman;serif" w:hAnsi="Times New Roman;serif"/>
          <w:b w:val="false"/>
          <w:color w:val="000000"/>
          <w:sz w:val="20"/>
        </w:rPr>
        <w:t xml:space="preserve">three months </w:t>
      </w:r>
      <w:r>
        <w:rPr>
          <w:rFonts w:ascii="Times New Roman;serif" w:hAnsi="Times New Roman;serif"/>
          <w:b w:val="false"/>
          <w:color w:val="000000"/>
          <w:sz w:val="20"/>
          <w:shd w:fill="FFFFFF" w:val="clear"/>
        </w:rPr>
        <w:t xml:space="preserve">ended March 31, 2025. </w:t>
      </w:r>
      <w:r>
        <w:rPr>
          <w:rFonts w:ascii="Times New Roman;serif" w:hAnsi="Times New Roman;serif"/>
          <w:b w:val="false"/>
          <w:color w:val="000000"/>
          <w:sz w:val="20"/>
        </w:rPr>
        <w:t>The net loss decreased for the three months ended March 31, 2026, primarily due to the reduced impact of quality and operational issues in the current year compared to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Special Charges</w:t>
      </w:r>
    </w:p>
    <w:p>
      <w:pPr>
        <w:pStyle w:val="TextBody"/>
        <w:bidi w:val="0"/>
        <w:spacing w:lineRule="auto" w:line="288" w:before="120" w:after="120"/>
        <w:jc w:val="left"/>
        <w:rPr/>
      </w:pPr>
      <w:r>
        <w:rPr>
          <w:rFonts w:ascii="Times New Roman;serif" w:hAnsi="Times New Roman;serif"/>
          <w:b w:val="false"/>
          <w:color w:val="000000"/>
          <w:sz w:val="20"/>
        </w:rPr>
        <w:t>Income before taxes includes the following special charges</w:t>
      </w:r>
      <w:r>
        <w:rPr>
          <w:rFonts w:ascii="Times New Roman;serif" w:hAnsi="Times New Roman;serif"/>
          <w:b/>
          <w:color w:val="000000"/>
          <w:sz w:val="20"/>
        </w:rPr>
        <w:t>:</w:t>
      </w:r>
    </w:p>
    <w:tbl>
      <w:tblPr>
        <w:tblW w:w="9143" w:type="dxa"/>
        <w:jc w:val="left"/>
        <w:tblInd w:w="0" w:type="dxa"/>
        <w:tblLayout w:type="fixed"/>
        <w:tblCellMar>
          <w:top w:w="28" w:type="dxa"/>
          <w:left w:w="28" w:type="dxa"/>
          <w:bottom w:w="28" w:type="dxa"/>
          <w:right w:w="28" w:type="dxa"/>
        </w:tblCellMar>
      </w:tblPr>
      <w:tblGrid>
        <w:gridCol w:w="1932"/>
        <w:gridCol w:w="1699"/>
        <w:gridCol w:w="1703"/>
        <w:gridCol w:w="292"/>
        <w:gridCol w:w="967"/>
        <w:gridCol w:w="162"/>
        <w:gridCol w:w="162"/>
        <w:gridCol w:w="162"/>
        <w:gridCol w:w="162"/>
        <w:gridCol w:w="292"/>
        <w:gridCol w:w="967"/>
        <w:gridCol w:w="162"/>
        <w:gridCol w:w="109"/>
        <w:gridCol w:w="109"/>
        <w:gridCol w:w="109"/>
        <w:gridCol w:w="154"/>
      </w:tblGrid>
      <w:tr>
        <w:trPr/>
        <w:tc>
          <w:tcPr>
            <w:tcW w:w="193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divestiture and integration-related charges</w:t>
            </w:r>
            <w:r>
              <w:rPr>
                <w:rFonts w:ascii="Times New Roman;serif" w:hAnsi="Times New Roman;serif"/>
                <w:b w:val="false"/>
                <w:color w:val="000000"/>
                <w:sz w:val="12"/>
              </w:rPr>
              <w:t>(1)</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optimization charges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Boston recall / Braintree transition</w:t>
            </w:r>
            <w:r>
              <w:rPr>
                <w:rFonts w:ascii="Times New Roman;serif" w:hAnsi="Times New Roman;serif"/>
                <w:b w:val="false"/>
                <w:color w:val="000000"/>
                <w:sz w:val="12"/>
              </w:rPr>
              <w:t>(2)</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medical device regulation</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62" w:type="dxa"/>
            <w:gridSpan w:val="12"/>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4"/>
              </w:rPr>
              <w:t xml:space="preserve">This includes adjustments for contingent consideration liabilities. Refer to </w:t>
            </w:r>
            <w:r>
              <w:rPr>
                <w:rFonts w:ascii="Times New Roman;serif" w:hAnsi="Times New Roman;serif"/>
                <w:b w:val="false"/>
                <w:i/>
                <w:color w:val="000000"/>
                <w:sz w:val="14"/>
              </w:rPr>
              <w:t>Note 16. Commitments and Contingencies</w:t>
            </w:r>
            <w:r>
              <w:rPr>
                <w:color w:val="000000"/>
              </w:rPr>
              <w:t xml:space="preserve"> </w:t>
            </w:r>
            <w:r>
              <w:rPr>
                <w:rFonts w:ascii="Times New Roman;serif" w:hAnsi="Times New Roman;serif"/>
                <w:b w:val="false"/>
                <w:color w:val="000000"/>
                <w:sz w:val="14"/>
              </w:rPr>
              <w:t>for additional information.</w:t>
            </w:r>
          </w:p>
        </w:tc>
        <w:tc>
          <w:tcPr>
            <w:tcW w:w="481" w:type="dxa"/>
            <w:gridSpan w:val="4"/>
            <w:tcBorders/>
          </w:tcPr>
          <w:p>
            <w:pPr>
              <w:pStyle w:val="TableContents"/>
              <w:bidi w:val="0"/>
              <w:spacing w:before="0" w:after="283"/>
              <w:jc w:val="left"/>
              <w:rPr>
                <w:sz w:val="4"/>
                <w:szCs w:val="4"/>
              </w:rPr>
            </w:pPr>
            <w:r>
              <w:rPr>
                <w:sz w:val="4"/>
                <w:szCs w:val="4"/>
              </w:rPr>
            </w:r>
          </w:p>
        </w:tc>
      </w:tr>
      <w:tr>
        <w:trPr/>
        <w:tc>
          <w:tcPr>
            <w:tcW w:w="8662" w:type="dxa"/>
            <w:gridSpan w:val="12"/>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4"/>
              </w:rPr>
              <w:t>This primarily includes idle capacity charges, site transfer costs, quality remediation costs, right of use and fixed asset impairments.</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items reported above are reflected in the condensed consolidated statements of operations as follows:</w:t>
      </w:r>
    </w:p>
    <w:tbl>
      <w:tblPr>
        <w:tblW w:w="5608" w:type="dxa"/>
        <w:jc w:val="center"/>
        <w:tblInd w:w="0" w:type="dxa"/>
        <w:tblLayout w:type="fixed"/>
        <w:tblCellMar>
          <w:top w:w="28" w:type="dxa"/>
          <w:left w:w="28" w:type="dxa"/>
          <w:bottom w:w="28" w:type="dxa"/>
          <w:right w:w="28" w:type="dxa"/>
        </w:tblCellMar>
      </w:tblPr>
      <w:tblGrid>
        <w:gridCol w:w="924"/>
        <w:gridCol w:w="812"/>
        <w:gridCol w:w="813"/>
        <w:gridCol w:w="226"/>
        <w:gridCol w:w="748"/>
        <w:gridCol w:w="126"/>
        <w:gridCol w:w="126"/>
        <w:gridCol w:w="126"/>
        <w:gridCol w:w="126"/>
        <w:gridCol w:w="226"/>
        <w:gridCol w:w="748"/>
        <w:gridCol w:w="126"/>
        <w:gridCol w:w="109"/>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goods sold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revenues and gross margin on product revenues were as follows:</w:t>
      </w:r>
    </w:p>
    <w:tbl>
      <w:tblPr>
        <w:tblW w:w="6563" w:type="dxa"/>
        <w:jc w:val="center"/>
        <w:tblInd w:w="0" w:type="dxa"/>
        <w:tblLayout w:type="fixed"/>
        <w:tblCellMar>
          <w:top w:w="28" w:type="dxa"/>
          <w:left w:w="28" w:type="dxa"/>
          <w:bottom w:w="28" w:type="dxa"/>
          <w:right w:w="28" w:type="dxa"/>
        </w:tblCellMar>
      </w:tblPr>
      <w:tblGrid>
        <w:gridCol w:w="1239"/>
        <w:gridCol w:w="1089"/>
        <w:gridCol w:w="1092"/>
        <w:gridCol w:w="349"/>
        <w:gridCol w:w="206"/>
        <w:gridCol w:w="485"/>
        <w:gridCol w:w="194"/>
        <w:gridCol w:w="194"/>
        <w:gridCol w:w="194"/>
        <w:gridCol w:w="349"/>
        <w:gridCol w:w="206"/>
        <w:gridCol w:w="485"/>
        <w:gridCol w:w="109"/>
        <w:gridCol w:w="109"/>
        <w:gridCol w:w="109"/>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Net Sales</w:t>
            </w:r>
          </w:p>
        </w:tc>
        <w:tc>
          <w:tcPr>
            <w:tcW w:w="26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Surgery</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283,135</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Tissue Reconstruction</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108,783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174,936</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on total revenues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216,982</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as a percentage of total revenues</w:t>
            </w:r>
          </w:p>
        </w:tc>
        <w:tc>
          <w:tcPr>
            <w:tcW w:w="5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Three Months Ended March 31, 2026 as Compared to Three Months Ended March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Revenues and Gross Margin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total revenues increased by $9.3 million to $391.9 million from $382.7 million for the same period in 2025, representing low-single digit growth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Specialty Surgery segment, revenues were $283.1 million which represents an increase of $2.5 million, or 1% as compared to the prior-year period. Excluding the impact of foreign currency of $4.1 million, the increase in revenue is primarily driven by Neurosurgery, offset by decreases in our Instrument and ENT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Tissue Reconstruction segment, revenues were $108.8 million which represents an increase of $6.8 million, or 7% as compared to the prior-year period. This is primarily attributable to growth in Integra Skin, which recovered from prior year supply issues, Primatrix and Durasorb, offset by the impact of quality and operational issues associated with Medihoney.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$217.0 million for the three months ended March 31, 2026, an increase of $22.6 million from $194.4 million for the same period in 2025. Gross margin as a percentage of revenues was 55.4% for the three months ended March 31, 2026 and 50.8% for the same period in 2025. The increase in gross margin is primarily attributable to higher revenues and a reduction in costs related to the Braintree remediation.</w:t>
      </w:r>
    </w:p>
    <w:p>
      <w:pPr>
        <w:pStyle w:val="TextBody"/>
        <w:bidi w:val="0"/>
        <w:spacing w:lineRule="auto" w:line="288" w:before="120" w:after="120"/>
        <w:jc w:val="both"/>
        <w:rPr/>
      </w:pPr>
      <w:r>
        <w:rPr>
          <w:rFonts w:ascii="Times New Roman;serif" w:hAnsi="Times New Roman;serif"/>
          <w:b/>
          <w:color w:val="000000"/>
          <w:sz w:val="20"/>
        </w:rPr>
        <w:t>Operating Ex</w:t>
      </w:r>
      <w:r>
        <w:rPr>
          <w:rFonts w:ascii="Times New Roman;serif" w:hAnsi="Times New Roman;serif"/>
          <w:b/>
          <w:color w:val="000000"/>
          <w:sz w:val="20"/>
          <w:shd w:fill="FFFFFF" w:val="clear"/>
        </w:rPr>
        <w:t>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operating expenses as a percent of total revenues:</w:t>
      </w:r>
    </w:p>
    <w:tbl>
      <w:tblPr>
        <w:tblW w:w="5270" w:type="dxa"/>
        <w:jc w:val="left"/>
        <w:tblInd w:w="0" w:type="dxa"/>
        <w:tblLayout w:type="fixed"/>
        <w:tblCellMar>
          <w:top w:w="28" w:type="dxa"/>
          <w:left w:w="28" w:type="dxa"/>
          <w:bottom w:w="28" w:type="dxa"/>
          <w:right w:w="28" w:type="dxa"/>
        </w:tblCellMar>
      </w:tblPr>
      <w:tblGrid>
        <w:gridCol w:w="923"/>
        <w:gridCol w:w="812"/>
        <w:gridCol w:w="814"/>
        <w:gridCol w:w="267"/>
        <w:gridCol w:w="216"/>
        <w:gridCol w:w="509"/>
        <w:gridCol w:w="216"/>
        <w:gridCol w:w="216"/>
        <w:gridCol w:w="216"/>
        <w:gridCol w:w="267"/>
        <w:gridCol w:w="216"/>
        <w:gridCol w:w="59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research and development, selling, general and administrative, and amortization expenses, decreased by $4.4 million, or 2.1%, to $205.5 million in the three months ended March 31, 2026, compared to $209.9 million in the same period in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March 31, 2026 decreased by $1.2 million as compared to the same period in the prior year, primarily attributable to cost management initiatives in the current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for the three months ended March 31, 2026 decreased by $3.3 million as compared to the same period in the prior year, primarily due a reduction in Acclarent integration costs and reduced spending in EU MDR.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(which does not include amounts reported in cost of product revenues for technology-based intangible assets) for the three months ended March 31, 2026 was $3.8 million compared to $3.7 million for the same period in the prior year.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w:t>
      </w:r>
    </w:p>
    <w:tbl>
      <w:tblPr>
        <w:tblW w:w="5609" w:type="dxa"/>
        <w:jc w:val="left"/>
        <w:tblInd w:w="0" w:type="dxa"/>
        <w:tblLayout w:type="fixed"/>
        <w:tblCellMar>
          <w:top w:w="28" w:type="dxa"/>
          <w:left w:w="28" w:type="dxa"/>
          <w:bottom w:w="28" w:type="dxa"/>
          <w:right w:w="28" w:type="dxa"/>
        </w:tblCellMar>
      </w:tblPr>
      <w:tblGrid>
        <w:gridCol w:w="1083"/>
        <w:gridCol w:w="950"/>
        <w:gridCol w:w="952"/>
        <w:gridCol w:w="212"/>
        <w:gridCol w:w="781"/>
        <w:gridCol w:w="118"/>
        <w:gridCol w:w="118"/>
        <w:gridCol w:w="118"/>
        <w:gridCol w:w="118"/>
        <w:gridCol w:w="212"/>
        <w:gridCol w:w="781"/>
        <w:gridCol w:w="166"/>
      </w:tblGrid>
      <w:tr>
        <w:trPr/>
        <w:tc>
          <w:tcPr>
            <w:tcW w:w="108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and expense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March 31, 2026 decreased by $0.3 million as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March 31, 2026 increased by $3.7 million as compared to the same period in the prior year primarily due to higher interest rates on the borrowings under the revolving credit facility component of the Senior Credit Facility as compared to the interest rates on the 2025 Notes, which was repaid in August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for the three months ended March 31, 2026 changed by $4.6 million as compared to the same period in the prior year, primarily driven by higher income recognized on our cross currency swap contracts.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297" w:type="dxa"/>
        <w:jc w:val="left"/>
        <w:tblInd w:w="0" w:type="dxa"/>
        <w:tblLayout w:type="fixed"/>
        <w:tblCellMar>
          <w:top w:w="28" w:type="dxa"/>
          <w:left w:w="28" w:type="dxa"/>
          <w:bottom w:w="28" w:type="dxa"/>
          <w:right w:w="28" w:type="dxa"/>
        </w:tblCellMar>
      </w:tblPr>
      <w:tblGrid>
        <w:gridCol w:w="968"/>
        <w:gridCol w:w="850"/>
        <w:gridCol w:w="851"/>
        <w:gridCol w:w="196"/>
        <w:gridCol w:w="631"/>
        <w:gridCol w:w="256"/>
        <w:gridCol w:w="109"/>
        <w:gridCol w:w="109"/>
        <w:gridCol w:w="109"/>
        <w:gridCol w:w="196"/>
        <w:gridCol w:w="721"/>
        <w:gridCol w:w="301"/>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three months ended March 31, 2026 and 2025 were (91.7)% and 15.8%, respectively.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Company’s effective tax rate was primarily driven by a $2.9 million tax expense related to a shortfall from stock-based compensation, due to market conditions. For the three months ended March 31, 2025, the Company’s effective tax rate was driven by federal, state, and international tax benefits generated from operating losses in certain jurisdictions, offset by a $2.1 million tax expense related to a shortfall from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with certain provisions effective in 2025 and others implemented through 2027. The OBBBA included the permanent extension of certain expiring provisions of the 2017 Tax Cuts and Jobs Act, the immediate expensing of previously capitalized research and development costs, and reduced limitations on interest expense deductions, among other provisions.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Further, the Company continues to monitor legislation in foreign jurisdictions, enacted in response to ongoing efforts led by the Organization of Economic Cooperation and Development (“OECD”).</w:t>
      </w:r>
      <w:r>
        <w:rPr>
          <w:color w:val="000000"/>
        </w:rPr>
        <w:t xml:space="preserve"> </w:t>
      </w:r>
      <w:r>
        <w:rPr>
          <w:rFonts w:ascii="Times New Roman;serif" w:hAnsi="Times New Roman;serif"/>
          <w:b w:val="false"/>
          <w:color w:val="000000"/>
          <w:sz w:val="20"/>
        </w:rPr>
        <w:t>The OECD released Pillar Two model rules, defining a new 15% global minimum tax for each jurisdiction in which a multinational corporation operates, effective beginning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GEOGRAPHIC PRODUCT REVENUES AND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attribute revenues to geographic areas based on the location of the customer. Total revenue by major geographic area consisted of the following:</w:t>
      </w:r>
    </w:p>
    <w:p>
      <w:pPr>
        <w:pStyle w:val="TextBody"/>
        <w:bidi w:val="0"/>
        <w:spacing w:before="0" w:after="0"/>
        <w:jc w:val="both"/>
        <w:rPr/>
      </w:pPr>
      <w:r>
        <w:rPr/>
      </w:r>
    </w:p>
    <w:tbl>
      <w:tblPr>
        <w:tblW w:w="4585" w:type="dxa"/>
        <w:jc w:val="left"/>
        <w:tblInd w:w="0" w:type="dxa"/>
        <w:tblLayout w:type="fixed"/>
        <w:tblCellMar>
          <w:top w:w="28" w:type="dxa"/>
          <w:left w:w="28" w:type="dxa"/>
          <w:bottom w:w="28" w:type="dxa"/>
          <w:right w:w="28" w:type="dxa"/>
        </w:tblCellMar>
      </w:tblPr>
      <w:tblGrid>
        <w:gridCol w:w="555"/>
        <w:gridCol w:w="487"/>
        <w:gridCol w:w="488"/>
        <w:gridCol w:w="209"/>
        <w:gridCol w:w="788"/>
        <w:gridCol w:w="116"/>
        <w:gridCol w:w="116"/>
        <w:gridCol w:w="116"/>
        <w:gridCol w:w="116"/>
        <w:gridCol w:w="209"/>
        <w:gridCol w:w="788"/>
        <w:gridCol w:w="116"/>
        <w:gridCol w:w="109"/>
        <w:gridCol w:w="109"/>
        <w:gridCol w:w="10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Working capital consists of total current assets less total current liabilities as presented in the consolidated balance sheets. The Company’s working capital as of March 31, 2026 and December 31, 2025 was $825.2 million and $703.6 million, respectively. The increase in working capital is driven by the 2026 amendment of our Securitization Facility, which resulted in the reclassification of borrowings from current liabilities to long term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Marketable Securities </w:t>
      </w:r>
    </w:p>
    <w:p>
      <w:pPr>
        <w:pStyle w:val="TextBody"/>
        <w:bidi w:val="0"/>
        <w:spacing w:lineRule="auto" w:line="288" w:before="120" w:after="120"/>
        <w:jc w:val="both"/>
        <w:rPr/>
      </w:pPr>
      <w:r>
        <w:rPr>
          <w:rFonts w:ascii="Times New Roman;serif" w:hAnsi="Times New Roman;serif"/>
          <w:b w:val="false"/>
          <w:color w:val="000000"/>
          <w:sz w:val="20"/>
        </w:rPr>
        <w:t>The Company had cash and cash equivalents totaling approximately $236.8 million and $235.0 million at March 31, 2026 and December 31, 2025, respectively, which are valued based on Level 1 measurements in the fair value hierarchy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At March 31, 2026, our non-U.S. subsidiaries held approximately $196.9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short-term investments, primarily consisting of time deposits, which are valued based on Level 1 measurements in the fair value hierarchy, totaling approximately $28.7 million at March 31, 2026 and December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tbl>
      <w:tblPr>
        <w:tblW w:w="6296" w:type="dxa"/>
        <w:jc w:val="left"/>
        <w:tblInd w:w="0" w:type="dxa"/>
        <w:tblLayout w:type="fixed"/>
        <w:tblCellMar>
          <w:top w:w="28" w:type="dxa"/>
          <w:left w:w="28" w:type="dxa"/>
          <w:bottom w:w="28" w:type="dxa"/>
          <w:right w:w="28" w:type="dxa"/>
        </w:tblCellMar>
      </w:tblPr>
      <w:tblGrid>
        <w:gridCol w:w="1333"/>
        <w:gridCol w:w="1170"/>
        <w:gridCol w:w="1172"/>
        <w:gridCol w:w="227"/>
        <w:gridCol w:w="646"/>
        <w:gridCol w:w="126"/>
        <w:gridCol w:w="126"/>
        <w:gridCol w:w="126"/>
        <w:gridCol w:w="126"/>
        <w:gridCol w:w="227"/>
        <w:gridCol w:w="838"/>
        <w:gridCol w:w="179"/>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Flows Provided by or Used in 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cash flows for the three months ended March 31, 2026 increased by $21.1 million compared to the same period in 2025. Within operating cash flows, net income less non-cash adjustments increased for the three months ended March 31, 2026 by approximately $27.0 million, primarily due to the reduced impact of quality and operational issues in the current year compared to the prior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three months ended March 31, 2026, net of business acquisitions, decreased cash flows by $30.6 million, mainly attributable to a decrease in accrued expenses and other current liabilities due to payment of employee bonuses and an increase in inventory which increased cash outflows. This is partially offset by improved customer collections.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three months ended March 31, 2025, net of business acquisitions, decreased cash flows by $24.7 million, mainly attributable to decreases in accrued expenses and other current liabilities due to payment of employee bonuses.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for the three months ended March 31, 2026 were $14.8 million paid for capital expenditures to support improvement initiatives at a number of our manufacturing facilities and other technology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three months ended March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during the three months ended March 31, 2025 were $28.9 million paid for capital expenditures to support improvement initiatives at a number of our manufacturing facilities, and other technology investments, as well as $7.0 million related to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three months ended March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in the three months ended March 31, 2026 related to the repayments of $35.6 million under our Senior Credit Facility and Securitization Facility. In addition, the company paid $1.4 million in cash taxes for net equity settlements.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three months ended March 31, 2026 were $44.5 million of proceeds from borrowings of long term indebtedness and $0.8 million related to the proceeds from employee stock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Uses of cash from financing activities in the three months ended March 31, 2025 related to the repayments of $15.2 million under our Senior Credit Facility and Securitization Facility, as well as $2.6 million related to payment of contingent consideration in connection with our acquisition of Arkis. In addition, the Company had $2.1 million in cash taxes paid for net equity settlements.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three months ended March 31, 2025 were $54.4 million of proceeds from borrowings of long-term indebtedness and $1.0 million related to the proceeds from the exercise of stock options.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Tariffs and Macroeconomic Environment</w:t>
      </w:r>
    </w:p>
    <w:p>
      <w:pPr>
        <w:pStyle w:val="TextBody"/>
        <w:bidi w:val="0"/>
        <w:spacing w:lineRule="auto" w:line="288" w:before="120" w:after="120"/>
        <w:jc w:val="both"/>
        <w:rPr/>
      </w:pPr>
      <w:r>
        <w:rPr>
          <w:rFonts w:ascii="Times New Roman;serif" w:hAnsi="Times New Roman;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August 2025, the U.S. Court of Appeals for the Federal Circuit ruled against certain of the U.S. tariffs that have been implemented. The U.S. administration has appealed this ruling. In February 2026, the U.S. Supreme Court ruled to invalidate the U.S. administration’s tariff program implemented under the International Emergency Economic Powers Act (“IEEPA”), concluding that IEEPA did not authorize the broad import duties previously imposed. The ruling did not address the treatment of previously collected tariff payments, leaving refund processes subject to future administrative and judicial determinations. Following the ruling, the U.S. administration announced a new global 10% tariff under Section 122 of the Trade Act of 1974, which permits temporary import surcharges of up to 15% for up to 150 days to address balance of payments deficits, with implementation effective almost immediately and subject to certain exemptions. Subsequent to the U.S. Supreme Court</w:t>
      </w:r>
      <w:r>
        <w:rPr>
          <w:color w:val="000000"/>
          <w:shd w:fill="FFFFFF" w:val="clear"/>
        </w:rPr>
        <w:t>’</w:t>
      </w:r>
      <w:r>
        <w:rPr>
          <w:rFonts w:ascii="Times New Roman;serif" w:hAnsi="Times New Roman;serif"/>
          <w:b w:val="false"/>
          <w:color w:val="000000"/>
          <w:sz w:val="20"/>
        </w:rPr>
        <w:t>s decision, the U.S. Court of International Trade issued an order directing U.S. Customs and Border Protection (“CBP”) to establish an administrative process to issue refunds of any IEEPA tariffs imposed without appropriate authority. On April 20, 2026, the CBP launched an online portal referred to as the Consolidated Administration and Processing of Entries (“CAPE”) that can be used to submit IEEPA tariff refund requests. All requests will be reviewed by the CBP to determine validity prior to the issuance of refunds.</w:t>
      </w:r>
    </w:p>
    <w:p>
      <w:pPr>
        <w:pStyle w:val="TextBody"/>
        <w:bidi w:val="0"/>
        <w:spacing w:lineRule="auto" w:line="288" w:before="120" w:after="120"/>
        <w:jc w:val="both"/>
        <w:rPr/>
      </w:pPr>
      <w:r>
        <w:rPr>
          <w:rFonts w:ascii="Times New Roman;serif" w:hAnsi="Times New Roman;serif"/>
          <w:b w:val="false"/>
          <w:color w:val="000000"/>
          <w:sz w:val="20"/>
        </w:rPr>
        <w:t xml:space="preserve">Any tariffs paid have been capitalized in inventory and have been recognized in cost of goods sold as those products subject to tariffs have been sold. During the three months ended March 31, 2026, the Company applied the guidance within FASB Topic 405-20, </w:t>
      </w:r>
      <w:r>
        <w:rPr>
          <w:rFonts w:ascii="Times New Roman;serif" w:hAnsi="Times New Roman;serif"/>
          <w:b w:val="false"/>
          <w:i/>
          <w:color w:val="000000"/>
          <w:sz w:val="20"/>
        </w:rPr>
        <w:t>Liabilities - Extinguishments of Liabilities</w:t>
      </w:r>
      <w:r>
        <w:rPr>
          <w:color w:val="000000"/>
        </w:rPr>
        <w:t xml:space="preserve"> </w:t>
      </w:r>
      <w:r>
        <w:rPr>
          <w:rFonts w:ascii="Times New Roman;serif" w:hAnsi="Times New Roman;serif"/>
          <w:b w:val="false"/>
          <w:color w:val="000000"/>
          <w:sz w:val="20"/>
        </w:rPr>
        <w:t>(“ASC 405-20”). As a result, the Company recognized a receivable of $18.7 million, recorded within other current assets, for tariffs previously paid on imported goods that are subject to refund. Of this amount $3.4 million had been previously expensed in 2025 to cost of goods sold, and $15.3 million would have been expensed in the current year. These adjustments relate to the legal right to receive a refund of IEEPA tariffs previously imposed on the Company without appropriate authority.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Tariffs have resulted in an increase in certain product costs and could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U.S. In China, which accounts for approximately 5 percent of our total revenue, roughly half of the products we sell are manufactured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in September 2025, the U.S. Department of Commerce initiated national security investigations into medical equipment, devices, and robotics. The tariff environment has continued to shift, with new measures being proposed, paused, implemented, and countered, contributing to broader trade policy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of our Annual Report on Form 10-K for the fiscal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6.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a discussion of our Senior Credit Facility, 2025 Notes, and Securitization Facility and </w:t>
      </w:r>
      <w:r>
        <w:rPr>
          <w:rFonts w:ascii="Times New Roman;serif" w:hAnsi="Times New Roman;serif"/>
          <w:b w:val="false"/>
          <w:i/>
          <w:color w:val="000000"/>
          <w:sz w:val="20"/>
        </w:rPr>
        <w:t>Note 7. Derivative Instruments</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discussion of our hedging activities. </w:t>
      </w:r>
    </w:p>
    <w:p>
      <w:pPr>
        <w:pStyle w:val="TextBody"/>
        <w:bidi w:val="0"/>
        <w:spacing w:lineRule="auto" w:line="288" w:before="120" w:after="120"/>
        <w:jc w:val="both"/>
        <w:rPr/>
      </w:pPr>
      <w:r>
        <w:rPr>
          <w:rFonts w:ascii="Times New Roman;serif" w:hAnsi="Times New Roman;serif"/>
          <w:b w:val="false"/>
          <w:color w:val="000000"/>
          <w:sz w:val="20"/>
        </w:rPr>
        <w:t xml:space="preserve">The Senior Credit Facility is subject to various financial and negative covenants and, at March 31, 2026, the Company was in compliance with all such covenants. Our Consolidated Total Leverage Ratio was 4.12, with the covenant requirement at 5.00 at the end of March 31, 2026. As outlined in the table in </w:t>
      </w:r>
      <w:r>
        <w:rPr>
          <w:rFonts w:ascii="Times New Roman;serif" w:hAnsi="Times New Roman;serif"/>
          <w:b w:val="false"/>
          <w:i/>
          <w:color w:val="000000"/>
          <w:sz w:val="20"/>
        </w:rPr>
        <w:t xml:space="preserve">Note 6. Debt, </w:t>
      </w:r>
      <w:r>
        <w:rPr>
          <w:rFonts w:ascii="Times New Roman;serif" w:hAnsi="Times New Roman;serif"/>
          <w:b w:val="false"/>
          <w:color w:val="000000"/>
          <w:sz w:val="20"/>
        </w:rPr>
        <w:t xml:space="preserve">the covenant requirement will drop from 5.00 to 4.75 for the fiscal quarter ended September 30, 2026.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short-term investments and available borrowings under the Senior Credit Facility are sufficient to finance our operations and capital expenditures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short-term borrowings and the issuance of long-term debt and equity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financing arrangements during the three months ended March 31, 2026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erif" w:hAnsi="Times New Roman;serif"/>
          <w:b w:val="false"/>
          <w:color w:val="000000"/>
          <w:sz w:val="20"/>
        </w:rPr>
        <w:t>Our primary obligations include principal and interest payments on the revolving credit facility and t</w:t>
      </w:r>
      <w:r>
        <w:rPr>
          <w:rFonts w:ascii="Times New Roman;serif" w:hAnsi="Times New Roman;serif"/>
          <w:b w:val="false"/>
          <w:color w:val="000000"/>
          <w:sz w:val="20"/>
          <w:shd w:fill="FFFFFF" w:val="clear"/>
        </w:rPr>
        <w:t xml:space="preserve">erm loan component of the Senior Credit Facility and our Securitization Facility. See </w:t>
      </w:r>
      <w:r>
        <w:rPr>
          <w:rFonts w:ascii="Times New Roman;serif" w:hAnsi="Times New Roman;serif"/>
          <w:b w:val="false"/>
          <w:i/>
          <w:color w:val="000000"/>
          <w:sz w:val="20"/>
          <w:shd w:fill="FFFFFF" w:val="clear"/>
        </w:rPr>
        <w:t>Note 6.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for details. </w:t>
      </w:r>
      <w:r>
        <w:rPr>
          <w:rFonts w:ascii="Times New Roman;serif" w:hAnsi="Times New Roman;serif"/>
          <w:b w:val="false"/>
          <w:color w:val="000000"/>
          <w:sz w:val="20"/>
          <w:shd w:fill="FFFFFF" w:val="clear"/>
        </w:rPr>
        <w:t xml:space="preserve">The Company also leases some of our manufacturing facilities and office buildings which have required future minimum lease payments. See </w:t>
      </w:r>
      <w:r>
        <w:rPr>
          <w:rFonts w:ascii="Times New Roman;serif" w:hAnsi="Times New Roman;serif"/>
          <w:b w:val="false"/>
          <w:i/>
          <w:color w:val="000000"/>
          <w:sz w:val="20"/>
          <w:shd w:fill="FFFFFF" w:val="clear"/>
        </w:rPr>
        <w:t>Note 10. Leases and Related Party Leases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w:t>
      </w:r>
      <w:r>
        <w:rPr>
          <w:rFonts w:ascii="Times New Roman;serif" w:hAnsi="Times New Roman;serif"/>
          <w:b w:val="false"/>
          <w:color w:val="000000"/>
          <w:sz w:val="20"/>
          <w:shd w:fill="FFFFFF" w:val="clear"/>
        </w:rPr>
        <w:t>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has contingent consideration obligations related to prior and current year acquisitions and future pension contribution obligations. See </w:t>
      </w:r>
      <w:r>
        <w:rPr>
          <w:rFonts w:ascii="Times New Roman;serif" w:hAnsi="Times New Roman;serif"/>
          <w:b w:val="false"/>
          <w:i/>
          <w:color w:val="000000"/>
          <w:sz w:val="20"/>
          <w:shd w:fill="FFFFFF" w:val="clear"/>
        </w:rPr>
        <w:t>Note 9. Retirement Plans</w:t>
      </w:r>
      <w:r>
        <w:rPr>
          <w:rFonts w:ascii="Times New Roman;serif" w:hAnsi="Times New Roman;serif"/>
          <w:b w:val="false"/>
          <w:color w:val="000000"/>
          <w:sz w:val="20"/>
          <w:shd w:fill="FFFFFF" w:val="clear"/>
        </w:rPr>
        <w:t xml:space="preserve">, and </w:t>
      </w:r>
      <w:r>
        <w:rPr>
          <w:rFonts w:ascii="Times New Roman;serif" w:hAnsi="Times New Roman;serif"/>
          <w:b w:val="false"/>
          <w:i/>
          <w:color w:val="000000"/>
          <w:sz w:val="20"/>
          <w:shd w:fill="FFFFFF" w:val="clear"/>
        </w:rPr>
        <w:t>Note 16. Commitments and Contingencies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associated obligations are not fixed. The Company also has a liability for uncertain tax benefits including interest and penalties.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See </w:t>
      </w:r>
      <w:r>
        <w:rPr>
          <w:rFonts w:ascii="Times New Roman;serif" w:hAnsi="Times New Roman;serif"/>
          <w:b w:val="false"/>
          <w:i/>
          <w:color w:val="000000"/>
          <w:sz w:val="20"/>
        </w:rPr>
        <w:t>Note 12. Income Taxes</w:t>
      </w:r>
      <w:r>
        <w:rPr>
          <w:color w:val="00000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2025 did not materially change in the three months ended March 31, 2026.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Information regarding new accounting pronouncements is included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to the Notes to Unaudited Condensed Consolidated Financial Statements (Part I, Item 1 of this Quarterly Report), and is applicable to the current period’s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Exchange and Other Rate Risks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erif" w:hAnsi="Times New Roman;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erif" w:hAnsi="Times New Roman;serif"/>
          <w:b w:val="false"/>
          <w:i/>
          <w:color w:val="000000"/>
          <w:sz w:val="20"/>
        </w:rPr>
        <w:t>Note 7.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We are exposed to the risk of interest rate fluctuations on the interest income earned on our cash and cash equivalents. A hypothetical 100 basis points increase or decrease in interest rates applicable to our cash and cash equivalents outstanding at March 31, 2026 would impact interest income by approximately $2.4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March 31, 2026 would increase or decrease interest income by approximately $0.3 million on an annual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March 31, 2026. The total notional amounts related to the Company's interest rate swaps were $900.0 million, of which all are effective as of March 31, 2026. Based on our outstanding borrowings at March 31, 2026, a 100 basis points change in interest rates would have impacted interest expense on the unhedged portion of the debt by $9.7 million on an annualized basis. See </w:t>
      </w:r>
      <w:r>
        <w:rPr>
          <w:rFonts w:ascii="Times New Roman;serif" w:hAnsi="Times New Roman;serif"/>
          <w:b w:val="false"/>
          <w:i/>
          <w:color w:val="000000"/>
          <w:sz w:val="20"/>
        </w:rPr>
        <w:t>Note 7.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2026. Based upon this evaluation, our principal executive officer and principal financial officer concluded that our disclosure controls and procedures were effective as of March 31, 2026 to provide such reasonable assurance.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that occurred during the quarter ended March 31, 2026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16. Commitments and Contingencies,</w:t>
      </w:r>
      <w:r>
        <w:rPr>
          <w:color w:val="000000"/>
        </w:rPr>
        <w:t xml:space="preserve"> </w:t>
      </w:r>
      <w:r>
        <w:rPr>
          <w:rFonts w:ascii="Times New Roman;serif" w:hAnsi="Times New Roman;serif"/>
          <w:b w:val="false"/>
          <w:color w:val="000000"/>
          <w:sz w:val="20"/>
        </w:rPr>
        <w:t>to the Notes to Unaudited Condensed Consolidated Financial Statements (Part I, Item 1 of this Quarterly Report) for further details on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1A. RISK FACTORS </w:t>
      </w:r>
    </w:p>
    <w:p>
      <w:pPr>
        <w:pStyle w:val="TextBody"/>
        <w:bidi w:val="0"/>
        <w:spacing w:lineRule="auto" w:line="288" w:before="120" w:after="120"/>
        <w:jc w:val="both"/>
        <w:rPr/>
      </w:pPr>
      <w:r>
        <w:rPr>
          <w:rFonts w:ascii="Times New Roman;serif" w:hAnsi="Times New Roman;serif"/>
          <w:b w:val="false"/>
          <w:color w:val="212529"/>
          <w:sz w:val="20"/>
        </w:rPr>
        <w:t xml:space="preserve">There have been no material changes in our risk factors included in our Annual Report on Form 10-K for the fiscal year ended </w:t>
      </w:r>
      <w:r>
        <w:rPr>
          <w:rFonts w:ascii="Times New Roman;serif" w:hAnsi="Times New Roman;serif"/>
          <w:b w:val="false"/>
          <w:color w:val="000000"/>
          <w:sz w:val="20"/>
        </w:rPr>
        <w:t>December 31, 2025, as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 of Unregistered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2917"/>
        <w:gridCol w:w="2532"/>
        <w:gridCol w:w="3593"/>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Incorporation of the Company dated May 9, 2024 (Incorporated by reference to Exhibit 3.1(e) to the Company’s Quarterly Report on Form 10-Q for the quarter ended September 30, 2024</w:t>
              </w:r>
            </w:hyperlink>
            <w:r>
              <w:rPr>
                <w:rFonts w:ascii="Times New Roman;serif" w:hAnsi="Times New Roman;serif"/>
                <w:b w:val="false"/>
                <w:color w:val="000000"/>
                <w:sz w:val="20"/>
              </w:rPr>
              <w:t xml:space="preserve">) </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331xexx44.htm">
              <w:r>
                <w:rPr>
                  <w:rStyle w:val="InternetLink"/>
                  <w:rFonts w:ascii="Times New Roman;serif" w:hAnsi="Times New Roman;serif"/>
                  <w:b w:val="false"/>
                  <w:color w:val="0000FF"/>
                  <w:sz w:val="20"/>
                  <w:u w:val="single"/>
                </w:rPr>
                <w:t>Description of Securities</w:t>
              </w:r>
            </w:hyperlink>
            <w:r>
              <w:rPr>
                <w:color w:val="000000"/>
              </w:rPr>
              <w:t xml:space="preserve"> </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Integra LifeSciences Executive Separation Pay Plan (Incorporated by reference to Exhibit 10.12 to the Company’s Annual Report on Form 10-K for the fiscal year ended December 31, 2025, filed on February 26, 2026)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Integra LifeSciences Holdings Corporation Directors Deferred Compensation Plan (Incorporated by reference to Exhibit 10.13 to the Company’s Annual Report on Form 10-K for the fiscal year ended December 31, 2025, filed on February 26, 2026)</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331xexx103.htm">
              <w:r>
                <w:rPr>
                  <w:rStyle w:val="InternetLink"/>
                  <w:rFonts w:ascii="Times New Roman;serif" w:hAnsi="Times New Roman;serif"/>
                  <w:b w:val="false"/>
                  <w:color w:val="0000FF"/>
                  <w:sz w:val="20"/>
                  <w:u w:val="single"/>
                </w:rPr>
                <w:t>Eighth Amended and Restated Credit Agreement, dated as of April 10, 2026, among Integra LifeSciences Holdings Corporation, the lenders party thereto, Bank of America, N.A., as Administrative Agent, Swing Line Lender and L/C Issuer, Citibank N.A., JPMorgan Chase Bank, N.A., Morgan Stanley MUFG Loan Partners, LLC, PNC Bank, N.A., Truist Securities, Inc. and Wells Fargo Bank, N.A., as Co-Syndication Agents, and The Bank of Nova Scotia, BMO Harris Bank N.A., BNP Paribas, Capital One, National Association, Citizens Bank, N.A., DNB Bank ASA, New York Branch, Santander Bank, N.A. and TD Bank, N.A., as Co-Documentation]</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331xexx104.htm">
              <w:r>
                <w:rPr>
                  <w:rStyle w:val="InternetLink"/>
                  <w:rFonts w:ascii="Times New Roman;serif" w:hAnsi="Times New Roman;serif"/>
                  <w:b w:val="false"/>
                  <w:color w:val="0000FF"/>
                  <w:sz w:val="20"/>
                  <w:u w:val="single"/>
                </w:rPr>
                <w:t xml:space="preserve">Amendment No. 1 to Purchase and Sale Agreement, dated as of April 10, 2026, by and among Integra Receivables LLC, Integra LifeSciences Sales LLC, Integra LifeSciences Corporation, and acknowledged and agreed to by PNC Bank, N.A. </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60331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331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331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60331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tbl>
      <w:tblPr>
        <w:tblW w:w="8861" w:type="dxa"/>
        <w:jc w:val="left"/>
        <w:tblInd w:w="0" w:type="dxa"/>
        <w:tblLayout w:type="fixed"/>
        <w:tblCellMar>
          <w:top w:w="28" w:type="dxa"/>
          <w:left w:w="28" w:type="dxa"/>
          <w:bottom w:w="28" w:type="dxa"/>
          <w:right w:w="28" w:type="dxa"/>
        </w:tblCellMar>
      </w:tblPr>
      <w:tblGrid>
        <w:gridCol w:w="390"/>
        <w:gridCol w:w="344"/>
        <w:gridCol w:w="346"/>
        <w:gridCol w:w="109"/>
        <w:gridCol w:w="109"/>
        <w:gridCol w:w="109"/>
        <w:gridCol w:w="2179"/>
        <w:gridCol w:w="2179"/>
        <w:gridCol w:w="3096"/>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5"/>
        <w:gridCol w:w="2855"/>
        <w:gridCol w:w="4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this document is filed as an exhibit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information of Integra LifeSciences Holdings Corporation Quarterly Report on Form 10-Q for the quarter ended March 31, 2026 filed on May 5, 2026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ae315c273334ecb8f15cada0212803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2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492"/>
        <w:gridCol w:w="1492"/>
        <w:gridCol w:w="2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IART-2026.03.31-EX-4.4</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75.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the Company’s Common Stock Registered</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Under Section 12 of the Securities Exchange Act of 1934</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common stock of Integra LifeSciences Holdings Corporation (the “Company” or “we,” “us” and “our”) registered pursuant to Section 12(b) of the Securities Exchange Act of 1934, as amended (the “Exchange Act”). The description does not purport to be complete and is subject to and qualified in its entirety by reference to the Company’s Amended and Restated Certificate of Incorporation, as amended (the “certificate of incorporation”) and the Company’s Third Amended and Restated By-Laws (the “bylaws”),each of which are filed as exhibits to the Company’s most-recent Annual Report on Form 10-K, and to the provisions of the Delaware General Corporation Law (“DGCL”).</w:t>
      </w:r>
    </w:p>
    <w:p>
      <w:pPr>
        <w:pStyle w:val="TextBody"/>
        <w:bidi w:val="0"/>
        <w:spacing w:lineRule="auto" w:line="333" w:before="240" w:after="160"/>
        <w:jc w:val="left"/>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333" w:before="240" w:after="160"/>
        <w:jc w:val="left"/>
        <w:rPr>
          <w:rFonts w:ascii="Times New Roman;serif" w:hAnsi="Times New Roman;serif"/>
          <w:b w:val="false"/>
          <w:i/>
          <w:color w:val="000000"/>
          <w:sz w:val="20"/>
        </w:rPr>
      </w:pPr>
      <w:r>
        <w:rPr>
          <w:rFonts w:ascii="Times New Roman;serif" w:hAnsi="Times New Roman;serif"/>
          <w:b w:val="false"/>
          <w:i/>
          <w:color w:val="000000"/>
          <w:sz w:val="20"/>
        </w:rPr>
        <w:t>Authorized Shares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authorized capital stock consists of 255,000,000 shares of stock, of which 240,000,000 shares are designated as common stock, par value $0.01 per share, and 15,000,000 shares are designated as preferred stock, no par value.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Fully Paid</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shares of our common stock are validly issued, fully paid and non-assessable.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Dividends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Subject to preferences that may apply to shares of preferred stock outstanding at the time, the holders of outstanding shares of common stock are entitled to receive dividends out of assets legally available therefor at such times and in such amounts as the Board of Directors of the Company (the “Board”)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Rights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 notify common stockholders of any stockholders’ meetings according to applicable law. If we liquidate, dissolve or wind-up our business, either voluntarily or not, common stockholders will share equally in the assets remaining after we pay our creditors and the holders of any of our then-outstanding preferred stock. The holders of common stock have no preemptive rights to purchase our shares of stock. Shares of common stock are not subject to any redemption or sinking fund provisions and are not convertible into any of our other securities.</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Exchange</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“IART”.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Preferred Stock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the authority to issue up to 15,000,000 shares of Preferred Stock from time to time in one or more series and with such rights and preferences as determined by the Board with respect to each series. The issuance of preferred stock could adversely affect the voting and other rights of holders of common stock.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Statutory Business Combination Provision</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subject to Section 203 of the General Corporation Law of the State of Delaware, or DGCL. In general, Section 203 of the DGCL prevents an “interested stockholder,” which is defined generally as a person owning 15% or more of a Delaware corporation’s outstanding voting stock or any affiliate or associate of that person, from engaging in a broad range of “business combinations” with the corporation for three years following the date that person became an interested stockholder unless: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before that person became an interested stockholder, the board of directors of the corporation approved the transaction in which that person became an interested stockholder or approved the business combination;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on completion of the transaction that resulted in that person’s becoming an interested stockholder, that person owned at least 85% of the voting stock of the corporation outstanding at the time the transaction commenced, other than stock held by (1) directors who are also officers of the corporation or (2) any employee stock plan that does not provide employees with the right to determine confidentially whether shares held subject to the plan will be tendered in a tender or exchange offer; or</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Times New Roman;serif" w:hAnsi="Times New Roman;serif"/>
          <w:b w:val="false"/>
          <w:color w:val="000000"/>
          <w:sz w:val="20"/>
        </w:rPr>
        <w:t>following the transaction in which that person became an interested stockholder, both the board of directors of the corporation and the holders of at least two-thirds of the outstanding voting stock of the corporation not owned by that person approve the business combination.</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a majority of the directors who were directors prior to any person’s becoming an interested stockholder during the previous three years, or were recommended for election or elected to succeed those directors by a majority of those directors, approve or do not oppose that extraordinary transaction.</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 xml:space="preserve">Anti-Takeover Effects of our Certificate of Incorporation and our Bylaws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Some of the provisions of our certificate of incorporation and bylaws discussed below may have the effect, either alone or in combination with the provisions of our certificate of incorporation discussed above and Section 203 of the DGCL, of making more difficult or discouraging a tender offer, proxy contest, merger or other takeover attempt that our Board opposes but that a stockholder might consider to be in its best interest.</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rPr>
        <w:t>Special Meetings of Stockholders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provide that a special meeting of our stockholders may only be called by (i) the chairman of our Board, (ii) the president or (iii) our Board.</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rPr>
        <w:t>Stockholder Action by Written Consent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stockholders may act by written consent without a meeting, subject to the requirements in our bylaws for setting a record date for the written consent. Any stockholder seeking to have the stockholders authorize or take corporate action must request that our Board fix a record date. Such notice must include the same information required for a stockholder proposal and be submitted to our Board as described in our bylaws.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pPr>
      <w:r>
        <w:rPr>
          <w:rFonts w:ascii="Times New Roman;serif" w:hAnsi="Times New Roman;serif"/>
          <w:b w:val="false"/>
          <w:i/>
          <w:color w:val="000000"/>
          <w:sz w:val="20"/>
        </w:rPr>
        <w:t>Size of Board of Directors and Vacancies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the number of directors will be fixed exclusively by, and may be increased or decreased exclusively by, our Board from time to time, but will not be less than three nor more than thirteen. Our bylaws provide that vacancies and newly created directorships resulting from any increase in the authorized number of directors may only be filled by a majority of the directors then in office whether or not the remaining directors constitute a quorum. Any directors so elected shall hold office until the next annual meeting of stockholders and until their successors are elected and qualify. </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shd w:fill="FFFFFF" w:val="clear"/>
        </w:rPr>
        <w:t>Advance Notice Requirements for Stockholder Proposals and Director Nominations</w:t>
      </w:r>
      <w:r>
        <w:rPr>
          <w:rFonts w:ascii="Times New Roman;serif" w:hAnsi="Times New Roman;serif"/>
          <w:b w:val="false"/>
          <w:color w:val="000000"/>
          <w:sz w:val="20"/>
          <w:shd w:fill="FFFFFF" w:val="clear"/>
        </w:rPr>
        <w:t>.</w:t>
      </w:r>
      <w:r>
        <w:rPr>
          <w:color w:val="00000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contain provisions requiring that advance notice be delivered to us of any business to be brought by a stockholder before an annual meeting of stockholders and providing for certain procedures to be followed by stockholders in nominating persons for election to our board of directors. Generally, the advance notice provisions provide that the stockholder must give written notice to our Secretary not less than 90 days nor more than 120 days prior to the anniversary date of the immediately preceding annual meeting, except that in the event that the annual meeting is called for a date that is more than 30 days before or more than 60 days after such anniversary date, notice by the stockholder to be timely must be so delivered not later than the 90th day prior to the date of such annual meeting (or, if later, then the 10th day following the day on which public disclosure of the date of such annual meeting was first made). The notice must set forth specific information regarding that stockholder and that business or director nominee, as described in our bylaws.</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shd w:fill="FFFFFF" w:val="clear"/>
        </w:rPr>
        <w:t>Amendment of Bylaws</w:t>
      </w:r>
      <w:r>
        <w:rPr>
          <w:rFonts w:ascii="Times New Roman;serif" w:hAnsi="Times New Roman;serif"/>
          <w:b w:val="false"/>
          <w:color w:val="000000"/>
          <w:sz w:val="20"/>
          <w:shd w:fill="FFFFFF" w:val="clear"/>
        </w:rPr>
        <w:t>.</w:t>
      </w:r>
      <w:r>
        <w:rPr>
          <w:color w:val="00000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may be altered, amended or repealed, and new bylaws may be adopted, by the stockholders or by the Board at any regular meeting of the stockholders or of the Board or at any special meeting of the stockholders or of the Board if notice of such alteration, amendment, repeal or adoption of new bylaws be contained in the notice of such special meeting.</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rPr>
        <w:t>Forum Selection</w:t>
      </w:r>
      <w:r>
        <w:rPr>
          <w:rFonts w:ascii="Times New Roman;serif" w:hAnsi="Times New Roman;serif"/>
          <w:b w:val="false"/>
          <w:color w:val="000000"/>
          <w:sz w:val="20"/>
        </w:rPr>
        <w:t xml:space="preserve">. </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Our bylaws provide that a state court of the State of Delaware (or, if no state court located within the State of Delaware has jurisdiction, the federal district court for the District of Delaware) shall be the sole and exclusive forum for: (i) any derivative action or proceeding brought on behalf of the Company; (ii) any action asserting a claim of breach of a fiduciary duty owed by any director or officer of the Company to the Company or the Company’s stockholders; (iii)  any action asserting a claim against the Company arising pursuant to any provision of the DGCL, our certificate of incorporation or our bylaws (as each may be amended, from time to time); or (iv) any other action asserting a claim against the Company or any director or officer of the Company that is governed by or subject to the internal affairs doctrine for choice of law purposes. However, the forum selection provision does not apply to any claims, actions or proceedings arising under the Securities Act of 1933, as amended (the “Securities Act”) or the Securities Exchange Act, or to any claim for which the federal courts have exclusive jurisdiction. Unless we consent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Any person or entity purchasing or otherwise acquiring any interest in shares of our stock will be deemed to have notice of and consented to the exclusive forum provisions in our bylaws.</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rPr>
        <w:t>Preferred Stock</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above under “General Matters—Preferred Stock,” our certificate of incorporation authorizes our board of directors, without the approval of our stockholders, to provide for the issuance of all or any shares of our preferred stock in one or more series and to determine the designation, powers, preferences and relative, participating, optional or other special rights, and the qualifications, limitations or restrictions applicable to any of those rights, including dividend rights, voting rights, conversion or exchange rights, terms of redemption and liquidation preferences, of each series. The issuance of shares of our preferred stock, or the issuance of rights to purchase shares of preferred stock, could be used to discourage an unsolicited acquisition proposal. In addition, under some circumstances, the issuance of preferred stock could adversely affect the voting power of our common stockholders.</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IART-2026.03.31-EX-10.3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AMENDMENT NO. 8 TO RECEIVABLES FINANCING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8 TO RECEIVABLES FINANCING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April 10, 2026, is entered into by and among INTEGRA RECEIVABLES LLC (“</w:t>
      </w:r>
      <w:r>
        <w:rPr>
          <w:rFonts w:ascii="Times New Roman;serif" w:hAnsi="Times New Roman;serif"/>
          <w:b w:val="false"/>
          <w:color w:val="000000"/>
          <w:sz w:val="24"/>
          <w:u w:val="single"/>
        </w:rPr>
        <w:t>Integra</w:t>
      </w:r>
      <w:r>
        <w:rPr>
          <w:color w:val="000000"/>
        </w:rPr>
        <w:t>”</w:t>
      </w:r>
      <w:r>
        <w:rPr>
          <w:rFonts w:ascii="Times New Roman;serif" w:hAnsi="Times New Roman;serif"/>
          <w:b w:val="false"/>
          <w:color w:val="000000"/>
          <w:sz w:val="24"/>
        </w:rPr>
        <w:t>), as borrower under the Receivables Financing Agreement (as defined below) (in such capacity, together with its successors and permitted assigns in such capacity,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INTEGRA LIFESCIENCES SALES LLC (“</w:t>
      </w:r>
      <w:r>
        <w:rPr>
          <w:rFonts w:ascii="Times New Roman;serif" w:hAnsi="Times New Roman;serif"/>
          <w:b w:val="false"/>
          <w:color w:val="000000"/>
          <w:sz w:val="24"/>
          <w:u w:val="single"/>
        </w:rPr>
        <w:t>Integra Sales</w:t>
      </w:r>
      <w:r>
        <w:rPr>
          <w:color w:val="000000"/>
        </w:rPr>
        <w:t>”</w:t>
      </w:r>
      <w:r>
        <w:rPr>
          <w:rFonts w:ascii="Times New Roman;serif" w:hAnsi="Times New Roman;serif"/>
          <w:b w:val="false"/>
          <w:color w:val="000000"/>
          <w:sz w:val="24"/>
        </w:rPr>
        <w:t>), as initial servicer under the Receivables Financing Agreement (in such capacity, together with its successors and permitted assigns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PNC BANK, NATIONAL ASSOCIATION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 as administrative agent under the Receivables Financing Agreement (in such capacity, together with its successors and permitted assigns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as a committed lender under the Receivables Financing Agreement (in such capacity, together with its successors and permitted assigns in such capacity, a “</w:t>
      </w:r>
      <w:r>
        <w:rPr>
          <w:rFonts w:ascii="Times New Roman;serif" w:hAnsi="Times New Roman;serif"/>
          <w:b w:val="false"/>
          <w:color w:val="000000"/>
          <w:sz w:val="24"/>
          <w:u w:val="single"/>
        </w:rPr>
        <w:t>Committed Lender</w:t>
      </w:r>
      <w:r>
        <w:rPr>
          <w:color w:val="000000"/>
        </w:rPr>
        <w:t>”</w:t>
      </w:r>
      <w:r>
        <w:rPr>
          <w:rFonts w:ascii="Times New Roman;serif" w:hAnsi="Times New Roman;serif"/>
          <w:b w:val="false"/>
          <w:color w:val="000000"/>
          <w:sz w:val="24"/>
        </w:rPr>
        <w:t>), and as group agent under the Receivables Financing Agreement (in such capacity, together with its successors and permitted assigns in such capacity, a “</w:t>
      </w:r>
      <w:r>
        <w:rPr>
          <w:rFonts w:ascii="Times New Roman;serif" w:hAnsi="Times New Roman;serif"/>
          <w:b w:val="false"/>
          <w:color w:val="000000"/>
          <w:sz w:val="24"/>
          <w:u w:val="single"/>
        </w:rPr>
        <w:t>Group Agent</w:t>
      </w:r>
      <w:r>
        <w:rPr>
          <w:color w:val="000000"/>
        </w:rPr>
        <w:t>”</w:t>
      </w:r>
      <w:r>
        <w:rPr>
          <w:rFonts w:ascii="Times New Roman;serif" w:hAnsi="Times New Roman;serif"/>
          <w:b w:val="false"/>
          <w:color w:val="000000"/>
          <w:sz w:val="24"/>
        </w:rPr>
        <w:t>), THE BANK OF NOVA SCOTIA (“</w:t>
      </w:r>
      <w:r>
        <w:rPr>
          <w:rFonts w:ascii="Times New Roman;serif" w:hAnsi="Times New Roman;serif"/>
          <w:b w:val="false"/>
          <w:color w:val="000000"/>
          <w:sz w:val="24"/>
          <w:u w:val="single"/>
        </w:rPr>
        <w:t>Scotiabank</w:t>
      </w:r>
      <w:r>
        <w:rPr>
          <w:color w:val="000000"/>
        </w:rPr>
        <w:t>”</w:t>
      </w:r>
      <w:r>
        <w:rPr>
          <w:rFonts w:ascii="Times New Roman;serif" w:hAnsi="Times New Roman;serif"/>
          <w:b w:val="false"/>
          <w:color w:val="000000"/>
          <w:sz w:val="24"/>
        </w:rPr>
        <w:t>), as a committed lender under the Receivables Financing Agreement (in such capacity, together with its successors and permitted assigns in such capacity, a “</w:t>
      </w:r>
      <w:r>
        <w:rPr>
          <w:rFonts w:ascii="Times New Roman;serif" w:hAnsi="Times New Roman;serif"/>
          <w:b w:val="false"/>
          <w:color w:val="000000"/>
          <w:sz w:val="24"/>
          <w:u w:val="single"/>
        </w:rPr>
        <w:t>Committed Lender</w:t>
      </w:r>
      <w:r>
        <w:rPr>
          <w:color w:val="000000"/>
        </w:rPr>
        <w:t xml:space="preserve">” </w:t>
      </w:r>
      <w:r>
        <w:rPr>
          <w:rFonts w:ascii="Times New Roman;serif" w:hAnsi="Times New Roman;serif"/>
          <w:b w:val="false"/>
          <w:color w:val="000000"/>
          <w:sz w:val="24"/>
        </w:rPr>
        <w:t>and together with PNC as a Committed Lender, the “</w:t>
      </w:r>
      <w:r>
        <w:rPr>
          <w:rFonts w:ascii="Times New Roman;serif" w:hAnsi="Times New Roman;serif"/>
          <w:b w:val="false"/>
          <w:color w:val="000000"/>
          <w:sz w:val="24"/>
          <w:u w:val="single"/>
        </w:rPr>
        <w:t>Committed Lenders</w:t>
      </w:r>
      <w:r>
        <w:rPr>
          <w:color w:val="000000"/>
        </w:rPr>
        <w:t>”</w:t>
      </w:r>
      <w:r>
        <w:rPr>
          <w:rFonts w:ascii="Times New Roman;serif" w:hAnsi="Times New Roman;serif"/>
          <w:b w:val="false"/>
          <w:color w:val="000000"/>
          <w:sz w:val="24"/>
        </w:rPr>
        <w:t>), and as group agent under the Receivables Financing Agreement (in such capacity, together with its successors and permitted assigns in such capacity, a “</w:t>
      </w:r>
      <w:r>
        <w:rPr>
          <w:rFonts w:ascii="Times New Roman;serif" w:hAnsi="Times New Roman;serif"/>
          <w:b w:val="false"/>
          <w:color w:val="000000"/>
          <w:sz w:val="24"/>
          <w:u w:val="single"/>
        </w:rPr>
        <w:t>Group Agent</w:t>
      </w:r>
      <w:r>
        <w:rPr>
          <w:color w:val="000000"/>
        </w:rPr>
        <w:t xml:space="preserve">” </w:t>
      </w:r>
      <w:r>
        <w:rPr>
          <w:rFonts w:ascii="Times New Roman;serif" w:hAnsi="Times New Roman;serif"/>
          <w:b w:val="false"/>
          <w:color w:val="000000"/>
          <w:sz w:val="24"/>
        </w:rPr>
        <w:t>and together with PNC as a Group Agent, the “</w:t>
      </w:r>
      <w:r>
        <w:rPr>
          <w:rFonts w:ascii="Times New Roman;serif" w:hAnsi="Times New Roman;serif"/>
          <w:b w:val="false"/>
          <w:color w:val="000000"/>
          <w:sz w:val="24"/>
          <w:u w:val="single"/>
        </w:rPr>
        <w:t>Group Agents</w:t>
      </w:r>
      <w:r>
        <w:rPr>
          <w:color w:val="000000"/>
        </w:rPr>
        <w:t>”</w:t>
      </w:r>
      <w:r>
        <w:rPr>
          <w:rFonts w:ascii="Times New Roman;serif" w:hAnsi="Times New Roman;serif"/>
          <w:b w:val="false"/>
          <w:color w:val="000000"/>
          <w:sz w:val="24"/>
        </w:rPr>
        <w:t>), LIBERTY STREET FUNDING LLC, as a conduit lender under the Receivables Financing Agreement (in such capacity, together with its successors and permitted assigns in such capacity, a “</w:t>
      </w:r>
      <w:r>
        <w:rPr>
          <w:rFonts w:ascii="Times New Roman;serif" w:hAnsi="Times New Roman;serif"/>
          <w:b w:val="false"/>
          <w:color w:val="000000"/>
          <w:sz w:val="24"/>
          <w:u w:val="single"/>
        </w:rPr>
        <w:t>Conduit Lender</w:t>
      </w:r>
      <w:r>
        <w:rPr>
          <w:color w:val="000000"/>
        </w:rPr>
        <w:t>”</w:t>
      </w:r>
      <w:r>
        <w:rPr>
          <w:rFonts w:ascii="Times New Roman;serif" w:hAnsi="Times New Roman;serif"/>
          <w:b w:val="false"/>
          <w:color w:val="000000"/>
          <w:sz w:val="24"/>
        </w:rPr>
        <w:t>), and the various other Lenders and Group Agents from time to time party to the Receivables Financing Agreement, and acknowledged and agreed to by PNC CAPITAL MARKETS LLC, as structuring agent (in such capacity, together with its successors and permitted assigns in such capacity, the “</w:t>
      </w:r>
      <w:r>
        <w:rPr>
          <w:rFonts w:ascii="Times New Roman;serif" w:hAnsi="Times New Roman;serif"/>
          <w:b w:val="false"/>
          <w:color w:val="000000"/>
          <w:sz w:val="24"/>
          <w:u w:val="single"/>
        </w:rPr>
        <w:t>Structuring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 the Servicer, the Persons from time to time party thereto as Lenders and as Group Agents, the Administrative Agent, and, solely with respect to Section 10.10 thereof, the Structuring Agent, entered into the Receivables Financing Agreement as of December 21, 2018 (as amended, restated, supplemented or otherwise modified prior to the date hereof, the “</w:t>
      </w:r>
      <w:r>
        <w:rPr>
          <w:rFonts w:ascii="Times New Roman;serif" w:hAnsi="Times New Roman;serif"/>
          <w:b w:val="false"/>
          <w:color w:val="000000"/>
          <w:sz w:val="24"/>
          <w:u w:val="single"/>
        </w:rPr>
        <w:t>Original Receivables Financing Agreement</w:t>
      </w:r>
      <w:r>
        <w:rPr>
          <w:color w:val="000000"/>
        </w:rPr>
        <w:t>”</w:t>
      </w:r>
      <w:r>
        <w:rPr>
          <w:rFonts w:ascii="Times New Roman;serif" w:hAnsi="Times New Roman;serif"/>
          <w:b w:val="false"/>
          <w:color w:val="000000"/>
          <w:sz w:val="24"/>
        </w:rPr>
        <w:t>; and as amended by this Amendment and as may be further amended, restated, supplemented or otherwise modified from time to time, the “</w:t>
      </w:r>
      <w:r>
        <w:rPr>
          <w:rFonts w:ascii="Times New Roman;serif" w:hAnsi="Times New Roman;serif"/>
          <w:b w:val="false"/>
          <w:color w:val="000000"/>
          <w:sz w:val="24"/>
          <w:u w:val="single"/>
        </w:rPr>
        <w:t>Receivables Financing Agreement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hereto wish to further amend the Original Receivables Financing Agreement pursuant to the terms and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which are hereby acknowledged, the parties hereto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in this Amendment shall have the meanings assigned to them in the Original Receivables Financing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Amendments to Original Receivables Financing Agreement</w:t>
      </w:r>
      <w:r>
        <w:rPr>
          <w:rFonts w:ascii="Times New Roman;serif" w:hAnsi="Times New Roman;serif"/>
          <w:b w:val="false"/>
          <w:color w:val="000000"/>
          <w:sz w:val="24"/>
        </w:rPr>
        <w:t xml:space="preserve">. Effective as of the date hereof and subject to the satisfaction of the conditions precedent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hereof, the Original Receivables Financing Agreement is hereby amended to add or delete such text as may be necessary to conform the Original Receivables Financing Agreement to the agreement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Warranties and Enforceability</w:t>
      </w:r>
      <w:r>
        <w:rPr>
          <w:rFonts w:ascii="Times New Roman;serif" w:hAnsi="Times New Roman;serif"/>
          <w:b w:val="false"/>
          <w:color w:val="000000"/>
          <w:sz w:val="24"/>
        </w:rPr>
        <w:t>. Each of the Borrower and the Servicer hereby represents and warrants to the Administrative Agent, the Group Agents and the Lenders, as applicable, as of the date hereof with respect to itself,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representations and warranties of it contained in Section 6.01 and Section 6.02, as applicable, of the Receivables Financing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 the execution and delivery by it of the Amendment Documents to which it is a party, and the performance of its obligations under Amendment Documents to which it is a party and the Receivables Financing Agreement are within its organizational powers and have been duly authorized by all necessary action on its part and (ii) the Amendment Documents to which it is a party and the Receivables Financing Agreement are its valid and legally binding obligations, enforceable in accordance with their respective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The effectiveness of this Amendment is subject to the satisfaction of all of the following conditions precedent: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Administrative Agent shall have received fully executed counterparts of this Amendment and other deliverables listed on the closing memorandum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 in each case, in form and substance acceptable to the Administrative Agent (collectively, the “</w:t>
      </w:r>
      <w:r>
        <w:rPr>
          <w:rFonts w:ascii="Times New Roman;serif" w:hAnsi="Times New Roman;serif"/>
          <w:b w:val="false"/>
          <w:color w:val="000000"/>
          <w:sz w:val="24"/>
          <w:u w:val="single"/>
        </w:rPr>
        <w:t>Amendment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 The Administrative Agent, the Lenders and the Group Agents (or the Structuring Agent on behalf of PNC, if applicable), in each case, shall have received all fees and other amounts due and payable to it under the Transaction Documents and in connection with the Amendment Documents on or prior to the date hereof, including, to the extent invoiced, payment or reimbursement of all fees and expenses (including reasonable and documented out-of-pocket fees, charges and disbursements of counsel) required to be paid or reimbursed on or prior to the date hereof. To the extent such fees and other amounts have not yet been invoiced, the Borrower agrees to remit payment to the applicable party promptly upon receipt of such invoice.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 Event of Default or Unmatured Event of Default, as set forth in Section 9.01 of the Original Receivables Financing Agreement, shall have occurred and be continuing.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Amendment</w:t>
      </w:r>
      <w:r>
        <w:rPr>
          <w:rFonts w:ascii="Times New Roman;serif" w:hAnsi="Times New Roman;serif"/>
          <w:b w:val="false"/>
          <w:color w:val="000000"/>
          <w:sz w:val="24"/>
        </w:rPr>
        <w:t>. The Borrower, the Servicer, the Administrative Agent, the Group Agents and the Lenders hereby agree that the provisions and effectiveness of this Amendment shall apply to the Original Receivables Financing Agreement as of the date hereof. Except as amended by this Amendment, the Original Receivables Financing Agreement remains unchanged and in full force and effect. This Amendment is a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Captions</w:t>
      </w:r>
      <w:r>
        <w:rPr>
          <w:rFonts w:ascii="Times New Roman;serif" w:hAnsi="Times New Roman;serif"/>
          <w:b w:val="false"/>
          <w:color w:val="000000"/>
          <w:sz w:val="24"/>
        </w:rPr>
        <w:t>. The headings of the Sections of this Amendment are provided solely for convenience of reference and shall not modify, define, expand or limit any of the terms or provisions of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Successors and permitted assigns</w:t>
      </w:r>
      <w:r>
        <w:rPr>
          <w:rFonts w:ascii="Times New Roman;serif" w:hAnsi="Times New Roman;serif"/>
          <w:b w:val="false"/>
          <w:color w:val="000000"/>
          <w:sz w:val="24"/>
        </w:rPr>
        <w:t>. The terms of this Amendment shall be binding upon, and shall inure to the benefit of, the Borrower, the Servicer, the Administrative Agent, the Group Agents and the Lenders and their respective successors and permitted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Governing Law and Jurisdiction</w:t>
      </w:r>
      <w:r>
        <w:rPr>
          <w:rFonts w:ascii="Times New Roman;serif" w:hAnsi="Times New Roman;serif"/>
          <w:b w:val="false"/>
          <w:color w:val="000000"/>
          <w:sz w:val="24"/>
        </w:rPr>
        <w:t>. The provisions of the Original Receivables Financing Agreement with respect to governing law, jurisdiction, and agent for service of process are incorporated in this Amendment by reference as if such provisions were set forth herein.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by their duly authorized officers as of the date first above written.</w:t>
      </w:r>
    </w:p>
    <w:p>
      <w:pPr>
        <w:pStyle w:val="TextBody"/>
        <w:bidi w:val="0"/>
        <w:spacing w:lineRule="auto" w:line="288" w:before="0" w:after="0"/>
        <w:jc w:val="both"/>
        <w:rPr/>
      </w:pPr>
      <w:r>
        <w:rPr>
          <w:rFonts w:ascii="Times New Roman;serif" w:hAnsi="Times New Roman;serif"/>
          <w:b/>
          <w:color w:val="000000"/>
          <w:sz w:val="24"/>
        </w:rPr>
        <w:t>INTEGRA RECEIVABLES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Borrower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Swiss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Timothy Swiss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Treasurer                </w:t>
      </w:r>
    </w:p>
    <w:p>
      <w:pPr>
        <w:pStyle w:val="TextBody"/>
        <w:bidi w:val="0"/>
        <w:spacing w:lineRule="auto" w:line="288" w:before="0" w:after="0"/>
        <w:jc w:val="both"/>
        <w:rPr/>
      </w:pPr>
      <w:r>
        <w:rPr>
          <w:rFonts w:ascii="Times New Roman;serif" w:hAnsi="Times New Roman;serif"/>
          <w:b/>
          <w:color w:val="000000"/>
          <w:sz w:val="24"/>
        </w:rPr>
        <w:t>INTEGRA LIFESCIENCES SALES LLC</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 the Servicer </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By: Integra LifeSciences Corporation, its sole member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Swiss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Timothy Swiss            </w:t>
      </w:r>
    </w:p>
    <w:p>
      <w:pPr>
        <w:pStyle w:val="TextBody"/>
        <w:bidi w:val="0"/>
        <w:spacing w:lineRule="auto" w:line="288" w:before="0" w:after="36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Vice President, Treasurer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Administrative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Blaney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Chrisopher Blaney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Senior Vice President            </w: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Group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Blaney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Chrisopher Blaney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Senior Vice President            </w: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Committed Lender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Blaney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Chrisopher Blaney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Senior Vice President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THE BANK OF NOVA SCOTIA</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Group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Elie Silver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Elie Silver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Managing Director            </w:t>
      </w:r>
    </w:p>
    <w:p>
      <w:pPr>
        <w:pStyle w:val="TextBody"/>
        <w:bidi w:val="0"/>
        <w:spacing w:lineRule="auto" w:line="288" w:before="0" w:after="0"/>
        <w:jc w:val="both"/>
        <w:rPr/>
      </w:pPr>
      <w:r>
        <w:rPr>
          <w:rFonts w:ascii="Times New Roman;serif" w:hAnsi="Times New Roman;serif"/>
          <w:b/>
          <w:color w:val="000000"/>
          <w:sz w:val="24"/>
        </w:rPr>
        <w:t>THE BANK OF NOVA SCOTIA</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Committed Lender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Elie Silver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Elie Silver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Managing Director            </w:t>
      </w:r>
    </w:p>
    <w:p>
      <w:pPr>
        <w:pStyle w:val="TextBody"/>
        <w:bidi w:val="0"/>
        <w:spacing w:lineRule="auto" w:line="288" w:before="0" w:after="0"/>
        <w:jc w:val="both"/>
        <w:rPr/>
      </w:pPr>
      <w:r>
        <w:rPr>
          <w:rFonts w:ascii="Times New Roman;serif" w:hAnsi="Times New Roman;serif"/>
          <w:b/>
          <w:color w:val="000000"/>
          <w:sz w:val="24"/>
        </w:rPr>
        <w:t>LIBERTY STREET FUNDING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Conduit Lender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Kevin J. Corrigan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Kevin J. Corrigan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Vice President            </w:t>
      </w:r>
    </w:p>
    <w:p>
      <w:pPr>
        <w:pStyle w:val="TextBody"/>
        <w:bidi w:val="0"/>
        <w:spacing w:before="0" w:after="6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txbxContent>
                </v:textbox>
                <w10:wrap type="none"/>
              </v:rect>
            </w:pict>
          </mc:Fallback>
        </mc:AlternateContent>
      </w:r>
    </w:p>
    <w:p>
      <w:pPr>
        <w:pStyle w:val="TextBody"/>
        <w:bidi w:val="0"/>
        <w:spacing w:before="0" w:after="600"/>
        <w:jc w:val="both"/>
        <w:rPr/>
      </w:pPr>
      <w:r>
        <w:rPr/>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Acknowledged and agreed to by, as of the date first written above:    </w:t>
      </w:r>
    </w:p>
    <w:p>
      <w:pPr>
        <w:pStyle w:val="TextBody"/>
        <w:bidi w:val="0"/>
        <w:spacing w:lineRule="auto" w:line="288" w:before="0" w:after="0"/>
        <w:jc w:val="left"/>
        <w:rPr/>
      </w:pPr>
      <w:r>
        <w:rPr>
          <w:rFonts w:ascii="Times New Roman;serif" w:hAnsi="Times New Roman;serif"/>
          <w:b/>
          <w:color w:val="000000"/>
          <w:sz w:val="24"/>
        </w:rPr>
        <w:t>PNC CAPITAL MARKETS LLC</w:t>
      </w:r>
      <w:r>
        <w:rPr>
          <w:rFonts w:ascii="Times New Roman;serif" w:hAnsi="Times New Roman;serif"/>
          <w:b w:val="false"/>
          <w:color w:val="000000"/>
          <w:sz w:val="24"/>
        </w:rPr>
        <w:t xml:space="preserve">, </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as the Structuring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Blaney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Chrisopher Blaney            </w:t>
      </w:r>
    </w:p>
    <w:p>
      <w:pPr>
        <w:pStyle w:val="TextBody"/>
        <w:bidi w:val="0"/>
        <w:spacing w:lineRule="auto" w:line="288" w:before="0" w:after="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Managing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8 to RFA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360"/>
        <w:jc w:val="right"/>
        <w:rPr>
          <w:rFonts w:ascii="Times New Roman;serif" w:hAnsi="Times New Roman;serif"/>
          <w:b/>
          <w:color w:val="000000"/>
          <w:sz w:val="24"/>
        </w:rPr>
      </w:pPr>
      <w:r>
        <w:rPr>
          <w:rFonts w:ascii="Times New Roman;serif" w:hAnsi="Times New Roman;serif"/>
          <w:b/>
          <w:color w:val="000000"/>
          <w:sz w:val="24"/>
        </w:rPr>
        <w:t>Conformed Receivables Financing Agreement</w:t>
      </w:r>
    </w:p>
    <w:p>
      <w:pPr>
        <w:pStyle w:val="TextBody"/>
        <w:bidi w:val="0"/>
        <w:spacing w:before="0" w:after="360"/>
        <w:jc w:val="right"/>
        <w:rPr/>
      </w:pPr>
      <w:r>
        <w:rPr/>
      </w:r>
    </w:p>
    <w:p>
      <w:pPr>
        <w:pStyle w:val="TextBody"/>
        <w:bidi w:val="0"/>
        <w:spacing w:before="0" w:after="36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 xml:space="preserve">EXHIBIT A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TO AMENDMENT NO. 8</w:t>
      </w:r>
    </w:p>
    <w:p>
      <w:pPr>
        <w:pStyle w:val="TextBody"/>
        <w:bidi w:val="0"/>
        <w:spacing w:lineRule="auto" w:line="288" w:before="2800" w:after="240"/>
        <w:jc w:val="center"/>
        <w:rPr>
          <w:rFonts w:ascii="Times New Roman;serif" w:hAnsi="Times New Roman;serif"/>
          <w:b/>
          <w:color w:val="000000"/>
          <w:sz w:val="24"/>
        </w:rPr>
      </w:pPr>
      <w:r>
        <w:rPr>
          <w:rFonts w:ascii="Times New Roman;serif" w:hAnsi="Times New Roman;serif"/>
          <w:b/>
          <w:color w:val="000000"/>
          <w:sz w:val="24"/>
        </w:rPr>
        <w:t>RECEIVABLES FINANCING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December 21, 2018</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0"/>
        <w:jc w:val="center"/>
        <w:rPr/>
      </w:pPr>
      <w:r>
        <w:rPr>
          <w:rFonts w:ascii="Times New Roman;serif" w:hAnsi="Times New Roman;serif"/>
          <w:b/>
          <w:color w:val="000000"/>
          <w:sz w:val="24"/>
        </w:rPr>
        <w:t>INTEGRA RECEIVABLES LLC</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as Borrower,</w:t>
      </w:r>
    </w:p>
    <w:p>
      <w:pPr>
        <w:pStyle w:val="TextBody"/>
        <w:bidi w:val="0"/>
        <w:spacing w:lineRule="auto" w:line="288" w:before="0" w:after="0"/>
        <w:jc w:val="center"/>
        <w:rPr/>
      </w:pPr>
      <w:r>
        <w:rPr>
          <w:rFonts w:ascii="Times New Roman;serif" w:hAnsi="Times New Roman;serif"/>
          <w:b/>
          <w:color w:val="000000"/>
          <w:sz w:val="24"/>
        </w:rPr>
        <w:t>THE PERSONS FROM TIME TO TIME PARTY HERETO</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Lenders and as Group Agents,</w:t>
      </w:r>
    </w:p>
    <w:p>
      <w:pPr>
        <w:pStyle w:val="TextBody"/>
        <w:bidi w:val="0"/>
        <w:spacing w:lineRule="auto" w:line="288" w:before="0" w:after="0"/>
        <w:jc w:val="center"/>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as Administrative Agent,</w:t>
      </w:r>
    </w:p>
    <w:p>
      <w:pPr>
        <w:pStyle w:val="TextBody"/>
        <w:bidi w:val="0"/>
        <w:spacing w:lineRule="auto" w:line="288" w:before="0" w:after="0"/>
        <w:jc w:val="center"/>
        <w:rPr/>
      </w:pPr>
      <w:r>
        <w:rPr>
          <w:rFonts w:ascii="Times New Roman;serif" w:hAnsi="Times New Roman;serif"/>
          <w:b/>
          <w:color w:val="000000"/>
          <w:sz w:val="24"/>
        </w:rPr>
        <w:t>INTEGRA LIFESCIENCES SALES LLC</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as initial Servicer,</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and</w:t>
      </w:r>
    </w:p>
    <w:p>
      <w:pPr>
        <w:pStyle w:val="TextBody"/>
        <w:bidi w:val="0"/>
        <w:spacing w:lineRule="auto" w:line="288" w:before="0" w:after="0"/>
        <w:jc w:val="center"/>
        <w:rPr/>
      </w:pPr>
      <w:r>
        <w:rPr>
          <w:rFonts w:ascii="Times New Roman;serif" w:hAnsi="Times New Roman;serif"/>
          <w:b/>
          <w:color w:val="000000"/>
          <w:sz w:val="24"/>
          <w:u w:val="single"/>
        </w:rPr>
        <w:t>PNC CAPITAL MARKETS LLC</w:t>
      </w:r>
      <w:r>
        <w:rPr>
          <w:rFonts w:ascii="Times New Roman;serif" w:hAnsi="Times New Roman;serif"/>
          <w:b w:val="false"/>
          <w:color w:val="000000"/>
          <w:sz w:val="24"/>
          <w:u w:val="single"/>
        </w:rPr>
        <w:t xml:space="preserve">, </w:t>
      </w:r>
    </w:p>
    <w:p>
      <w:pPr>
        <w:pStyle w:val="TextBody"/>
        <w:bidi w:val="0"/>
        <w:spacing w:lineRule="auto" w:line="288" w:before="0" w:after="120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as Structuring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Certain Defined Terms</w:t>
        </w:r>
      </w:hyperlink>
      <w:hyperlink w:anchor="i8f01e0709bfa4c0d9890505dd61fad4a_19">
        <w:r>
          <w:rPr>
            <w:rStyle w:val="InternetLink"/>
          </w:rPr>
          <w:t>    </w:t>
        </w:r>
      </w:hyperlink>
      <w:hyperlink w:anchor="i8f01e0709bfa4c0d9890505dd61fad4a_19">
        <w:r>
          <w:rPr>
            <w:rStyle w:val="InternetLink"/>
          </w:rPr>
          <w:t>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Other Interpretative Matters</w:t>
        </w:r>
      </w:hyperlink>
      <w:hyperlink w:anchor="i8f01e0709bfa4c0d9890505dd61fad4a_19">
        <w:r>
          <w:rPr>
            <w:rStyle w:val="InternetLink"/>
          </w:rPr>
          <w:t>    </w:t>
        </w:r>
      </w:hyperlink>
      <w:hyperlink w:anchor="i8f01e0709bfa4c0d9890505dd61fad4a_19">
        <w:r>
          <w:rPr>
            <w:rStyle w:val="InternetLink"/>
          </w:rPr>
          <w:t>40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II TERMS OF THE LOANS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Loan Facility</w:t>
        </w:r>
      </w:hyperlink>
      <w:hyperlink w:anchor="i8f01e0709bfa4c0d9890505dd61fad4a_19">
        <w:r>
          <w:rPr>
            <w:rStyle w:val="InternetLink"/>
          </w:rPr>
          <w:t>    </w:t>
        </w:r>
      </w:hyperlink>
      <w:hyperlink w:anchor="i8f01e0709bfa4c0d9890505dd61fad4a_19">
        <w:r>
          <w:rPr>
            <w:rStyle w:val="InternetLink"/>
          </w:rPr>
          <w:t>40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Making Loans; Repayment of Loans</w:t>
        </w:r>
      </w:hyperlink>
      <w:hyperlink w:anchor="i8f01e0709bfa4c0d9890505dd61fad4a_19">
        <w:r>
          <w:rPr>
            <w:rStyle w:val="InternetLink"/>
          </w:rPr>
          <w:t>    </w:t>
        </w:r>
      </w:hyperlink>
      <w:hyperlink w:anchor="i8f01e0709bfa4c0d9890505dd61fad4a_19">
        <w:r>
          <w:rPr>
            <w:rStyle w:val="InternetLink"/>
          </w:rPr>
          <w:t>41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Interest and Fees</w:t>
        </w:r>
      </w:hyperlink>
      <w:hyperlink w:anchor="i8f01e0709bfa4c0d9890505dd61fad4a_19">
        <w:r>
          <w:rPr>
            <w:rStyle w:val="InternetLink"/>
          </w:rPr>
          <w:t>    </w:t>
        </w:r>
      </w:hyperlink>
      <w:hyperlink w:anchor="i8f01e0709bfa4c0d9890505dd61fad4a_19">
        <w:r>
          <w:rPr>
            <w:rStyle w:val="InternetLink"/>
          </w:rPr>
          <w:t>45</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Records of Loans</w:t>
        </w:r>
      </w:hyperlink>
      <w:hyperlink w:anchor="i8f01e0709bfa4c0d9890505dd61fad4a_19">
        <w:r>
          <w:rPr>
            <w:rStyle w:val="InternetLink"/>
          </w:rPr>
          <w:t>    </w:t>
        </w:r>
      </w:hyperlink>
      <w:hyperlink w:anchor="i8f01e0709bfa4c0d9890505dd61fad4a_19">
        <w:r>
          <w:rPr>
            <w:rStyle w:val="InternetLink"/>
          </w:rPr>
          <w:t>45</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Selection of Interest Rates</w:t>
        </w:r>
      </w:hyperlink>
      <w:hyperlink w:anchor="i8f01e0709bfa4c0d9890505dd61fad4a_19">
        <w:r>
          <w:rPr>
            <w:rStyle w:val="InternetLink"/>
          </w:rPr>
          <w:t>    </w:t>
        </w:r>
      </w:hyperlink>
      <w:hyperlink w:anchor="i8f01e0709bfa4c0d9890505dd61fad4a_19">
        <w:r>
          <w:rPr>
            <w:rStyle w:val="InternetLink"/>
          </w:rPr>
          <w:t>45</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2.06.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Defaulting Lenders</w:t>
        </w:r>
      </w:hyperlink>
      <w:hyperlink w:anchor="i8f01e0709bfa4c0d9890505dd61fad4a_19">
        <w:r>
          <w:rPr>
            <w:rStyle w:val="InternetLink"/>
          </w:rPr>
          <w:t>    </w:t>
        </w:r>
      </w:hyperlink>
      <w:hyperlink w:anchor="i8f01e0709bfa4c0d9890505dd61fad4a_19">
        <w:r>
          <w:rPr>
            <w:rStyle w:val="InternetLink"/>
          </w:rPr>
          <w:t>46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III SETTLEMENT PROCEDURES AND PAYMENT PROVISIONS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3.01.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Settlement Procedures</w:t>
        </w:r>
      </w:hyperlink>
      <w:hyperlink w:anchor="i8f01e0709bfa4c0d9890505dd61fad4a_19">
        <w:r>
          <w:rPr>
            <w:rStyle w:val="InternetLink"/>
          </w:rPr>
          <w:t>    </w:t>
        </w:r>
      </w:hyperlink>
      <w:hyperlink w:anchor="i8f01e0709bfa4c0d9890505dd61fad4a_19">
        <w:r>
          <w:rPr>
            <w:rStyle w:val="InternetLink"/>
          </w:rPr>
          <w:t>47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3.02.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Payments and Computations, Etc</w:t>
        </w:r>
      </w:hyperlink>
      <w:hyperlink w:anchor="i8f01e0709bfa4c0d9890505dd61fad4a_19">
        <w:r>
          <w:rPr>
            <w:rStyle w:val="InternetLink"/>
          </w:rPr>
          <w:t>    </w:t>
        </w:r>
      </w:hyperlink>
      <w:hyperlink w:anchor="i8f01e0709bfa4c0d9890505dd61fad4a_19">
        <w:r>
          <w:rPr>
            <w:rStyle w:val="InternetLink"/>
          </w:rPr>
          <w:t>49</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IV INCREASED COSTS; FUNDING LOSSES; TAXES; ILLEGALITY AND SECURITY INTEREST</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Increased Costs</w:t>
        </w:r>
      </w:hyperlink>
      <w:hyperlink w:anchor="i8f01e0709bfa4c0d9890505dd61fad4a_19">
        <w:r>
          <w:rPr>
            <w:rStyle w:val="InternetLink"/>
          </w:rPr>
          <w:t>    </w:t>
        </w:r>
      </w:hyperlink>
      <w:hyperlink w:anchor="i8f01e0709bfa4c0d9890505dd61fad4a_19">
        <w:r>
          <w:rPr>
            <w:rStyle w:val="InternetLink"/>
          </w:rPr>
          <w:t>50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Funding Losses</w:t>
        </w:r>
      </w:hyperlink>
      <w:hyperlink w:anchor="i8f01e0709bfa4c0d9890505dd61fad4a_19">
        <w:r>
          <w:rPr>
            <w:rStyle w:val="InternetLink"/>
          </w:rPr>
          <w:t>    </w:t>
        </w:r>
      </w:hyperlink>
      <w:hyperlink w:anchor="i8f01e0709bfa4c0d9890505dd61fad4a_19">
        <w:r>
          <w:rPr>
            <w:rStyle w:val="InternetLink"/>
          </w:rPr>
          <w:t>52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Taxes</w:t>
        </w:r>
      </w:hyperlink>
      <w:hyperlink w:anchor="i8f01e0709bfa4c0d9890505dd61fad4a_19">
        <w:r>
          <w:rPr>
            <w:rStyle w:val="InternetLink"/>
          </w:rPr>
          <w:t>    </w:t>
        </w:r>
      </w:hyperlink>
      <w:hyperlink w:anchor="i8f01e0709bfa4c0d9890505dd61fad4a_19">
        <w:r>
          <w:rPr>
            <w:rStyle w:val="InternetLink"/>
          </w:rPr>
          <w:t>52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Conforming Changes Relating to Term SOFR or Daily 1M SOFR</w:t>
        </w:r>
      </w:hyperlink>
      <w:hyperlink w:anchor="i8f01e0709bfa4c0d9890505dd61fad4a_19">
        <w:r>
          <w:rPr>
            <w:rStyle w:val="InternetLink"/>
          </w:rPr>
          <w:t>    </w:t>
        </w:r>
      </w:hyperlink>
      <w:hyperlink w:anchor="i8f01e0709bfa4c0d9890505dd61fad4a_19">
        <w:r>
          <w:rPr>
            <w:rStyle w:val="InternetLink"/>
          </w:rPr>
          <w:t>56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Security Interest</w:t>
        </w:r>
      </w:hyperlink>
      <w:hyperlink w:anchor="i8f01e0709bfa4c0d9890505dd61fad4a_19">
        <w:r>
          <w:rPr>
            <w:rStyle w:val="InternetLink"/>
          </w:rPr>
          <w:t>    </w:t>
        </w:r>
      </w:hyperlink>
      <w:hyperlink w:anchor="i8f01e0709bfa4c0d9890505dd61fad4a_19">
        <w:r>
          <w:rPr>
            <w:rStyle w:val="InternetLink"/>
          </w:rPr>
          <w:t>56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Rate Unascertainable; Illegality; Benchmark Replacement Setting.</w:t>
        </w:r>
      </w:hyperlink>
      <w:hyperlink w:anchor="i8f01e0709bfa4c0d9890505dd61fad4a_19">
        <w:r>
          <w:rPr>
            <w:rStyle w:val="InternetLink"/>
          </w:rPr>
          <w:t>    </w:t>
        </w:r>
      </w:hyperlink>
      <w:hyperlink w:anchor="i8f01e0709bfa4c0d9890505dd61fad4a_19">
        <w:r>
          <w:rPr>
            <w:rStyle w:val="InternetLink"/>
          </w:rPr>
          <w:t>57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4.07.</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Benchmark Replacement Notification</w:t>
        </w:r>
      </w:hyperlink>
      <w:hyperlink w:anchor="i8f01e0709bfa4c0d9890505dd61fad4a_19">
        <w:r>
          <w:rPr>
            <w:rStyle w:val="InternetLink"/>
          </w:rPr>
          <w:t>    </w:t>
        </w:r>
      </w:hyperlink>
      <w:hyperlink w:anchor="i8f01e0709bfa4c0d9890505dd61fad4a_19">
        <w:r>
          <w:rPr>
            <w:rStyle w:val="InternetLink"/>
          </w:rPr>
          <w:t>60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V CONDITIONS to Effectiveness and CREDIT EXTENSIONS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5.01.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Conditions Precedent to Effectiveness and the Initial Credit Extension</w:t>
        </w:r>
      </w:hyperlink>
      <w:hyperlink w:anchor="i8f01e0709bfa4c0d9890505dd61fad4a_19">
        <w:r>
          <w:rPr>
            <w:rStyle w:val="InternetLink"/>
          </w:rPr>
          <w:t>    </w:t>
        </w:r>
      </w:hyperlink>
      <w:hyperlink w:anchor="i8f01e0709bfa4c0d9890505dd61fad4a_19">
        <w:r>
          <w:rPr>
            <w:rStyle w:val="InternetLink"/>
          </w:rPr>
          <w:t>60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5.02.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Conditions Precedent to All Credit Extensions</w:t>
        </w:r>
      </w:hyperlink>
      <w:hyperlink w:anchor="i8f01e0709bfa4c0d9890505dd61fad4a_19">
        <w:r>
          <w:rPr>
            <w:rStyle w:val="InternetLink"/>
          </w:rPr>
          <w:t>    </w:t>
        </w:r>
      </w:hyperlink>
      <w:hyperlink w:anchor="i8f01e0709bfa4c0d9890505dd61fad4a_19">
        <w:r>
          <w:rPr>
            <w:rStyle w:val="InternetLink"/>
          </w:rPr>
          <w:t>61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5.03.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Conditions Precedent to All Releases</w:t>
        </w:r>
      </w:hyperlink>
      <w:hyperlink w:anchor="i8f01e0709bfa4c0d9890505dd61fad4a_19">
        <w:r>
          <w:rPr>
            <w:rStyle w:val="InternetLink"/>
          </w:rPr>
          <w:t>    </w:t>
        </w:r>
      </w:hyperlink>
      <w:hyperlink w:anchor="i8f01e0709bfa4c0d9890505dd61fad4a_19">
        <w:r>
          <w:rPr>
            <w:rStyle w:val="InternetLink"/>
          </w:rPr>
          <w:t>61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VI REPRESENTATIONS AND WARRANTIES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6.01.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Representations and Warranties of the Borrower</w:t>
        </w:r>
      </w:hyperlink>
      <w:hyperlink w:anchor="i8f01e0709bfa4c0d9890505dd61fad4a_19">
        <w:r>
          <w:rPr>
            <w:rStyle w:val="InternetLink"/>
          </w:rPr>
          <w:t>    </w:t>
        </w:r>
      </w:hyperlink>
      <w:hyperlink w:anchor="i8f01e0709bfa4c0d9890505dd61fad4a_19">
        <w:r>
          <w:rPr>
            <w:rStyle w:val="InternetLink"/>
          </w:rPr>
          <w:t>62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6.02.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Representations and Warranties of the Servicer</w:t>
        </w:r>
      </w:hyperlink>
      <w:hyperlink w:anchor="i8f01e0709bfa4c0d9890505dd61fad4a_19">
        <w:r>
          <w:rPr>
            <w:rStyle w:val="InternetLink"/>
          </w:rPr>
          <w:t>    </w:t>
        </w:r>
      </w:hyperlink>
      <w:hyperlink w:anchor="i8f01e0709bfa4c0d9890505dd61fad4a_19">
        <w:r>
          <w:rPr>
            <w:rStyle w:val="InternetLink"/>
          </w:rPr>
          <w:t>68</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VII COVENANTS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7.01.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Covenants of the Borrower</w:t>
        </w:r>
      </w:hyperlink>
      <w:hyperlink w:anchor="i8f01e0709bfa4c0d9890505dd61fad4a_19">
        <w:r>
          <w:rPr>
            <w:rStyle w:val="InternetLink"/>
          </w:rPr>
          <w:t>    </w:t>
        </w:r>
      </w:hyperlink>
      <w:hyperlink w:anchor="i8f01e0709bfa4c0d9890505dd61fad4a_19">
        <w:r>
          <w:rPr>
            <w:rStyle w:val="InternetLink"/>
          </w:rPr>
          <w:t>73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7.02.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Covenants of the Servicer</w:t>
        </w:r>
      </w:hyperlink>
      <w:hyperlink w:anchor="i8f01e0709bfa4c0d9890505dd61fad4a_19">
        <w:r>
          <w:rPr>
            <w:rStyle w:val="InternetLink"/>
          </w:rPr>
          <w:t>    </w:t>
        </w:r>
      </w:hyperlink>
      <w:hyperlink w:anchor="i8f01e0709bfa4c0d9890505dd61fad4a_19">
        <w:r>
          <w:rPr>
            <w:rStyle w:val="InternetLink"/>
          </w:rPr>
          <w:t>81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7.03.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Separate Existence of the Borrower</w:t>
        </w:r>
      </w:hyperlink>
      <w:hyperlink w:anchor="i8f01e0709bfa4c0d9890505dd61fad4a_19">
        <w:r>
          <w:rPr>
            <w:rStyle w:val="InternetLink"/>
          </w:rPr>
          <w:t>    </w:t>
        </w:r>
      </w:hyperlink>
      <w:hyperlink w:anchor="i8f01e0709bfa4c0d9890505dd61fad4a_19">
        <w:r>
          <w:rPr>
            <w:rStyle w:val="InternetLink"/>
          </w:rPr>
          <w:t>87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7.04.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Financial Covenant</w:t>
        </w:r>
      </w:hyperlink>
      <w:hyperlink w:anchor="i8f01e0709bfa4c0d9890505dd61fad4a_19">
        <w:r>
          <w:rPr>
            <w:rStyle w:val="InternetLink"/>
          </w:rPr>
          <w:t>    </w:t>
        </w:r>
      </w:hyperlink>
      <w:hyperlink w:anchor="i8f01e0709bfa4c0d9890505dd61fad4a_19">
        <w:r>
          <w:rPr>
            <w:rStyle w:val="InternetLink"/>
          </w:rPr>
          <w:t>91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VIII ADMINISTRATION AND COLLECTION OF RECEIVABLES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Appointment of the Servicer</w:t>
        </w:r>
      </w:hyperlink>
      <w:hyperlink w:anchor="i8f01e0709bfa4c0d9890505dd61fad4a_19">
        <w:r>
          <w:rPr>
            <w:rStyle w:val="InternetLink"/>
          </w:rPr>
          <w:t>    </w:t>
        </w:r>
      </w:hyperlink>
      <w:hyperlink w:anchor="i8f01e0709bfa4c0d9890505dd61fad4a_19">
        <w:r>
          <w:rPr>
            <w:rStyle w:val="InternetLink"/>
          </w:rPr>
          <w:t>92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Duties of the Servicer</w:t>
        </w:r>
      </w:hyperlink>
      <w:hyperlink w:anchor="i8f01e0709bfa4c0d9890505dd61fad4a_19">
        <w:r>
          <w:rPr>
            <w:rStyle w:val="InternetLink"/>
          </w:rPr>
          <w:t>    </w:t>
        </w:r>
      </w:hyperlink>
      <w:hyperlink w:anchor="i8f01e0709bfa4c0d9890505dd61fad4a_19">
        <w:r>
          <w:rPr>
            <w:rStyle w:val="InternetLink"/>
          </w:rPr>
          <w:t>93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Collection Account Arrangements</w:t>
        </w:r>
      </w:hyperlink>
      <w:hyperlink w:anchor="i8f01e0709bfa4c0d9890505dd61fad4a_19">
        <w:r>
          <w:rPr>
            <w:rStyle w:val="InternetLink"/>
          </w:rPr>
          <w:t>    </w:t>
        </w:r>
      </w:hyperlink>
      <w:hyperlink w:anchor="i8f01e0709bfa4c0d9890505dd61fad4a_19">
        <w:r>
          <w:rPr>
            <w:rStyle w:val="InternetLink"/>
          </w:rPr>
          <w:t>94</w:t>
        </w:r>
      </w:hyperlink>
    </w:p>
    <w:p>
      <w:pPr>
        <w:pStyle w:val="TextBody"/>
        <w:bidi w:val="0"/>
        <w:spacing w:lineRule="auto" w:line="288"/>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Enforcement Rights</w:t>
        </w:r>
      </w:hyperlink>
      <w:hyperlink w:anchor="i8f01e0709bfa4c0d9890505dd61fad4a_19">
        <w:r>
          <w:rPr>
            <w:rStyle w:val="InternetLink"/>
          </w:rPr>
          <w:t>    </w:t>
        </w:r>
      </w:hyperlink>
      <w:hyperlink w:anchor="i8f01e0709bfa4c0d9890505dd61fad4a_19">
        <w:r>
          <w:rPr>
            <w:rStyle w:val="InternetLink"/>
          </w:rPr>
          <w:t>95</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9920"/>
                <wp:effectExtent l="0" t="0" r="0" b="0"/>
                <wp:wrapNone/>
                <wp:docPr id="61"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4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Responsibilities of the Borrower</w:t>
        </w:r>
      </w:hyperlink>
      <w:hyperlink w:anchor="i8f01e0709bfa4c0d9890505dd61fad4a_19">
        <w:r>
          <w:rPr>
            <w:rStyle w:val="InternetLink"/>
          </w:rPr>
          <w:t>    </w:t>
        </w:r>
      </w:hyperlink>
      <w:hyperlink w:anchor="i8f01e0709bfa4c0d9890505dd61fad4a_19">
        <w:r>
          <w:rPr>
            <w:rStyle w:val="InternetLink"/>
          </w:rPr>
          <w:t>96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8.06.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Servicing Fee</w:t>
        </w:r>
      </w:hyperlink>
      <w:hyperlink w:anchor="i8f01e0709bfa4c0d9890505dd61fad4a_19">
        <w:r>
          <w:rPr>
            <w:rStyle w:val="InternetLink"/>
          </w:rPr>
          <w:t>    </w:t>
        </w:r>
      </w:hyperlink>
      <w:hyperlink w:anchor="i8f01e0709bfa4c0d9890505dd61fad4a_19">
        <w:r>
          <w:rPr>
            <w:rStyle w:val="InternetLink"/>
          </w:rPr>
          <w:t>96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IX EVENTS OF DEFAULT</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9.01.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Events of Default</w:t>
        </w:r>
      </w:hyperlink>
      <w:hyperlink w:anchor="i8f01e0709bfa4c0d9890505dd61fad4a_19">
        <w:r>
          <w:rPr>
            <w:rStyle w:val="InternetLink"/>
          </w:rPr>
          <w:t>    </w:t>
        </w:r>
      </w:hyperlink>
      <w:hyperlink w:anchor="i8f01e0709bfa4c0d9890505dd61fad4a_19">
        <w:r>
          <w:rPr>
            <w:rStyle w:val="InternetLink"/>
          </w:rPr>
          <w:t>97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X THE ADMINISTRATIVE AGENT</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Authorization and Action</w:t>
        </w:r>
      </w:hyperlink>
      <w:hyperlink w:anchor="i8f01e0709bfa4c0d9890505dd61fad4a_19">
        <w:r>
          <w:rPr>
            <w:rStyle w:val="InternetLink"/>
          </w:rPr>
          <w:t>    </w:t>
        </w:r>
      </w:hyperlink>
      <w:hyperlink w:anchor="i8f01e0709bfa4c0d9890505dd61fad4a_19">
        <w:r>
          <w:rPr>
            <w:rStyle w:val="InternetLink"/>
          </w:rPr>
          <w:t>100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Administrative Agent’s Reliance, Etc</w:t>
        </w:r>
      </w:hyperlink>
      <w:hyperlink w:anchor="i8f01e0709bfa4c0d9890505dd61fad4a_19">
        <w:r>
          <w:rPr>
            <w:rStyle w:val="InternetLink"/>
          </w:rPr>
          <w:t>    </w:t>
        </w:r>
      </w:hyperlink>
      <w:hyperlink w:anchor="i8f01e0709bfa4c0d9890505dd61fad4a_19">
        <w:r>
          <w:rPr>
            <w:rStyle w:val="InternetLink"/>
          </w:rPr>
          <w:t>101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Administrative Agent and Affiliates</w:t>
        </w:r>
      </w:hyperlink>
      <w:hyperlink w:anchor="i8f01e0709bfa4c0d9890505dd61fad4a_19">
        <w:r>
          <w:rPr>
            <w:rStyle w:val="InternetLink"/>
          </w:rPr>
          <w:t>    </w:t>
        </w:r>
      </w:hyperlink>
      <w:hyperlink w:anchor="i8f01e0709bfa4c0d9890505dd61fad4a_19">
        <w:r>
          <w:rPr>
            <w:rStyle w:val="InternetLink"/>
          </w:rPr>
          <w:t>101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Indemnification of Administrative Agent</w:t>
        </w:r>
      </w:hyperlink>
      <w:hyperlink w:anchor="i8f01e0709bfa4c0d9890505dd61fad4a_19">
        <w:r>
          <w:rPr>
            <w:rStyle w:val="InternetLink"/>
          </w:rPr>
          <w:t>    </w:t>
        </w:r>
      </w:hyperlink>
      <w:hyperlink w:anchor="i8f01e0709bfa4c0d9890505dd61fad4a_19">
        <w:r>
          <w:rPr>
            <w:rStyle w:val="InternetLink"/>
          </w:rPr>
          <w:t>101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Delegation of Duties</w:t>
        </w:r>
      </w:hyperlink>
      <w:hyperlink w:anchor="i8f01e0709bfa4c0d9890505dd61fad4a_19">
        <w:r>
          <w:rPr>
            <w:rStyle w:val="InternetLink"/>
          </w:rPr>
          <w:t>    </w:t>
        </w:r>
      </w:hyperlink>
      <w:hyperlink w:anchor="i8f01e0709bfa4c0d9890505dd61fad4a_19">
        <w:r>
          <w:rPr>
            <w:rStyle w:val="InternetLink"/>
          </w:rPr>
          <w:t>102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Action or Inaction by Administrative Agent</w:t>
        </w:r>
      </w:hyperlink>
      <w:hyperlink w:anchor="i8f01e0709bfa4c0d9890505dd61fad4a_19">
        <w:r>
          <w:rPr>
            <w:rStyle w:val="InternetLink"/>
          </w:rPr>
          <w:t>    </w:t>
        </w:r>
      </w:hyperlink>
      <w:hyperlink w:anchor="i8f01e0709bfa4c0d9890505dd61fad4a_19">
        <w:r>
          <w:rPr>
            <w:rStyle w:val="InternetLink"/>
          </w:rPr>
          <w:t>102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10.07.</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Notice of Events of Default; Action by Administrative Agent</w:t>
        </w:r>
      </w:hyperlink>
      <w:hyperlink w:anchor="i8f01e0709bfa4c0d9890505dd61fad4a_19">
        <w:r>
          <w:rPr>
            <w:rStyle w:val="InternetLink"/>
          </w:rPr>
          <w:t>    </w:t>
        </w:r>
      </w:hyperlink>
      <w:hyperlink w:anchor="i8f01e0709bfa4c0d9890505dd61fad4a_19">
        <w:r>
          <w:rPr>
            <w:rStyle w:val="InternetLink"/>
          </w:rPr>
          <w:t>102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10.08.</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Non-Reliance on Administrative Agent and Other Parties</w:t>
        </w:r>
      </w:hyperlink>
      <w:hyperlink w:anchor="i8f01e0709bfa4c0d9890505dd61fad4a_19">
        <w:r>
          <w:rPr>
            <w:rStyle w:val="InternetLink"/>
          </w:rPr>
          <w:t>    </w:t>
        </w:r>
      </w:hyperlink>
      <w:hyperlink w:anchor="i8f01e0709bfa4c0d9890505dd61fad4a_19">
        <w:r>
          <w:rPr>
            <w:rStyle w:val="InternetLink"/>
          </w:rPr>
          <w:t>102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10.09.</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Successor Administrative Agent</w:t>
        </w:r>
      </w:hyperlink>
      <w:hyperlink w:anchor="i8f01e0709bfa4c0d9890505dd61fad4a_19">
        <w:r>
          <w:rPr>
            <w:rStyle w:val="InternetLink"/>
          </w:rPr>
          <w:t>    </w:t>
        </w:r>
      </w:hyperlink>
      <w:hyperlink w:anchor="i8f01e0709bfa4c0d9890505dd61fad4a_19">
        <w:r>
          <w:rPr>
            <w:rStyle w:val="InternetLink"/>
          </w:rPr>
          <w:t>103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10.10.</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Structuring Agent</w:t>
        </w:r>
      </w:hyperlink>
      <w:hyperlink w:anchor="i8f01e0709bfa4c0d9890505dd61fad4a_19">
        <w:r>
          <w:rPr>
            <w:rStyle w:val="InternetLink"/>
          </w:rPr>
          <w:t>    </w:t>
        </w:r>
      </w:hyperlink>
      <w:hyperlink w:anchor="i8f01e0709bfa4c0d9890505dd61fad4a_19">
        <w:r>
          <w:rPr>
            <w:rStyle w:val="InternetLink"/>
          </w:rPr>
          <w:t>103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10.11.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Erroneous Payment</w:t>
        </w:r>
      </w:hyperlink>
      <w:hyperlink w:anchor="i8f01e0709bfa4c0d9890505dd61fad4a_19">
        <w:r>
          <w:rPr>
            <w:rStyle w:val="InternetLink"/>
          </w:rPr>
          <w:t>    </w:t>
        </w:r>
      </w:hyperlink>
      <w:hyperlink w:anchor="i8f01e0709bfa4c0d9890505dd61fad4a_19">
        <w:r>
          <w:rPr>
            <w:rStyle w:val="InternetLink"/>
          </w:rPr>
          <w:t>103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XI THE GROUP AGENTS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Authorization and Action</w:t>
        </w:r>
      </w:hyperlink>
      <w:hyperlink w:anchor="i8f01e0709bfa4c0d9890505dd61fad4a_19">
        <w:r>
          <w:rPr>
            <w:rStyle w:val="InternetLink"/>
          </w:rPr>
          <w:t>    </w:t>
        </w:r>
      </w:hyperlink>
      <w:hyperlink w:anchor="i8f01e0709bfa4c0d9890505dd61fad4a_19">
        <w:r>
          <w:rPr>
            <w:rStyle w:val="InternetLink"/>
          </w:rPr>
          <w:t>105</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Group Agent’s Reliance, Etc</w:t>
        </w:r>
      </w:hyperlink>
      <w:hyperlink w:anchor="i8f01e0709bfa4c0d9890505dd61fad4a_19">
        <w:r>
          <w:rPr>
            <w:rStyle w:val="InternetLink"/>
          </w:rPr>
          <w:t>    </w:t>
        </w:r>
      </w:hyperlink>
      <w:hyperlink w:anchor="i8f01e0709bfa4c0d9890505dd61fad4a_19">
        <w:r>
          <w:rPr>
            <w:rStyle w:val="InternetLink"/>
          </w:rPr>
          <w:t>105</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Group Agent and Affiliates</w:t>
        </w:r>
      </w:hyperlink>
      <w:hyperlink w:anchor="i8f01e0709bfa4c0d9890505dd61fad4a_19">
        <w:r>
          <w:rPr>
            <w:rStyle w:val="InternetLink"/>
          </w:rPr>
          <w:t>    </w:t>
        </w:r>
      </w:hyperlink>
      <w:hyperlink w:anchor="i8f01e0709bfa4c0d9890505dd61fad4a_19">
        <w:r>
          <w:rPr>
            <w:rStyle w:val="InternetLink"/>
          </w:rPr>
          <w:t>106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Indemnification of Group Agents</w:t>
        </w:r>
      </w:hyperlink>
      <w:hyperlink w:anchor="i8f01e0709bfa4c0d9890505dd61fad4a_19">
        <w:r>
          <w:rPr>
            <w:rStyle w:val="InternetLink"/>
          </w:rPr>
          <w:t>    </w:t>
        </w:r>
      </w:hyperlink>
      <w:hyperlink w:anchor="i8f01e0709bfa4c0d9890505dd61fad4a_19">
        <w:r>
          <w:rPr>
            <w:rStyle w:val="InternetLink"/>
          </w:rPr>
          <w:t>106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Delegation of Duties</w:t>
        </w:r>
      </w:hyperlink>
      <w:hyperlink w:anchor="i8f01e0709bfa4c0d9890505dd61fad4a_19">
        <w:r>
          <w:rPr>
            <w:rStyle w:val="InternetLink"/>
          </w:rPr>
          <w:t>    </w:t>
        </w:r>
      </w:hyperlink>
      <w:hyperlink w:anchor="i8f01e0709bfa4c0d9890505dd61fad4a_19">
        <w:r>
          <w:rPr>
            <w:rStyle w:val="InternetLink"/>
          </w:rPr>
          <w:t>106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Notice of Events of Default</w:t>
        </w:r>
      </w:hyperlink>
      <w:hyperlink w:anchor="i8f01e0709bfa4c0d9890505dd61fad4a_19">
        <w:r>
          <w:rPr>
            <w:rStyle w:val="InternetLink"/>
          </w:rPr>
          <w:t>    </w:t>
        </w:r>
      </w:hyperlink>
      <w:hyperlink w:anchor="i8f01e0709bfa4c0d9890505dd61fad4a_19">
        <w:r>
          <w:rPr>
            <w:rStyle w:val="InternetLink"/>
          </w:rPr>
          <w:t>106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11.07.</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Non-Reliance on Group Agent and Other Parties</w:t>
        </w:r>
      </w:hyperlink>
      <w:hyperlink w:anchor="i8f01e0709bfa4c0d9890505dd61fad4a_19">
        <w:r>
          <w:rPr>
            <w:rStyle w:val="InternetLink"/>
          </w:rPr>
          <w:t>    </w:t>
        </w:r>
      </w:hyperlink>
      <w:hyperlink w:anchor="i8f01e0709bfa4c0d9890505dd61fad4a_19">
        <w:r>
          <w:rPr>
            <w:rStyle w:val="InternetLink"/>
          </w:rPr>
          <w:t>106</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11.08.</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Successor Group Agent</w:t>
        </w:r>
      </w:hyperlink>
      <w:hyperlink w:anchor="i8f01e0709bfa4c0d9890505dd61fad4a_19">
        <w:r>
          <w:rPr>
            <w:rStyle w:val="InternetLink"/>
          </w:rPr>
          <w:t>    </w:t>
        </w:r>
      </w:hyperlink>
      <w:hyperlink w:anchor="i8f01e0709bfa4c0d9890505dd61fad4a_19">
        <w:r>
          <w:rPr>
            <w:rStyle w:val="InternetLink"/>
          </w:rPr>
          <w:t>107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11.09.</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Reliance on Group Agent</w:t>
        </w:r>
      </w:hyperlink>
      <w:hyperlink w:anchor="i8f01e0709bfa4c0d9890505dd61fad4a_19">
        <w:r>
          <w:rPr>
            <w:rStyle w:val="InternetLink"/>
          </w:rPr>
          <w:t>    </w:t>
        </w:r>
      </w:hyperlink>
      <w:hyperlink w:anchor="i8f01e0709bfa4c0d9890505dd61fad4a_19">
        <w:r>
          <w:rPr>
            <w:rStyle w:val="InternetLink"/>
          </w:rPr>
          <w:t>107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XII INDEMNIFICATION</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12.01.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Indemnities by the Borrower</w:t>
        </w:r>
      </w:hyperlink>
      <w:hyperlink w:anchor="i8f01e0709bfa4c0d9890505dd61fad4a_19">
        <w:r>
          <w:rPr>
            <w:rStyle w:val="InternetLink"/>
          </w:rPr>
          <w:t>    </w:t>
        </w:r>
      </w:hyperlink>
      <w:hyperlink w:anchor="i8f01e0709bfa4c0d9890505dd61fad4a_19">
        <w:r>
          <w:rPr>
            <w:rStyle w:val="InternetLink"/>
          </w:rPr>
          <w:t>107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12.02.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Indemnification by the Servicer</w:t>
        </w:r>
      </w:hyperlink>
      <w:hyperlink w:anchor="i8f01e0709bfa4c0d9890505dd61fad4a_19">
        <w:r>
          <w:rPr>
            <w:rStyle w:val="InternetLink"/>
          </w:rPr>
          <w:t>    </w:t>
        </w:r>
      </w:hyperlink>
      <w:hyperlink w:anchor="i8f01e0709bfa4c0d9890505dd61fad4a_19">
        <w:r>
          <w:rPr>
            <w:rStyle w:val="InternetLink"/>
          </w:rPr>
          <w:t>110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ARTICLE XIII MISCELLANEOUS</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Amendments, Etc</w:t>
        </w:r>
      </w:hyperlink>
      <w:hyperlink w:anchor="i8f01e0709bfa4c0d9890505dd61fad4a_19">
        <w:r>
          <w:rPr>
            <w:rStyle w:val="InternetLink"/>
          </w:rPr>
          <w:t>    </w:t>
        </w:r>
      </w:hyperlink>
      <w:hyperlink w:anchor="i8f01e0709bfa4c0d9890505dd61fad4a_19">
        <w:r>
          <w:rPr>
            <w:rStyle w:val="InternetLink"/>
          </w:rPr>
          <w:t>112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Notices, Etc</w:t>
        </w:r>
      </w:hyperlink>
      <w:hyperlink w:anchor="i8f01e0709bfa4c0d9890505dd61fad4a_19">
        <w:r>
          <w:rPr>
            <w:rStyle w:val="InternetLink"/>
          </w:rPr>
          <w:t>    </w:t>
        </w:r>
      </w:hyperlink>
      <w:hyperlink w:anchor="i8f01e0709bfa4c0d9890505dd61fad4a_19">
        <w:r>
          <w:rPr>
            <w:rStyle w:val="InternetLink"/>
          </w:rPr>
          <w:t>113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Assignability; Addition of Lenders; Removal of Lenders</w:t>
        </w:r>
      </w:hyperlink>
      <w:hyperlink w:anchor="i8f01e0709bfa4c0d9890505dd61fad4a_19">
        <w:r>
          <w:rPr>
            <w:rStyle w:val="InternetLink"/>
          </w:rPr>
          <w:t>    </w:t>
        </w:r>
      </w:hyperlink>
      <w:hyperlink w:anchor="i8f01e0709bfa4c0d9890505dd61fad4a_19">
        <w:r>
          <w:rPr>
            <w:rStyle w:val="InternetLink"/>
          </w:rPr>
          <w:t>113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Costs and Expenses</w:t>
        </w:r>
      </w:hyperlink>
      <w:hyperlink w:anchor="i8f01e0709bfa4c0d9890505dd61fad4a_19">
        <w:r>
          <w:rPr>
            <w:rStyle w:val="InternetLink"/>
          </w:rPr>
          <w:t>    </w:t>
        </w:r>
      </w:hyperlink>
      <w:hyperlink w:anchor="i8f01e0709bfa4c0d9890505dd61fad4a_19">
        <w:r>
          <w:rPr>
            <w:rStyle w:val="InternetLink"/>
          </w:rPr>
          <w:t>117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No Proceedings; Limitation on Payments</w:t>
        </w:r>
      </w:hyperlink>
      <w:hyperlink w:anchor="i8f01e0709bfa4c0d9890505dd61fad4a_19">
        <w:r>
          <w:rPr>
            <w:rStyle w:val="InternetLink"/>
          </w:rPr>
          <w:t>    </w:t>
        </w:r>
      </w:hyperlink>
      <w:hyperlink w:anchor="i8f01e0709bfa4c0d9890505dd61fad4a_19">
        <w:r>
          <w:rPr>
            <w:rStyle w:val="InternetLink"/>
          </w:rPr>
          <w:t>117</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Confidentiality</w:t>
        </w:r>
      </w:hyperlink>
      <w:hyperlink w:anchor="i8f01e0709bfa4c0d9890505dd61fad4a_19">
        <w:r>
          <w:rPr>
            <w:rStyle w:val="InternetLink"/>
          </w:rPr>
          <w:t>    </w:t>
        </w:r>
      </w:hyperlink>
      <w:hyperlink w:anchor="i8f01e0709bfa4c0d9890505dd61fad4a_19">
        <w:r>
          <w:rPr>
            <w:rStyle w:val="InternetLink"/>
          </w:rPr>
          <w:t>118</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13.07.</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GOVERNING LAW</w:t>
        </w:r>
      </w:hyperlink>
      <w:hyperlink w:anchor="i8f01e0709bfa4c0d9890505dd61fad4a_19">
        <w:r>
          <w:rPr>
            <w:rStyle w:val="InternetLink"/>
          </w:rPr>
          <w:t>    </w:t>
        </w:r>
      </w:hyperlink>
      <w:hyperlink w:anchor="i8f01e0709bfa4c0d9890505dd61fad4a_19">
        <w:r>
          <w:rPr>
            <w:rStyle w:val="InternetLink"/>
          </w:rPr>
          <w:t>120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13.08.</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Execution in Counterparts</w:t>
        </w:r>
      </w:hyperlink>
      <w:hyperlink w:anchor="i8f01e0709bfa4c0d9890505dd61fad4a_19">
        <w:r>
          <w:rPr>
            <w:rStyle w:val="InternetLink"/>
          </w:rPr>
          <w:t>    </w:t>
        </w:r>
      </w:hyperlink>
      <w:hyperlink w:anchor="i8f01e0709bfa4c0d9890505dd61fad4a_19">
        <w:r>
          <w:rPr>
            <w:rStyle w:val="InternetLink"/>
          </w:rPr>
          <w:t>120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13.09.</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Integration; Binding Effect; Survival of Termination</w:t>
        </w:r>
      </w:hyperlink>
      <w:hyperlink w:anchor="i8f01e0709bfa4c0d9890505dd61fad4a_19">
        <w:r>
          <w:rPr>
            <w:rStyle w:val="InternetLink"/>
          </w:rPr>
          <w:t>    </w:t>
        </w:r>
      </w:hyperlink>
      <w:hyperlink w:anchor="i8f01e0709bfa4c0d9890505dd61fad4a_19">
        <w:r>
          <w:rPr>
            <w:rStyle w:val="InternetLink"/>
          </w:rPr>
          <w:t>120</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13.10.</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CONSENT TO JURISDICTION</w:t>
        </w:r>
      </w:hyperlink>
      <w:hyperlink w:anchor="i8f01e0709bfa4c0d9890505dd61fad4a_19">
        <w:r>
          <w:rPr>
            <w:rStyle w:val="InternetLink"/>
          </w:rPr>
          <w:t>    </w:t>
        </w:r>
      </w:hyperlink>
      <w:hyperlink w:anchor="i8f01e0709bfa4c0d9890505dd61fad4a_19">
        <w:r>
          <w:rPr>
            <w:rStyle w:val="InternetLink"/>
          </w:rPr>
          <w:t>120</w:t>
        </w:r>
      </w:hyperlink>
    </w:p>
    <w:p>
      <w:pPr>
        <w:pStyle w:val="TextBody"/>
        <w:bidi w:val="0"/>
        <w:spacing w:lineRule="auto" w:line="288"/>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13.11.</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WAIVER OF JURY TRIAL</w:t>
        </w:r>
      </w:hyperlink>
      <w:hyperlink w:anchor="i8f01e0709bfa4c0d9890505dd61fad4a_19">
        <w:r>
          <w:rPr>
            <w:rStyle w:val="InternetLink"/>
          </w:rPr>
          <w:t>    </w:t>
        </w:r>
      </w:hyperlink>
      <w:hyperlink w:anchor="i8f01e0709bfa4c0d9890505dd61fad4a_19">
        <w:r>
          <w:rPr>
            <w:rStyle w:val="InternetLink"/>
          </w:rPr>
          <w:t>121</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9920"/>
                <wp:effectExtent l="0" t="0" r="0" b="0"/>
                <wp:wrapNone/>
                <wp:docPr id="62" name="Frame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4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13.12.</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Ratable Payments</w:t>
        </w:r>
      </w:hyperlink>
      <w:hyperlink w:anchor="i8f01e0709bfa4c0d9890505dd61fad4a_19">
        <w:r>
          <w:rPr>
            <w:rStyle w:val="InternetLink"/>
          </w:rPr>
          <w:t>    </w:t>
        </w:r>
      </w:hyperlink>
      <w:hyperlink w:anchor="i8f01e0709bfa4c0d9890505dd61fad4a_19">
        <w:r>
          <w:rPr>
            <w:rStyle w:val="InternetLink"/>
          </w:rPr>
          <w:t>121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13.13.</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Limitation of Liability</w:t>
        </w:r>
      </w:hyperlink>
      <w:hyperlink w:anchor="i8f01e0709bfa4c0d9890505dd61fad4a_19">
        <w:r>
          <w:rPr>
            <w:rStyle w:val="InternetLink"/>
          </w:rPr>
          <w:t>    </w:t>
        </w:r>
      </w:hyperlink>
      <w:hyperlink w:anchor="i8f01e0709bfa4c0d9890505dd61fad4a_19">
        <w:r>
          <w:rPr>
            <w:rStyle w:val="InternetLink"/>
          </w:rPr>
          <w:t>121</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13.14.</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Intent of the Parties</w:t>
        </w:r>
      </w:hyperlink>
      <w:hyperlink w:anchor="i8f01e0709bfa4c0d9890505dd61fad4a_19">
        <w:r>
          <w:rPr>
            <w:rStyle w:val="InternetLink"/>
          </w:rPr>
          <w:t>    </w:t>
        </w:r>
      </w:hyperlink>
      <w:hyperlink w:anchor="i8f01e0709bfa4c0d9890505dd61fad4a_19">
        <w:r>
          <w:rPr>
            <w:rStyle w:val="InternetLink"/>
          </w:rPr>
          <w:t>122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13.15.</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USA Patriot Act</w:t>
        </w:r>
      </w:hyperlink>
      <w:hyperlink w:anchor="i8f01e0709bfa4c0d9890505dd61fad4a_19">
        <w:r>
          <w:rPr>
            <w:rStyle w:val="InternetLink"/>
          </w:rPr>
          <w:t>    </w:t>
        </w:r>
      </w:hyperlink>
      <w:hyperlink w:anchor="i8f01e0709bfa4c0d9890505dd61fad4a_19">
        <w:r>
          <w:rPr>
            <w:rStyle w:val="InternetLink"/>
          </w:rPr>
          <w:t>122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13.16.</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Right of Setoff</w:t>
        </w:r>
      </w:hyperlink>
      <w:hyperlink w:anchor="i8f01e0709bfa4c0d9890505dd61fad4a_19">
        <w:r>
          <w:rPr>
            <w:rStyle w:val="InternetLink"/>
          </w:rPr>
          <w:t>    </w:t>
        </w:r>
      </w:hyperlink>
      <w:hyperlink w:anchor="i8f01e0709bfa4c0d9890505dd61fad4a_19">
        <w:r>
          <w:rPr>
            <w:rStyle w:val="InternetLink"/>
          </w:rPr>
          <w:t>122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13.17.</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Severability</w:t>
        </w:r>
      </w:hyperlink>
      <w:hyperlink w:anchor="i8f01e0709bfa4c0d9890505dd61fad4a_19">
        <w:r>
          <w:rPr>
            <w:rStyle w:val="InternetLink"/>
          </w:rPr>
          <w:t>    </w:t>
        </w:r>
      </w:hyperlink>
      <w:hyperlink w:anchor="i8f01e0709bfa4c0d9890505dd61fad4a_19">
        <w:r>
          <w:rPr>
            <w:rStyle w:val="InternetLink"/>
          </w:rPr>
          <w:t>122</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13.18.</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Mutual Negotiations</w:t>
        </w:r>
      </w:hyperlink>
      <w:hyperlink w:anchor="i8f01e0709bfa4c0d9890505dd61fad4a_19">
        <w:r>
          <w:rPr>
            <w:rStyle w:val="InternetLink"/>
          </w:rPr>
          <w:t>    </w:t>
        </w:r>
      </w:hyperlink>
      <w:hyperlink w:anchor="i8f01e0709bfa4c0d9890505dd61fad4a_19">
        <w:r>
          <w:rPr>
            <w:rStyle w:val="InternetLink"/>
          </w:rPr>
          <w:t>123</w:t>
        </w:r>
      </w:hyperlink>
    </w:p>
    <w:p>
      <w:pPr>
        <w:pStyle w:val="TextBody"/>
        <w:bidi w:val="0"/>
        <w:spacing w:lineRule="auto" w:line="288" w:before="0" w:after="0"/>
        <w:jc w:val="left"/>
        <w:rPr/>
      </w:pPr>
      <w:hyperlink w:anchor="i8f01e0709bfa4c0d9890505dd61fad4a_19">
        <w:r>
          <w:rPr>
            <w:rStyle w:val="InternetLink"/>
            <w:rFonts w:ascii="Times New Roman;serif" w:hAnsi="Times New Roman;serif"/>
            <w:b w:val="false"/>
            <w:strike w:val="false"/>
            <w:dstrike w:val="false"/>
            <w:color w:val="000000"/>
            <w:sz w:val="24"/>
            <w:u w:val="none"/>
            <w:effect w:val="none"/>
          </w:rPr>
          <w:t>SECTION 13.19.</w:t>
        </w:r>
      </w:hyperlink>
      <w:hyperlink w:anchor="i8f01e0709bfa4c0d9890505dd61fad4a_19">
        <w:r>
          <w:rPr>
            <w:rStyle w:val="InternetLink"/>
            <w:strike w:val="false"/>
            <w:dstrike w:val="false"/>
            <w:color w:val="000000"/>
            <w:u w:val="none"/>
            <w:effect w:val="none"/>
          </w:rPr>
          <w:t>    </w:t>
        </w:r>
      </w:hyperlink>
      <w:hyperlink w:anchor="i8f01e0709bfa4c0d9890505dd61fad4a_19">
        <w:r>
          <w:rPr>
            <w:rStyle w:val="InternetLink"/>
          </w:rPr>
          <w:t>Captions and Cross References</w:t>
        </w:r>
      </w:hyperlink>
      <w:hyperlink w:anchor="i8f01e0709bfa4c0d9890505dd61fad4a_19">
        <w:r>
          <w:rPr>
            <w:rStyle w:val="InternetLink"/>
          </w:rPr>
          <w:t>    </w:t>
        </w:r>
      </w:hyperlink>
      <w:hyperlink w:anchor="i8f01e0709bfa4c0d9890505dd61fad4a_19">
        <w:r>
          <w:rPr>
            <w:rStyle w:val="InternetLink"/>
          </w:rPr>
          <w:t>123</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9920"/>
                <wp:effectExtent l="0" t="0" r="0" b="0"/>
                <wp:wrapNone/>
                <wp:docPr id="63"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44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    Form of Loan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    Form of Reduction Notice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Form of Assignment and Acceptance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    Form of Assumption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E        –    Credit and Collection Procedures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    Form of Information Package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        –    Form of Compliance Certificate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H        –    Closing Memorandum</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EXHIBIT I            Form of Interim Report</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        –    Commitments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    –    Lock-Boxes, Collection Accounts and Collection Account Banks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III    –    Notice Addresses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IV    –    Excluded Obligors and Originators</w:t>
      </w:r>
    </w:p>
    <w:p>
      <w:pPr>
        <w:pStyle w:val="TextBody"/>
        <w:bidi w:val="0"/>
        <w:spacing w:before="0" w:after="19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9920"/>
                <wp:effectExtent l="0" t="0" r="0" b="0"/>
                <wp:wrapNone/>
                <wp:docPr id="64"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RECEIVABLES FINANCING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December 21, 2018 by and among the following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INTEGRA RECEIVABLES LLC, a Delaware limited liability company, as Borrower (together with its successors and assigns,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Persons from time to time party hereto as Lenders and as Group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PNC BANK, NATIONAL ASSOCIATION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as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INTEGRA LIFESCIENCES SALES LLC, a Delaware limited liability company, in its individual capacity (“</w:t>
      </w:r>
      <w:r>
        <w:rPr>
          <w:rFonts w:ascii="Times New Roman;serif" w:hAnsi="Times New Roman;serif"/>
          <w:b w:val="false"/>
          <w:color w:val="000000"/>
          <w:sz w:val="24"/>
          <w:u w:val="single"/>
        </w:rPr>
        <w:t>Integra Sales</w:t>
      </w:r>
      <w:r>
        <w:rPr>
          <w:color w:val="000000"/>
        </w:rPr>
        <w:t>”</w:t>
      </w:r>
      <w:r>
        <w:rPr>
          <w:rFonts w:ascii="Times New Roman;serif" w:hAnsi="Times New Roman;serif"/>
          <w:b w:val="false"/>
          <w:color w:val="000000"/>
          <w:sz w:val="24"/>
        </w:rPr>
        <w:t>) and as initial servicer (in such capacity, together with its successors and assigns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PNC CAPITAL MARKETS LLC, a Pennsylvania limited liability company, as Structuring Agent.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PRELIMINARY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 has acquired, and will acquire from time to time, Receivables from the Originator(s) pursuant to the Purchase and Sale Agreement. The Borrower has requested that the Lenders make Loans from time to time to the Borrower, on the terms, and subject to the conditions set forth herein, secured by, among other things, the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agreements, provisions and covenants contained herein, the sufficiency of which is hereby acknowledged, the parties hereto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b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As used in this Agreement, the following terms shall have the following meanings (such meanings to be equally applicable to both the singular and plural forms of the terms defined):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Account Control Agreement</w:t>
      </w:r>
      <w:r>
        <w:rPr>
          <w:color w:val="000000"/>
        </w:rPr>
        <w:t xml:space="preserve">” </w:t>
      </w:r>
      <w:r>
        <w:rPr>
          <w:rFonts w:ascii="Times New Roman;serif" w:hAnsi="Times New Roman;serif"/>
          <w:b w:val="false"/>
          <w:color w:val="000000"/>
          <w:sz w:val="24"/>
        </w:rPr>
        <w:t>means each agreement, in form and substance satisfactory to the Administrative Agent, among the Borrower, the Servicer (if applicable), the Administrative Agent and a Collection Account Bank, governing the terms of the related Collection Accounts that (i) provides the Administrative Agent with control within the meaning of the UCC over the deposit accounts subject to such agreement and (ii) by its terms, may not be terminated or canceled by the related Collection Account Bank without the written consent of the Administrative Agent or upon no less than sixty (60) calendar days’ prior written notice to the Administrative Agent, as the same may be amended, restated, supplemented or otherwise modified from time to time.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Adjusted Net Receivables Pool Balance</w:t>
      </w:r>
      <w:r>
        <w:rPr>
          <w:color w:val="000000"/>
        </w:rPr>
        <w:t xml:space="preserve">” </w:t>
      </w:r>
      <w:r>
        <w:rPr>
          <w:rFonts w:ascii="Times New Roman;serif" w:hAnsi="Times New Roman;serif"/>
          <w:b w:val="false"/>
          <w:color w:val="000000"/>
          <w:sz w:val="24"/>
        </w:rPr>
        <w:t>means an amount equal to (a) the Net Receivables Pool Balance minus (b) the greater of (i) the Specifically Reserved Dilution Amount and (ii)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 xml:space="preserve">means PNC, in its capacity as contractual representative for the Credit Parties, and any successor thereto in such capacity appointed pursuant to </w:t>
      </w:r>
      <w:r>
        <w:rPr>
          <w:rFonts w:ascii="Times New Roman;serif" w:hAnsi="Times New Roman;serif"/>
          <w:b w:val="false"/>
          <w:color w:val="000000"/>
          <w:sz w:val="24"/>
          <w:u w:val="single"/>
        </w:rPr>
        <w:t>Article X or Section 13.03(g)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Adverse Claim</w:t>
      </w:r>
      <w:r>
        <w:rPr>
          <w:color w:val="000000"/>
        </w:rPr>
        <w:t xml:space="preserve">” </w:t>
      </w:r>
      <w:r>
        <w:rPr>
          <w:rFonts w:ascii="Times New Roman;serif" w:hAnsi="Times New Roman;serif"/>
          <w:b w:val="false"/>
          <w:color w:val="000000"/>
          <w:sz w:val="24"/>
        </w:rPr>
        <w:t>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it being understood that any of the foregoing in favor of, or assigned to, the Administrative Agent (for the benefit of the Secured Parties) shall not constitute an Adverse Claim.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Advisors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13.06(c)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Affected Person</w:t>
      </w:r>
      <w:r>
        <w:rPr>
          <w:color w:val="000000"/>
        </w:rPr>
        <w:t xml:space="preserve">” </w:t>
      </w:r>
      <w:r>
        <w:rPr>
          <w:rFonts w:ascii="Times New Roman;serif" w:hAnsi="Times New Roman;serif"/>
          <w:b w:val="false"/>
          <w:color w:val="000000"/>
          <w:sz w:val="24"/>
        </w:rPr>
        <w:t>means each Credit Party, each Program Support Provider, each Liquidity Agent and each of their respective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as to any Person: (a) any Person that, directly or indirectly, is in control of, is controlled by or is under common control with such Person or (b) who is a director or officer: (i) of such Person or (ii) of any Person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except that, in the case of each Conduit Lender, Affiliate shall mean the holder(s) of its Capital Stock or membership interests, as the case may be. For purposes of this definition, control of a Person shall mean the power, direct or indirect, whether or not exercised: (x) to vote 25% or more of the securities having ordinary voting power for the election of directors or managers of such Person or (y) to direct or cause the direction of the management and policies of such Person, in either case whether by ownership of securities, contract, proxy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Capital</w:t>
      </w:r>
      <w:r>
        <w:rPr>
          <w:color w:val="000000"/>
        </w:rPr>
        <w:t xml:space="preserve">” </w:t>
      </w:r>
      <w:r>
        <w:rPr>
          <w:rFonts w:ascii="Times New Roman;serif" w:hAnsi="Times New Roman;serif"/>
          <w:b w:val="false"/>
          <w:color w:val="000000"/>
          <w:sz w:val="24"/>
        </w:rPr>
        <w:t>means, at any time of determination, the aggregate outstanding Capital of all Lenders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Interest</w:t>
      </w:r>
      <w:r>
        <w:rPr>
          <w:color w:val="000000"/>
        </w:rPr>
        <w:t xml:space="preserve">” </w:t>
      </w:r>
      <w:r>
        <w:rPr>
          <w:rFonts w:ascii="Times New Roman;serif" w:hAnsi="Times New Roman;serif"/>
          <w:b w:val="false"/>
          <w:color w:val="000000"/>
          <w:sz w:val="24"/>
        </w:rPr>
        <w:t>means, at any time of determination, the aggregate accrued and unpaid Interest on the Loans of all Lenders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Alternative Currency</w:t>
      </w:r>
      <w:r>
        <w:rPr>
          <w:color w:val="000000"/>
        </w:rPr>
        <w:t xml:space="preserve">” </w:t>
      </w:r>
      <w:r>
        <w:rPr>
          <w:rFonts w:ascii="Times New Roman;serif" w:hAnsi="Times New Roman;serif"/>
          <w:b w:val="false"/>
          <w:color w:val="000000"/>
          <w:sz w:val="24"/>
        </w:rPr>
        <w:t>means each of Euro and GBP.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means (a) the U.S. Foreign Corrupt Practices Act of 1977, as amended; (b) the U.K. Bribery Act 2010, as amended; and (c) any other Applicable Law relating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anti-bribery or anti-corruption in any jurisdiction in which any Credit Party is located or doing business.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Anti-Money Laundering Laws</w:t>
      </w:r>
      <w:r>
        <w:rPr>
          <w:color w:val="000000"/>
        </w:rPr>
        <w:t xml:space="preserve">” </w:t>
      </w:r>
      <w:r>
        <w:rPr>
          <w:rFonts w:ascii="Times New Roman;serif" w:hAnsi="Times New Roman;serif"/>
          <w:b w:val="false"/>
          <w:color w:val="000000"/>
          <w:sz w:val="24"/>
        </w:rPr>
        <w:t>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as amended; and (c) any other Applicable Law relating to anti-money laundering and countering the financing of terrorism and related financial record keeping and reporting requirements in any jurisdiction in which any Loan Party is located or doing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Law</w:t>
      </w:r>
      <w:r>
        <w:rPr>
          <w:color w:val="000000"/>
        </w:rPr>
        <w:t xml:space="preserve">” </w:t>
      </w:r>
      <w:r>
        <w:rPr>
          <w:rFonts w:ascii="Times New Roman;serif" w:hAnsi="Times New Roman;serif"/>
          <w:b w:val="false"/>
          <w:color w:val="000000"/>
          <w:sz w:val="24"/>
        </w:rPr>
        <w:t>means, with respect to any Person, (x) all provisions of law, statute, treaty, constitution, ordinance, rule, regulation, ordinance, requirement, restriction, permit, executive order, certificate, decision, directive or order of any Official Body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and Acceptance Agreement</w:t>
      </w:r>
      <w:r>
        <w:rPr>
          <w:color w:val="000000"/>
        </w:rPr>
        <w:t xml:space="preserve">” </w:t>
      </w:r>
      <w:r>
        <w:rPr>
          <w:rFonts w:ascii="Times New Roman;serif" w:hAnsi="Times New Roman;serif"/>
          <w:b w:val="false"/>
          <w:color w:val="000000"/>
          <w:sz w:val="24"/>
        </w:rPr>
        <w:t xml:space="preserve">means an assignment and acceptance agreement entered into by a Committed Lender, an Eligible Assignee, such Committed Lender’s Group Agent and the Administrative Agent, and, if required, the Borrower, pursuant to which such Eligible Assignee may become a party to this Agreement, in substantially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Assumption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13.03(i)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Attorney Costs</w:t>
      </w:r>
      <w:r>
        <w:rPr>
          <w:color w:val="000000"/>
        </w:rPr>
        <w:t xml:space="preserve">” </w:t>
      </w:r>
      <w:r>
        <w:rPr>
          <w:rFonts w:ascii="Times New Roman;serif" w:hAnsi="Times New Roman;serif"/>
          <w:b w:val="false"/>
          <w:color w:val="000000"/>
          <w:sz w:val="24"/>
        </w:rPr>
        <w:t>means and includes all fees, costs, expenses and disbursements of any law firm or other external counsel and all disbursements of internal counsel.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if such Benchmark (a) is Term SOFR or Daily 1M SOFR, one (1) month, and (b)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w:t>
      </w:r>
      <w:r>
        <w:rPr>
          <w:rFonts w:ascii="Times New Roman;serif" w:hAnsi="Times New Roman;serif"/>
          <w:b w:val="false"/>
          <w:color w:val="000000"/>
          <w:sz w:val="24"/>
          <w:u w:val="single"/>
        </w:rPr>
        <w:t>Section 4.06(d)(iv)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means the United States Bankruptcy Reform Act of 1978 (11 U.S.C. § 101, et seq.),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means, for any day and any Lender, a fluctuating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as shall be in effect from time to time, which rate shall be at all times equal to the greater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(a)the rate of interest in effect for such day as publicly announced from time to time by the applicable Group Agent or its Affiliate as its “reference rate” or “prime rate”, as applicable. Such “reference rate” or “prime rate” is set by the applicable Group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(b)a half percent (0.50%)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above the latest Overnight Bank Funding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 Loan</w:t>
      </w:r>
      <w:r>
        <w:rPr>
          <w:color w:val="000000"/>
        </w:rPr>
        <w:t xml:space="preserve">” </w:t>
      </w:r>
      <w:r>
        <w:rPr>
          <w:rFonts w:ascii="Times New Roman;serif" w:hAnsi="Times New Roman;serif"/>
          <w:b w:val="false"/>
          <w:color w:val="000000"/>
          <w:sz w:val="24"/>
        </w:rPr>
        <w:t>means a Loan bearing interest at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the Term SOFR Rate or the Daily SOFR Rate, as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 Benchmark Transition Event has occurred with respect to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4.06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sum of: (A) Daily Simple SOFR, and (B) the SOFR Adjustment;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the Benchmark Replacement as determined pursuant to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above would be less than the Floor, the Benchmark Replacement will be deemed to be the Floor for the purposes of this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 xml:space="preserve">means a date and time determined by the Administrative Agent, which date shall be no later than the earliest to occur of the following events with respect to the then-current Benchmark: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in the case of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the definition of “Benchmark Transition Event,” the date determined by the Administrative Agent, which date shall promptly follow the date of the public statement or publication of information referenced therein;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if such Benchmark is a term rate or is based on a term rate, the “Benchmark Replacement Date” will be deemed to have occurred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Transaction Document in accordance with </w:t>
      </w:r>
      <w:r>
        <w:rPr>
          <w:rFonts w:ascii="Times New Roman;serif" w:hAnsi="Times New Roman;serif"/>
          <w:b w:val="false"/>
          <w:color w:val="000000"/>
          <w:sz w:val="24"/>
          <w:u w:val="single"/>
        </w:rPr>
        <w:t>Section 4.06(d)</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Transaction Document in accordance with </w:t>
      </w:r>
      <w:r>
        <w:rPr>
          <w:rFonts w:ascii="Times New Roman;serif" w:hAnsi="Times New Roman;serif"/>
          <w:b w:val="false"/>
          <w:color w:val="000000"/>
          <w:sz w:val="24"/>
          <w:u w:val="single"/>
        </w:rPr>
        <w:t>Section 4.06(d)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 xml:space="preserve">has the meaning specified in the </w:t>
      </w:r>
      <w:r>
        <w:rPr>
          <w:rFonts w:ascii="Times New Roman;serif" w:hAnsi="Times New Roman;serif"/>
          <w:b w:val="false"/>
          <w:color w:val="000000"/>
          <w:sz w:val="24"/>
          <w:u w:val="single"/>
        </w:rPr>
        <w:t>preamble to this Agreement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 Indemnified Amounts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 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 Obligations</w:t>
      </w:r>
      <w:r>
        <w:rPr>
          <w:color w:val="000000"/>
        </w:rPr>
        <w:t xml:space="preserve">” </w:t>
      </w:r>
      <w:r>
        <w:rPr>
          <w:rFonts w:ascii="Times New Roman;serif" w:hAnsi="Times New Roman;serif"/>
          <w:b w:val="false"/>
          <w:color w:val="000000"/>
          <w:sz w:val="24"/>
        </w:rPr>
        <w:t>means all present and future indebtedness, reimbursement obligations, and other liabilities and obligations (howsoever created, arising or evidenced, whether direct or indirect, absolute or contingent, or due or to become due) of the Borrower to any Credit Party, Borrower Indemnified Party and/or any Affected Person, arising under or in connection with this Agreement or any other Transaction Document or the transactions contemplated hereby or thereby, and shall include, without limitation, all Capital and Interest on the Loans,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Borrower (in each case whether or not allowed as a claim in such proceeding).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Borrower’s Net Worth</w:t>
      </w:r>
      <w:r>
        <w:rPr>
          <w:color w:val="000000"/>
        </w:rPr>
        <w:t xml:space="preserve">” </w:t>
      </w:r>
      <w:r>
        <w:rPr>
          <w:rFonts w:ascii="Times New Roman;serif" w:hAnsi="Times New Roman;serif"/>
          <w:b w:val="false"/>
          <w:color w:val="000000"/>
          <w:sz w:val="24"/>
        </w:rPr>
        <w:t xml:space="preserve">means, at any time of determination, an amount equal to (i) the Outstanding Balance of all Pool Receivables at such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 the sum of (A) the Aggregate Capital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Interest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aggregate accrued and unpaid Fees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aggregate outstanding principal balance of all Subordinated Notes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(E) the aggregate accrued and unpaid interest on all Subordinated Notes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(F) without duplication, the aggregate accrued and unpaid other Borrower Obligations at such time.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 xml:space="preserve">means, at any time of determination, the amount equal to the lesser of (a) the Facility Limit and (b) an amount equal to (i) the Adjusted Net Receivables Pool Balance at such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 the Total Reserves at such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Base Deficit</w:t>
      </w:r>
      <w:r>
        <w:rPr>
          <w:color w:val="000000"/>
        </w:rPr>
        <w:t xml:space="preserve">” </w:t>
      </w:r>
      <w:r>
        <w:rPr>
          <w:rFonts w:ascii="Times New Roman;serif" w:hAnsi="Times New Roman;serif"/>
          <w:b w:val="false"/>
          <w:color w:val="000000"/>
          <w:sz w:val="24"/>
        </w:rPr>
        <w:t xml:space="preserve">means, at any time of determination, the amount, if any, by which (a) the Aggregate Capital at such time,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(b) the Borrowing Base at such time, or, in each case, if such day is not a Business Day, then the immediately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Boston Recall Credit Memoranda</w:t>
      </w:r>
      <w:r>
        <w:rPr>
          <w:color w:val="000000"/>
        </w:rPr>
        <w:t xml:space="preserve">” </w:t>
      </w:r>
      <w:r>
        <w:rPr>
          <w:rFonts w:ascii="Times New Roman;serif" w:hAnsi="Times New Roman;serif"/>
          <w:b w:val="false"/>
          <w:color w:val="000000"/>
          <w:sz w:val="24"/>
        </w:rPr>
        <w:t>means each non-contractual credit memorandum in the amount of (i) nine hundred sixty one thousand two hundred fifty one dollars ($961,251) dated as of July 2023, (ii) two million nine hundred thirty three thousand five hundred eighty eight dollars ($2,933,588) dated as of August 2023, (iii) two million nineteen thousand ninety dollars ($2,019,090) dated as of September 2023 and (iv) three hundred seventeen thousand six hundred eight dollars ($317,608) dated as of October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Breakage Fee</w:t>
      </w:r>
      <w:r>
        <w:rPr>
          <w:color w:val="000000"/>
        </w:rPr>
        <w:t xml:space="preserve">” </w:t>
      </w:r>
      <w:r>
        <w:rPr>
          <w:rFonts w:ascii="Times New Roman;serif" w:hAnsi="Times New Roman;serif"/>
          <w:b w:val="false"/>
          <w:color w:val="000000"/>
          <w:sz w:val="24"/>
        </w:rPr>
        <w:t xml:space="preserve">means (i) for any Interest Period for which Interest is computed by reference to the CP Rate, the Term SOFR Rate or the Daily SOFR Rate, as applicable, and a reduction of Capital is made for any reason on any day other than a Settlement Date or (ii) to the extent that the Borrower shall for any reason, fail to borrow on the date specified by the Borrower in connection with any request for funding pursuant to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this Agreement, the amount, if any, by which (A) the additional Interest (calculated without taking into account any Breakage Fee or any shortened duration of such Interest Period pursuant to the definition thereof) which would have accrued during such Interest Period (or, in the case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until the maturity of the underlying Note) on the reductions of Capital relating to such Interest Period had such reductions not been made (or, in the case of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the amounts so failed to be borrowed or accepted in connection with any such request for funding by the Borrower), exceeds (B) the income, if any, received by the applicable Lender from the investment of the proceeds of such reductions of Capital (or such amounts failed to be borrowed by the Borrower). A certificate as to the amount of any Breakage Fee (including the computation of such amount) shall be submitted by the affected Lender (or applicable Group Agent on its behalf) to the Borrower and shall be conclusive and binding for all purposes, absent manifest error.</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val="false"/>
          <w:color w:val="000000"/>
          <w:sz w:val="24"/>
          <w:u w:val="single"/>
        </w:rPr>
        <w:t>Business Day” means any day other than a Saturday or Sunday or a legal holiday on which commercial banks are authorized or required to be closed, or are in fact closed, for business in Pittsburgh, Pennsylvania or New York, New York (or, if otherwise, any day other than a Saturday or Sunday or a legal holiday on which the lending office of the Administrative Agent is authorized or required to be closed, or is in fact closed, for business); provided, 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w:t>
      </w:r>
      <w:r>
        <w:rPr>
          <w:color w:val="000000"/>
        </w:rPr>
        <w:t xml:space="preserve">” </w:t>
      </w:r>
      <w:r>
        <w:rPr>
          <w:rFonts w:ascii="Times New Roman;serif" w:hAnsi="Times New Roman;serif"/>
          <w:b w:val="false"/>
          <w:color w:val="000000"/>
          <w:sz w:val="24"/>
        </w:rPr>
        <w:t xml:space="preserve">means, with respect to any Lender, without duplication, the aggregate amounts paid to, or on behalf of, the Borrower in connection with all Loans made by such Lender pursuant to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as reduced from time to time by Collections distributed and applied on account of such Capital pursuant to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Capital shall have been reduced by any distribution and thereafter all or a portion of such distribution is rescinded 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must otherwise be returned for any reason, such Capital shall be increased by the amount of such rescinded or returned distribution as though it had not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(a)an Originator ceases to own, directly, 100% of the issued and outstanding Capital Stock and all other equity interests of the Borrower free and clear of all Adverse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Parent ceases to own, directly or indirectly, 100% of the issued and outstanding Capital Stock, membership interests or other equity interests of any Originator free and clear of all Adverse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Subordinated Note shall at any time cease to be owned by an Originator, free and clear of all Adverse Claims;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(d)with respect to the Parent: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Person (or two or more Persons acting in concert) shall have acquired by contract or otherwise, or shall have entered into a contract or arrangement that, upon consummation thereof, will result in its or their acquisition of control over Voting Securities of the Borrower on a fully-diluted basis assuming the conversion and/or exercise of all outstanding Equity Interests of the Parent owned by such Person or Persons representing thirty percent (30%) or more of the combined voting power of all Voting Securities of the Parent;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(ii)during any period of twenty four (24) consecutive months, a majority of the members of the board of directors or other equivalent governing body of the Parent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equivalent governing body was approved by individuals referred to in clauses (i) and (ii) above constituting at the time of such election or nomination at least a majority of that board or equivalent governing body.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the occurrence, after the Closing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Official Body or (c) the making or issuance of any request, rule, guideline or directive (whether or not having the force of law) by any Official Body;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notwithstanding anything herein to the contrary, (w) the final rule titled </w:t>
      </w:r>
      <w:r>
        <w:rPr>
          <w:rFonts w:ascii="Times New Roman;serif" w:hAnsi="Times New Roman;serif"/>
          <w:b w:val="false"/>
          <w:i/>
          <w:color w:val="000000"/>
          <w:sz w:val="24"/>
        </w:rPr>
        <w:t>Risk-Based Capital Guidelines; Capital Adequacy Guidelines; Capital Maintenance: Regulatory Capital; Impact of Modifications to Generally Accepted Accounting Principles; Consolidation of Asset-Backed Commercial Paper Programs; and Other Related Issues</w:t>
      </w:r>
      <w:r>
        <w:rPr>
          <w:rFonts w:ascii="Times New Roman;serif" w:hAnsi="Times New Roman;serif"/>
          <w:b w:val="false"/>
          <w:color w:val="000000"/>
          <w:sz w:val="24"/>
        </w:rPr>
        <w:t>, adopted by the United States 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December 21, 2018.</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reformed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w:t>
      </w:r>
      <w:r>
        <w:rPr>
          <w:color w:val="000000"/>
        </w:rPr>
        <w:t xml:space="preserve">” </w:t>
      </w:r>
      <w:r>
        <w:rPr>
          <w:rFonts w:ascii="Times New Roman;serif" w:hAnsi="Times New Roman;serif"/>
          <w:b w:val="false"/>
          <w:color w:val="000000"/>
          <w:sz w:val="24"/>
        </w:rPr>
        <w:t>means each account listed on Schedule II to this Agreement (as such schedule may be modified from time to time in connection with the closing or opening of any Collection Account in accordance with the terms hereof), in each case, in the name of the Borrower and maintained at a bank or other financial institution acting as a Collection Account Bank pursuant to an Account Control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 Bank</w:t>
      </w:r>
      <w:r>
        <w:rPr>
          <w:color w:val="000000"/>
        </w:rPr>
        <w:t xml:space="preserve">” </w:t>
      </w:r>
      <w:r>
        <w:rPr>
          <w:rFonts w:ascii="Times New Roman;serif" w:hAnsi="Times New Roman;serif"/>
          <w:b w:val="false"/>
          <w:color w:val="000000"/>
          <w:sz w:val="24"/>
        </w:rPr>
        <w:t>means any of the banks or other financial institutions holding one or more Collection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Collections</w:t>
      </w:r>
      <w:r>
        <w:rPr>
          <w:color w:val="000000"/>
        </w:rPr>
        <w:t xml:space="preserve">” </w:t>
      </w:r>
      <w:r>
        <w:rPr>
          <w:rFonts w:ascii="Times New Roman;serif" w:hAnsi="Times New Roman;serif"/>
          <w:b w:val="false"/>
          <w:color w:val="000000"/>
          <w:sz w:val="24"/>
        </w:rPr>
        <w:t>means, with respect to any Pool Receivable: (a) all funds that are received by any Integra Party or any other Person on their behalf in payment of any amounts owed in respect of such Pool Receivable (including purchase price, finance charges, interest and all other charges), or applied to amounts owed in respect of such Pool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and (d) all other proceeds of such Pool Receivable.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any Committed Lender (including a Related Committed Lender), the maximum aggregate amount which such Person is obligated to lend or pay hereunder on account of all Loans, on a combined basis, as set forth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or in the Assumption Agreement or other agreement pursuant to which it became a Lender, as such amount may be modified in connection with any subsequent assignment pursuant to </w:t>
      </w:r>
      <w:r>
        <w:rPr>
          <w:rFonts w:ascii="Times New Roman;serif" w:hAnsi="Times New Roman;serif"/>
          <w:b w:val="false"/>
          <w:color w:val="000000"/>
          <w:sz w:val="24"/>
          <w:u w:val="single"/>
        </w:rPr>
        <w:t>Section 13.03</w:t>
      </w:r>
      <w:r>
        <w:rPr>
          <w:color w:val="000000"/>
        </w:rPr>
        <w:t xml:space="preserve"> </w:t>
      </w:r>
      <w:r>
        <w:rPr>
          <w:rFonts w:ascii="Times New Roman;serif" w:hAnsi="Times New Roman;serif"/>
          <w:b w:val="false"/>
          <w:color w:val="000000"/>
          <w:sz w:val="24"/>
        </w:rPr>
        <w:t xml:space="preserve">or in connection with a reduction in the Facility Limit pursuant to </w:t>
      </w:r>
      <w:r>
        <w:rPr>
          <w:rFonts w:ascii="Times New Roman;serif" w:hAnsi="Times New Roman;serif"/>
          <w:b w:val="false"/>
          <w:color w:val="000000"/>
          <w:sz w:val="24"/>
          <w:u w:val="single"/>
        </w:rPr>
        <w:t>Section 2.02(e)</w:t>
      </w:r>
      <w:r>
        <w:rPr>
          <w:rFonts w:ascii="Times New Roman;serif" w:hAnsi="Times New Roman;serif"/>
          <w:b w:val="false"/>
          <w:color w:val="000000"/>
          <w:sz w:val="24"/>
        </w:rPr>
        <w:t>. If the context so requires, “Commitment” also refers to a Committed Lender’s obligation to make Loans hereunder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Committed Lenders</w:t>
      </w:r>
      <w:r>
        <w:rPr>
          <w:color w:val="000000"/>
        </w:rPr>
        <w:t xml:space="preserve">” </w:t>
      </w:r>
      <w:r>
        <w:rPr>
          <w:rFonts w:ascii="Times New Roman;serif" w:hAnsi="Times New Roman;serif"/>
          <w:b w:val="false"/>
          <w:color w:val="000000"/>
          <w:sz w:val="24"/>
        </w:rPr>
        <w:t>means PNC and each other Person that is or becomes a party to this Agreement in the capacity of a “Committed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Compliance Authority</w:t>
      </w:r>
      <w:r>
        <w:rPr>
          <w:color w:val="000000"/>
        </w:rPr>
        <w:t xml:space="preserve">” </w:t>
      </w:r>
      <w:r>
        <w:rPr>
          <w:rFonts w:ascii="Times New Roman;serif" w:hAnsi="Times New Roman;serif"/>
          <w:b w:val="false"/>
          <w:color w:val="000000"/>
          <w:sz w:val="24"/>
        </w:rPr>
        <w:t>means (a) any Official Body of the United States (including, but not limited to, the U.S. Department of the Treasury and OFAC and the U.S. Department of State), the European Union, the United Kingdom, or Canada; (b) the United Nations Security Council; and (c) any other Official Body with jurisdiction over the parties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Percentage</w:t>
      </w:r>
      <w:r>
        <w:rPr>
          <w:color w:val="000000"/>
        </w:rPr>
        <w:t xml:space="preserve">” </w:t>
      </w:r>
      <w:r>
        <w:rPr>
          <w:rFonts w:ascii="Times New Roman;serif" w:hAnsi="Times New Roman;serif"/>
          <w:b w:val="false"/>
          <w:color w:val="000000"/>
          <w:sz w:val="24"/>
        </w:rPr>
        <w:t>means (a) for any Group A Obligor, twenty percent (20.00%), (b) for any Group B Obligor, fifteen percent (15.00%), (c) for any Group C Obligor, ten percent (10.00%), (d) for the largest Group D Obligor, five percent (5.00%) and (e) for any Group D Obligor (excluding the largest Group D Obligor), three percent (3.00%).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Reserve Percentage</w:t>
      </w:r>
      <w:r>
        <w:rPr>
          <w:color w:val="000000"/>
        </w:rPr>
        <w:t xml:space="preserve">” </w:t>
      </w:r>
      <w:r>
        <w:rPr>
          <w:rFonts w:ascii="Times New Roman;serif" w:hAnsi="Times New Roman;serif"/>
          <w:b w:val="false"/>
          <w:color w:val="000000"/>
          <w:sz w:val="24"/>
        </w:rPr>
        <w:t>means, at any time of determination, the largest of: (a) the sum of the four (4) largest Obligor Percentages of the Group D Obligors, (b) the sum of the two (2) largest Obligor Percentages of the Group C Obligors, (c) the largest Obligor Percentage of the Group B Obligors and (d) twelve percent (12.00%).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Conduit Lender</w:t>
      </w:r>
      <w:r>
        <w:rPr>
          <w:color w:val="000000"/>
        </w:rPr>
        <w:t xml:space="preserve">” </w:t>
      </w:r>
      <w:r>
        <w:rPr>
          <w:rFonts w:ascii="Times New Roman;serif" w:hAnsi="Times New Roman;serif"/>
          <w:b w:val="false"/>
          <w:color w:val="000000"/>
          <w:sz w:val="24"/>
        </w:rPr>
        <w:t>means each commercial paper conduit that is or becomes a party to this Agreement in the capacity of a “Conduit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Term SOFR or Daily 1M SOFR, as applicable,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any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Transaction Documents).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Total Leverage Ratio</w:t>
      </w:r>
      <w:r>
        <w:rPr>
          <w:color w:val="000000"/>
        </w:rPr>
        <w:t xml:space="preserve">” </w:t>
      </w:r>
      <w:r>
        <w:rPr>
          <w:rFonts w:ascii="Times New Roman;serif" w:hAnsi="Times New Roman;serif"/>
          <w:b w:val="false"/>
          <w:color w:val="000000"/>
          <w:sz w:val="24"/>
        </w:rPr>
        <w:t>shall have the same meaning attributed to such term in the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Controlled Group</w:t>
      </w:r>
      <w:r>
        <w:rPr>
          <w:color w:val="000000"/>
        </w:rPr>
        <w:t xml:space="preserve">” </w:t>
      </w:r>
      <w:r>
        <w:rPr>
          <w:rFonts w:ascii="Times New Roman;serif" w:hAnsi="Times New Roman;serif"/>
          <w:b w:val="false"/>
          <w:color w:val="000000"/>
          <w:sz w:val="24"/>
        </w:rPr>
        <w:t>means all members of a controlled group of corporations or other business entities and all trades or businesses (whether or not incorporated) under common control which, together with Parent or any of its Subsidiaries, are treated as a single employer under Section 414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 xml:space="preserve">means (a) each Integra Party, the Parent and each of Parent’s Subsidiaries and (b) each Person that, directly or indirectly, controls (as such term is defined by any Compliance Authority) a Person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Property</w:t>
      </w:r>
      <w:r>
        <w:rPr>
          <w:color w:val="000000"/>
        </w:rPr>
        <w:t xml:space="preserve">” </w:t>
      </w:r>
      <w:r>
        <w:rPr>
          <w:rFonts w:ascii="Times New Roman;serif" w:hAnsi="Times New Roman;serif"/>
          <w:b w:val="false"/>
          <w:color w:val="000000"/>
          <w:sz w:val="24"/>
        </w:rPr>
        <w:t>means any property: (a) required to be reported as blocked property under 31 C.F.R. § 501.603, as amended; (b) owned, directly or indirectly, by, or due to or from, a Sanctioned Person subject to blocking or comprehensive Sanctions; (c) in which a Sanctioned Person subject to blocking or comprehensive Sanctions otherwise holds any interest; (d) located or originated in, or otherwise subject to restrictions due to its ties to, a Sanctioned Jurisdiction or (e) that otherwise could cause any actual or potential violation by the Lenders, the Group Agents or the Administrative Agent of any applicable International Trade Law if the Lenders, the Group Agents or the Administrative Agent were to obtain an encumbrance on, lien on, pledge, or security interest in such property, or provide services in consideration of such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CP Rate</w:t>
      </w:r>
      <w:r>
        <w:rPr>
          <w:color w:val="000000"/>
        </w:rPr>
        <w:t xml:space="preserve">” </w:t>
      </w:r>
      <w:r>
        <w:rPr>
          <w:rFonts w:ascii="Times New Roman;serif" w:hAnsi="Times New Roman;serif"/>
          <w:b w:val="false"/>
          <w:color w:val="000000"/>
          <w:sz w:val="24"/>
        </w:rPr>
        <w:t xml:space="preserve">means, for any Conduit Lender and for any Interest Period for any Portion of Capital (a) the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rate equivalent to the weighted average cost (as determined by the applicable Group Agent and which shall include commissions of placement agents and dealers, incremental carrying costs incurred with respect to Notes of such Person maturing on dates other than those on which corresponding funds are received by such Conduit Lender, other borrowings by such Conduit Lender (other than under any Program Support Agreement) and any other costs associated with the issuance of Notes) of or related to the issuance of Notes that are allocated, in whole or in part, by the applicable Conduit Lender to fund or maintain such Portion of Capital (and which may be also allocated in part to the funding of other assets of such Conduit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any component of such rate is a discount rate, in calculating the “</w:t>
      </w:r>
      <w:r>
        <w:rPr>
          <w:rFonts w:ascii="Times New Roman;serif" w:hAnsi="Times New Roman;serif"/>
          <w:b w:val="false"/>
          <w:color w:val="000000"/>
          <w:sz w:val="24"/>
          <w:u w:val="single"/>
        </w:rPr>
        <w:t>CP Rate</w:t>
      </w:r>
      <w:r>
        <w:rPr>
          <w:color w:val="000000"/>
        </w:rPr>
        <w:t xml:space="preserve">” </w:t>
      </w:r>
      <w:r>
        <w:rPr>
          <w:rFonts w:ascii="Times New Roman;serif" w:hAnsi="Times New Roman;serif"/>
          <w:b w:val="false"/>
          <w:color w:val="000000"/>
          <w:sz w:val="24"/>
        </w:rPr>
        <w:t xml:space="preserve">for such Portion of Capital for such Interest Period, the applicable Group Agent shall for such component use the rate resulting from converting such discount rate to an interest bearing equivalent rate </w:t>
      </w:r>
      <w:r>
        <w:rPr>
          <w:rFonts w:ascii="Times New Roman;serif" w:hAnsi="Times New Roman;serif"/>
          <w:b w:val="false"/>
          <w:i/>
          <w:color w:val="000000"/>
          <w:sz w:val="24"/>
        </w:rPr>
        <w:t>per annum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notwithstanding anything in this Agreement or the other Transaction Documents to the contrary, the Borrower agrees that any amounts payable to Conduit Lenders in respect of Interest for any Interest Period with respect to any Portion of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Capital funded by such Conduit Lenders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Lenders had not received payments of interest in respect of such interest component prior to the maturity date of such maturing Notes (for purposes of the foregoing, the “interest component” of Notes equals the excess of the face amount thereof over the net proceeds received by such Conduit Lender from the issuance of Notes, except that if such Notes are issued on an interest-bearing basis its “interest component” will equal the amount of interest accruing on such Notes through maturity) or (b) any other rate designated as the “CP Rate” for such Conduit Lender in the Assumption Agreement or other document pursuant to which such Person becomes a party as a Conduit Lender to this Agreement, or any other writing or agreement provided by such Conduit Lender to the Borrower, the Servicer and the applicable Agent from time to time. The “CP Rate” for any Conduit Lender for any day while an Event of Default has occurred and is continuing shall be an interest rate equal to the greater of (i) 2.50%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above the Base Rate and (ii) 2.50%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above the “CP Rate” calculated without giving effect to such Event of Default.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Agreement</w:t>
      </w:r>
      <w:r>
        <w:rPr>
          <w:color w:val="000000"/>
        </w:rPr>
        <w:t xml:space="preserve">” </w:t>
      </w:r>
      <w:r>
        <w:rPr>
          <w:rFonts w:ascii="Times New Roman;serif" w:hAnsi="Times New Roman;serif"/>
          <w:b w:val="false"/>
          <w:color w:val="000000"/>
          <w:sz w:val="24"/>
        </w:rPr>
        <w:t>means that certain Seventh Amended and Restated Credit Agreement, dated as of March 24, 2023, by and among the Parent, as the borrower thereunder, each lender and issuing bank from time to time party thereto, Bank of America, N.A., as administrative agent, swing line lender and an L/C issuer thereunder, Citibank N.A., JPMorgan Chase Bank, N.A., Morgan Stanley MUFG Loan Partners, LLC, PNC Bank, N.A., Truist Bank and Wells Fargo Bank, N.A., as co-syndication agents thereunder, and the various other co-documentation agents, joint lead arrangers and joint book managers party thereto, and so long as PNC and The Bank of Nova Scotia are each a lender under the Credit Agreement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and Collection Procedures</w:t>
      </w:r>
      <w:r>
        <w:rPr>
          <w:color w:val="000000"/>
        </w:rPr>
        <w:t xml:space="preserve">” </w:t>
      </w:r>
      <w:r>
        <w:rPr>
          <w:rFonts w:ascii="Times New Roman;serif" w:hAnsi="Times New Roman;serif"/>
          <w:b w:val="false"/>
          <w:color w:val="000000"/>
          <w:sz w:val="24"/>
        </w:rPr>
        <w:t xml:space="preserve">means, as the context may require, those receivables credit and collection policies and historical practices of the Originators and/or Servicer in effect on the Closing Date and described in </w:t>
      </w:r>
      <w:r>
        <w:rPr>
          <w:rFonts w:ascii="Times New Roman;serif" w:hAnsi="Times New Roman;serif"/>
          <w:b w:val="false"/>
          <w:color w:val="000000"/>
          <w:sz w:val="24"/>
          <w:u w:val="single"/>
        </w:rPr>
        <w:t>Exhibit E</w:t>
      </w:r>
      <w:r>
        <w:rPr>
          <w:rFonts w:ascii="Times New Roman;serif" w:hAnsi="Times New Roman;serif"/>
          <w:b w:val="false"/>
          <w:color w:val="000000"/>
          <w:sz w:val="24"/>
        </w:rPr>
        <w:t>, as modified in compliance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Extension</w:t>
      </w:r>
      <w:r>
        <w:rPr>
          <w:color w:val="000000"/>
        </w:rPr>
        <w:t xml:space="preserve">” </w:t>
      </w:r>
      <w:r>
        <w:rPr>
          <w:rFonts w:ascii="Times New Roman;serif" w:hAnsi="Times New Roman;serif"/>
          <w:b w:val="false"/>
          <w:color w:val="000000"/>
          <w:sz w:val="24"/>
        </w:rPr>
        <w:t>means the making of any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Party</w:t>
      </w:r>
      <w:r>
        <w:rPr>
          <w:color w:val="000000"/>
        </w:rPr>
        <w:t xml:space="preserve">” </w:t>
      </w:r>
      <w:r>
        <w:rPr>
          <w:rFonts w:ascii="Times New Roman;serif" w:hAnsi="Times New Roman;serif"/>
          <w:b w:val="false"/>
          <w:color w:val="000000"/>
          <w:sz w:val="24"/>
        </w:rPr>
        <w:t>means each Lender, the Administrative Agent and each Group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Currency Reserve Amount</w:t>
      </w:r>
      <w:r>
        <w:rPr>
          <w:color w:val="000000"/>
        </w:rPr>
        <w:t xml:space="preserve">” </w:t>
      </w:r>
      <w:r>
        <w:rPr>
          <w:rFonts w:ascii="Times New Roman;serif" w:hAnsi="Times New Roman;serif"/>
          <w:b w:val="false"/>
          <w:color w:val="000000"/>
          <w:sz w:val="24"/>
        </w:rPr>
        <w:t xml:space="preserve">means, at any time of determination, the sum of (a) the Euro Volatility Reserve,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GBP Volatility Reserve,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excess (if any) of (i) the U.S. Dollar Equivalent of the aggregate Outstanding Balance of all Pool Receivables denominated in an Alternative Currency,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five percent (5.0%),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(y) the U.S. Dollar Equivalent of the aggregate Outstanding Balance of all Pool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1M SOFR</w:t>
      </w:r>
      <w:r>
        <w:rPr>
          <w:color w:val="000000"/>
        </w:rPr>
        <w:t xml:space="preserve">” </w:t>
      </w:r>
      <w:r>
        <w:rPr>
          <w:rFonts w:ascii="Times New Roman;serif" w:hAnsi="Times New Roman;serif"/>
          <w:b w:val="false"/>
          <w:color w:val="000000"/>
          <w:sz w:val="24"/>
        </w:rPr>
        <w:t xml:space="preserve">means, for any day, the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determined by the Administrative Agent (rounded upwards, at the Administrative Agent’s discretion, to the nearest 1/100th of 1%) equal to the Term SOFR Reference Rate for such day for a one (1) month period, as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Daily 1M SOFR, determined as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above, would be less than the Floor, then Daily 1M SOFR shall be deemed to be the Floor. The rate of interest will be adjusted automatically as of each Business Day based on changes in Daily 1M SOFR without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xml:space="preserve">), the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determined by the Administrative Agent (rounded upwards, at the Administrative Agent’s discretion, to the nearest 1/100th of 1%) equal to SOFR for the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two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Floor, then Daily Simple SOFR shall be deemed to be the Floor. If SOFR for any SOFR Determination Date has not been so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as described above;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 Option</w:t>
      </w:r>
      <w:r>
        <w:rPr>
          <w:color w:val="000000"/>
        </w:rPr>
        <w:t xml:space="preserve">” </w:t>
      </w:r>
      <w:r>
        <w:rPr>
          <w:rFonts w:ascii="Times New Roman;serif" w:hAnsi="Times New Roman;serif"/>
          <w:b w:val="false"/>
          <w:color w:val="000000"/>
          <w:sz w:val="24"/>
        </w:rPr>
        <w:t xml:space="preserve">means the option of the Borrower to have Loans bearing interest at the rate and under the terms specified in </w:t>
      </w:r>
      <w:r>
        <w:rPr>
          <w:rFonts w:ascii="Times New Roman;serif" w:hAnsi="Times New Roman;serif"/>
          <w:b w:val="false"/>
          <w:color w:val="000000"/>
          <w:sz w:val="24"/>
          <w:u w:val="single"/>
        </w:rPr>
        <w:t>Section 2.05(a)(iii)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 Rate</w:t>
      </w:r>
      <w:r>
        <w:rPr>
          <w:color w:val="000000"/>
        </w:rPr>
        <w:t xml:space="preserve">” </w:t>
      </w:r>
      <w:r>
        <w:rPr>
          <w:rFonts w:ascii="Times New Roman;serif" w:hAnsi="Times New Roman;serif"/>
          <w:b w:val="false"/>
          <w:color w:val="000000"/>
          <w:sz w:val="24"/>
        </w:rPr>
        <w:t xml:space="preserve">means with respect to Loans to which the Daily SOFR Option applies, a fluctuating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as shall be in effect from time to time equal to (a) Daily 1M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SOFR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 Rate Loan</w:t>
      </w:r>
      <w:r>
        <w:rPr>
          <w:color w:val="000000"/>
        </w:rPr>
        <w:t xml:space="preserve">” </w:t>
      </w:r>
      <w:r>
        <w:rPr>
          <w:rFonts w:ascii="Times New Roman;serif" w:hAnsi="Times New Roman;serif"/>
          <w:b w:val="false"/>
          <w:color w:val="000000"/>
          <w:sz w:val="24"/>
        </w:rPr>
        <w:t>means a Loan that bears interest based on the Daily SOFR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Days’ Sales Outstanding</w:t>
      </w:r>
      <w:r>
        <w:rPr>
          <w:color w:val="000000"/>
        </w:rPr>
        <w:t xml:space="preserve">” </w:t>
      </w:r>
      <w:r>
        <w:rPr>
          <w:rFonts w:ascii="Times New Roman;serif" w:hAnsi="Times New Roman;serif"/>
          <w:b w:val="false"/>
          <w:color w:val="000000"/>
          <w:sz w:val="24"/>
        </w:rPr>
        <w:t xml:space="preserve">means, for any Fiscal Month, an amount computed as of the last day of such Fiscal Month equal to: (a) the average of the Outstanding Balance of all Pool Receivables as of the last day of each of the three (3) most recent Fiscal Months ended on the last day of such Fiscal Month,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(i) the aggregate initial Outstanding Balance of all Pool Receivables generated by the Originators during the three (3) most recent Fiscal Months ended on the last day of such Fiscal Month,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(ii) ninety (90).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w:t>
      </w:r>
      <w:r>
        <w:rPr>
          <w:color w:val="000000"/>
        </w:rPr>
        <w:t xml:space="preserve">” </w:t>
      </w:r>
      <w:r>
        <w:rPr>
          <w:rFonts w:ascii="Times New Roman;serif" w:hAnsi="Times New Roman;serif"/>
          <w:b w:val="false"/>
          <w:color w:val="000000"/>
          <w:sz w:val="24"/>
        </w:rPr>
        <w:t xml:space="preserve">means, as to any Person at any time of determination, any and all indebtedness, obligations or liabilities (whether matured or unmatured, liquidated or unliquidated, direct or indirect, absolute or contingent, or joint or several) of such Person for or in respect of: (i)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borrowed money, (ii) amounts raised under or liabilities in respect of any bonds, debentures, notes, note purchase, acceptance or credit facility, or other similar instruments or facilities, (iii) reimbursement obligations (contingent or otherwise) under any letter of credit, (iv) any other transaction (including production payments (excluding royalties), installment purchase agreements, forward sale or purchase agreements, capitalized leases and conditional sales agreements) having the commercial effect of a borrowing of money entered into by such Person to finance its operations or capital requirements (but not including accounts payable incurred in the ordinary course of such Person’s business payable on terms customary in the trade), (v) all net obligations of such Person in respect of interest rate on currency hedges or (vi) any Guaranty of any such Debt.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Deemed Collections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means any Lender that (a) has failed, within one (1) Business Day of the date required to be funded or paid, to (i) fund any portion of its Loans or (ii) pay over to any Credit Party any other amount required to be paid by it hereunder, unless, in the case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 (c) upon such Credit Party’s receipt of such certification in form and substance satisfactory to it and the Administrative Agent, or (d) has become the subject of an Insolvency Proceeding.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 Ratio</w:t>
      </w:r>
      <w:r>
        <w:rPr>
          <w:color w:val="000000"/>
        </w:rPr>
        <w:t xml:space="preserve">” </w:t>
      </w:r>
      <w:r>
        <w:rPr>
          <w:rFonts w:ascii="Times New Roman;serif" w:hAnsi="Times New Roman;serif"/>
          <w:b w:val="false"/>
          <w:color w:val="000000"/>
          <w:sz w:val="24"/>
        </w:rPr>
        <w:t xml:space="preserve">means the ratio (expressed as a percentage and rounded to the nearest 1/100 of 1%, with 5/1000th of 1% rounded upward) computed as of the last day of each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aggregate Outstanding Balance of all Pool Receivables that became Defaulted Receivables during such Fiscal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aggregate initial Outstanding Balance of all Pool Receivables generated by the Originators during the month that is six (6) Fiscal Months before such Fiscal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Defaulted Receivable</w:t>
      </w:r>
      <w:r>
        <w:rPr>
          <w:color w:val="000000"/>
        </w:rPr>
        <w:t xml:space="preserve">” </w:t>
      </w:r>
      <w:r>
        <w:rPr>
          <w:rFonts w:ascii="Times New Roman;serif" w:hAnsi="Times New Roman;serif"/>
          <w:b w:val="false"/>
          <w:color w:val="000000"/>
          <w:sz w:val="24"/>
        </w:rPr>
        <w:t>means a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(a)as to which any payment, or part thereof, remains unpaid for one hundred fifty one (151) calendar days or more from the original due date for such payment;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(b)without duplication, as to which any payment, or part thereof, remains unpaid for less than or equal to one hundred fifty one (151) calendar days from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original due date for such payment and, consistent with the Credit and Collection Procedures, is or should be written off the applicable Originator’s or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s books as uncollectible;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(c)without duplication, as to which an Insolvency Proceeding shall have occurred with respect to the Obligor thereof or any other Person obligated thereon or owning any Related Security with respect thereto;</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each case above such amount shall be calculated without giving effect to any netting of credits that have not been matched to a particular Receivable for the purposes of aged trial balance reporting.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Committed Lender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Funding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Funding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Deferred Supplemental Loan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Delinquency Ratio</w:t>
      </w:r>
      <w:r>
        <w:rPr>
          <w:color w:val="000000"/>
        </w:rPr>
        <w:t xml:space="preserve">” </w:t>
      </w:r>
      <w:r>
        <w:rPr>
          <w:rFonts w:ascii="Times New Roman;serif" w:hAnsi="Times New Roman;serif"/>
          <w:b w:val="false"/>
          <w:color w:val="000000"/>
          <w:sz w:val="24"/>
        </w:rPr>
        <w:t xml:space="preserve">means the ratio (expressed as a percentage and rounded to the nearest 1/100 of 1%, with 5/1000th of 1% rounded upward) computed as of the last day of each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sum of (I) the aggregate Outstanding Balance of all Pool Receivables that were Delinquent Receivables on such day,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aggregate amount of Deemed Collections as of such date with respect to such Delinquent Receivables,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aggregate Outstanding Balance of all Pool Receivables on such day.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Delinquent Receivable</w:t>
      </w:r>
      <w:r>
        <w:rPr>
          <w:color w:val="000000"/>
        </w:rPr>
        <w:t xml:space="preserve">” </w:t>
      </w:r>
      <w:r>
        <w:rPr>
          <w:rFonts w:ascii="Times New Roman;serif" w:hAnsi="Times New Roman;serif"/>
          <w:b w:val="false"/>
          <w:color w:val="000000"/>
          <w:sz w:val="24"/>
        </w:rPr>
        <w:t xml:space="preserve">means a Receivable as to which any payment, or part thereof, remains unpaid for one hundred twenty one (121) calendar days or more from the original due date for such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amount shall be calculated without giving effect to any netting of credits that have not been matched to a particular Receivable for the purposes of aged trial balance reporting.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Horizon Ratio</w:t>
      </w:r>
      <w:r>
        <w:rPr>
          <w:color w:val="000000"/>
        </w:rPr>
        <w:t xml:space="preserve">” </w:t>
      </w:r>
      <w:r>
        <w:rPr>
          <w:rFonts w:ascii="Times New Roman;serif" w:hAnsi="Times New Roman;serif"/>
          <w:b w:val="false"/>
          <w:color w:val="000000"/>
          <w:sz w:val="24"/>
        </w:rPr>
        <w:t xml:space="preserve">means, for any Fiscal Month, the ratio (expressed as a percentage and rounded to the nearest 1/100th of 1%, with 5/1000th of 1% rounded upward) computed as of the last day of such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sum of (i) the aggregate initial Outstanding Balance of all Pool Receivables (other than Unbilled Receivables) generated by the Originators during such Fiscal Month,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fifty percent (50%) of the aggregate initial Outstanding Balance of all Pool Receivables generated by the Originators during the preceding Fiscal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Net Receivables Pool Balance as of the last day of such Fiscal Month. Within thirty (30) calendar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Borrower to reflect such number of Fiscal Months as the Administrative Agent and the Borrower agree best reflects the business practices of the Servicer and the Originators and the actual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amount of dilution and Deemed Collections that occur with respect to Pool Receivables based on the weighted average dilution lag calculation completed as part of such audit or field exam.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Ratio</w:t>
      </w:r>
      <w:r>
        <w:rPr>
          <w:color w:val="000000"/>
        </w:rPr>
        <w:t xml:space="preserve">” </w:t>
      </w:r>
      <w:r>
        <w:rPr>
          <w:rFonts w:ascii="Times New Roman;serif" w:hAnsi="Times New Roman;serif"/>
          <w:b w:val="false"/>
          <w:color w:val="000000"/>
          <w:sz w:val="24"/>
        </w:rPr>
        <w:t>means the ratio (expressed as a percentage and rounded to the nearest 1/100th of 1%, with 5/1000th of 1% rounded upward), computed as of the last day of each Fiscal Month by dividing: (a) the aggregate amount of Deemed Collections during such Fiscal Month (other than amounts related to the Specifically Reserved Dilution Amount and the aggregate amount specified in the Boston Recall Credit Memoranda), by (b) the aggregate initial Outstanding Balance of all Pool Receivables generated by the Originators during the prior Fiscal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Reserve Percentage</w:t>
      </w:r>
      <w:r>
        <w:rPr>
          <w:color w:val="000000"/>
        </w:rPr>
        <w:t xml:space="preserve">” </w:t>
      </w:r>
      <w:r>
        <w:rPr>
          <w:rFonts w:ascii="Times New Roman;serif" w:hAnsi="Times New Roman;serif"/>
          <w:b w:val="false"/>
          <w:color w:val="000000"/>
          <w:sz w:val="24"/>
        </w:rPr>
        <w:t xml:space="preserve">means, on any day, the product of (a) the Dilution Horizon Ratio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sum of (i) 2.00 times the average of the Dilution Ratios for the twelve (12) most recent Fiscal Months and (ii) the Dilution Volatility Component.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Volatility Component</w:t>
      </w:r>
      <w:r>
        <w:rPr>
          <w:color w:val="000000"/>
        </w:rPr>
        <w:t xml:space="preserve">” </w:t>
      </w:r>
      <w:r>
        <w:rPr>
          <w:rFonts w:ascii="Times New Roman;serif" w:hAnsi="Times New Roman;serif"/>
          <w:b w:val="false"/>
          <w:color w:val="000000"/>
          <w:sz w:val="24"/>
        </w:rPr>
        <w:t xml:space="preserve">means, for any Fiscal Month, the product (expressed as a percentage and rounded to the nearest 1/100 of 1%, with 5/1000th of 1% rounded upward) of (a) the positive difference, if any, between: (i) the highest Dilution Ratio for any Fiscal Month during the twelve (12) most recent Fiscal Months and (ii) the arithmetic average of the Dilution Ratios for such twelve (12) Fiscal Months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 xml:space="preserve">(b) the quotient of (i) the highest Dilution Ratio for any Fiscal Month during the twelve (12) most recent consecutive Fiscal Months </w:t>
      </w:r>
      <w:r>
        <w:rPr>
          <w:rFonts w:ascii="Times New Roman;serif" w:hAnsi="Times New Roman;serif"/>
          <w:b w:val="false"/>
          <w:color w:val="000000"/>
          <w:sz w:val="24"/>
          <w:u w:val="single"/>
        </w:rPr>
        <w:t>divided by</w:t>
      </w:r>
      <w:r>
        <w:rPr>
          <w:color w:val="000000"/>
        </w:rPr>
        <w:t xml:space="preserve"> </w:t>
      </w:r>
      <w:r>
        <w:rPr>
          <w:rFonts w:ascii="Times New Roman;serif" w:hAnsi="Times New Roman;serif"/>
          <w:b w:val="false"/>
          <w:color w:val="000000"/>
          <w:sz w:val="24"/>
        </w:rPr>
        <w:t>(ii) the arithmetic average of the Dilution Ratios for such twelve (12) consecutive Fiscal Months.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each mean the lawful currency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Earned Milestone Receivable</w:t>
      </w:r>
      <w:r>
        <w:rPr>
          <w:color w:val="000000"/>
        </w:rPr>
        <w:t xml:space="preserve">” </w:t>
      </w:r>
      <w:r>
        <w:rPr>
          <w:rFonts w:ascii="Times New Roman;serif" w:hAnsi="Times New Roman;serif"/>
          <w:b w:val="false"/>
          <w:color w:val="000000"/>
          <w:sz w:val="24"/>
        </w:rPr>
        <w:t>means a Receivable earned, notwithstanding the fact that the Originator thereof has not recognized the related revenue on its financial books and records under GAAP, paid in accordance with the milestones set forth in the Contract giving rise to such Receivable, and is not subject to the performance of additional services by the Originator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Assignee</w:t>
      </w:r>
      <w:r>
        <w:rPr>
          <w:color w:val="000000"/>
        </w:rPr>
        <w:t xml:space="preserve">” </w:t>
      </w:r>
      <w:r>
        <w:rPr>
          <w:rFonts w:ascii="Times New Roman;serif" w:hAnsi="Times New Roman;serif"/>
          <w:b w:val="false"/>
          <w:color w:val="000000"/>
          <w:sz w:val="24"/>
        </w:rPr>
        <w:t>means (a) any Committed Lender or any of its Affiliates, (b) any Person managed by a Committed Lender or any of its Affiliates and (c) any other financial or other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Foreign Currency Receivable</w:t>
      </w:r>
      <w:r>
        <w:rPr>
          <w:color w:val="000000"/>
        </w:rPr>
        <w:t xml:space="preserve">” </w:t>
      </w:r>
      <w:r>
        <w:rPr>
          <w:rFonts w:ascii="Times New Roman;serif" w:hAnsi="Times New Roman;serif"/>
          <w:b w:val="false"/>
          <w:color w:val="000000"/>
          <w:sz w:val="24"/>
        </w:rPr>
        <w:t>means, at any time, any Foreign Currency Receivable that is denominated and payable in an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Foreign Obligor</w:t>
      </w:r>
      <w:r>
        <w:rPr>
          <w:color w:val="000000"/>
        </w:rPr>
        <w:t xml:space="preserve">” </w:t>
      </w:r>
      <w:r>
        <w:rPr>
          <w:rFonts w:ascii="Times New Roman;serif" w:hAnsi="Times New Roman;serif"/>
          <w:b w:val="false"/>
          <w:color w:val="000000"/>
          <w:sz w:val="24"/>
        </w:rPr>
        <w:t>an Obligor that is a corporation or other business organization that is organized in or that has a head office (domicile), registered office, and chief executive office located in a country other than (a) the United States or (b) a Sanctioned Country.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In-Transit Receivable</w:t>
      </w:r>
      <w:r>
        <w:rPr>
          <w:color w:val="000000"/>
        </w:rPr>
        <w:t xml:space="preserve">” </w:t>
      </w:r>
      <w:r>
        <w:rPr>
          <w:rFonts w:ascii="Times New Roman;serif" w:hAnsi="Times New Roman;serif"/>
          <w:b w:val="false"/>
          <w:color w:val="000000"/>
          <w:sz w:val="24"/>
        </w:rPr>
        <w:t>means, at any time, any In-Transit Receivable if (a) the related goods have been shipped not more than thirty (30) calendar days prior to such date, (b) the related Originator has not pledged inventory as collateral for any Debt and (c) no inventory of such Originator is encumbered in any way.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Receivable</w:t>
      </w:r>
      <w:r>
        <w:rPr>
          <w:color w:val="000000"/>
        </w:rPr>
        <w:t xml:space="preserve">” </w:t>
      </w:r>
      <w:r>
        <w:rPr>
          <w:rFonts w:ascii="Times New Roman;serif" w:hAnsi="Times New Roman;serif"/>
          <w:b w:val="false"/>
          <w:color w:val="000000"/>
          <w:sz w:val="24"/>
        </w:rPr>
        <w:t>means, at any time of determination, a Pool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Obligor of which: (i) is either a U.S. Obligor or an Eligible Foreign Obligor; (ii) is not a Sanctioned Person; (iii) is not subject to any Insolvency Proceeding; (iv) is not an Affiliate of an Integra Party or the Parent; (v) does not have an aggregate Outstanding Balance of Pool Receivables as to which any payment, or part thereof, remains unpaid for one hundred twenty one (121) calendar days or more from the original due date for such payment that exceeds fifty percent (50%) of the aggregate Outstanding Balance of all of such Obligor’s Pool Receivables; (vi) is not a natural person; (vii) is not a material supplier to any Originator or an Affiliate of a material supplier; and (viii) is not a Temporarily Ineligible Obligor;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(b)for which an Insolvency Proceeding shall not have occurred with respect to the Obligor thereof or any other Person obligated thereon or owning any Related Security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(c)that is denominated and payable only in Dollars in the United States of America or an Alternative Currency payable in the United States of America, and the Obligor with respect to which has been instructed to remit Collections in respect thereof directly to a Lock-Box or Collection Account in the United States of America;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(d)that does not have a due date which is more than two hundred ten (210) calendar days after the original invoice date of such Receivable;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(e)that arises under a Contract for the sale of goods or services on an arm’s-length basis in the ordinary course of the applicable Originator’s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(f)that arises under a duly authorized Contract that is in full force and effect and that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(g)that has been transferred by an Originator to the Borrower pursuant to the Purchase and Sale Agreement with respect to which transfer all conditions precedent under the Purchase and Sale Agreement have been met;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(i)with respect to which all consents, licenses, approvals or authorizations of, or registrations or declarations with or notices to, any Official Body or other Person required to be obtained, effected or given by an Originator in connection with the creation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such Receivable, the execution, delivery and performance by such Originator of the related Contract or the assignment thereof under the Purchase and Sale Agreement have been duly obtained, effected or given and are in full force and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(j)that is not subject to any existing dispute, litigation, right of rescission, set-off (including, customer deposits, advance payments (including payments related to unearned revenues, but at any time prior to the occurrence of a Specific Reporting Event not including Earned Milestone Receivables), etc.), counterclaim, hold back defense,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(k)that satisfies all applicable requirements of the Credit and Collection Procedures;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(l)that, together with the Contract related thereto, has not been modified, waived or restructured since its creation, except as permitted pursuant to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(m)in</w:t>
      </w:r>
      <w:r>
        <w:rPr>
          <w:color w:val="000000"/>
        </w:rPr>
        <w:t xml:space="preserve"> </w:t>
      </w:r>
      <w:r>
        <w:rPr>
          <w:rFonts w:ascii="Times New Roman;serif" w:hAnsi="Times New Roman;serif"/>
          <w:b w:val="false"/>
          <w:color w:val="000000"/>
          <w:sz w:val="24"/>
        </w:rPr>
        <w:t>which the Borrower owns good and marketable title, free and clear of any Adverse Claims, and that is freely assignable (including without any consent of the related Obligor or any Official Body);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(n)for which the Administrative Agent (on behalf of the Secured Parties) shall have a valid and enforceable first priority perfected security interest therein and in the Related Security and Collections with respect thereto, in each case free and clear of any Adverse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(o)that (i) constitutes an “account” or “payment intangible” (as defined in the UCC), (ii) is not evidenced by instruments or chattel paper and (iii) does not constitute, or arise from the sale of, as extracted collateral (as defined in the UCC);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(p)that is neither a Defaulted Receivable nor a Delinquent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(q)for which no Integra Party has established any offset or netting arrangements with the related Obligor in connection with the ordinary course of payment of such Receivable;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(r)that, other than for Eligible In-Transit Receivables, represents amounts earned and payable by the Obligor that are not subject to the performance of additional services by the Originator thereof or by the </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 xml:space="preserve">and the related goods or merchandise shall have been shipped and/or services performed;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Receivable is subject to the performance of additional services, only the portion of such Receivables attributable to such additional services shall be excluded;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(t)which does not relate to the sale of any consigned goods or finished goods which have incorporated any consigned goods into such finished goods;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(u)that represents amounts earned by the Originator thereof and payable by the related Obligor in accordance with the Contract related thereto that are not subject to the performance of any additional services by the Originator thereof or by the Borrower, other than, (i) the billing or invoicing of such Receivable in the case of an Eligible Unbilled Receivable and (ii) the obligation of the applicable Originator with respect to standard warranties and indemnities related to the goods or services sold that gave rise to such Receivable;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Receivable is subject to the performance of additional services, only the portion of such Receivable attributable to such additional services shall be ineligible;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(v)that, if such Receivable is an In-Transit Receivable, is an Eligible In-Transit Receivable;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(w)that, if such Receivable is a Foreign Currency Receivable, is an Eligible Foreign Currency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Unbilled Receivable</w:t>
      </w:r>
      <w:r>
        <w:rPr>
          <w:color w:val="000000"/>
        </w:rPr>
        <w:t xml:space="preserve">” </w:t>
      </w:r>
      <w:r>
        <w:rPr>
          <w:rFonts w:ascii="Times New Roman;serif" w:hAnsi="Times New Roman;serif"/>
          <w:b w:val="false"/>
          <w:color w:val="000000"/>
          <w:sz w:val="24"/>
        </w:rPr>
        <w:t>means, at any time, any Unbilled Receivable if (a) the related Originator has recognized the related revenue on its financial books and records under GAAP, and (b) not more than thirty (30) calendar days have expired since the date such Unbilled Receivable arose.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not including debt securities convertible into or exchangeable for capital stock.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from time to time, and any rule or regulation issued thereunder.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any Person, any corporation, trade or business which together with the Person is a member of a controlled group of corporations or a controlled group of trades or businesses and would be deemed a “single employer” within the meaning of Sections 414(b), (c), (m) of the Code or Section 4001(b)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Euro</w:t>
      </w:r>
      <w:r>
        <w:rPr>
          <w:color w:val="000000"/>
        </w:rPr>
        <w:t xml:space="preserve">” </w:t>
      </w:r>
      <w:r>
        <w:rPr>
          <w:rFonts w:ascii="Times New Roman;serif" w:hAnsi="Times New Roman;serif"/>
          <w:b w:val="false"/>
          <w:color w:val="000000"/>
          <w:sz w:val="24"/>
        </w:rPr>
        <w:t>and “</w:t>
      </w:r>
      <w:r>
        <w:rPr>
          <w:color w:val="000000"/>
          <w:u w:val="single"/>
        </w:rPr>
        <w:t>€</w:t>
      </w:r>
      <w:r>
        <w:rPr>
          <w:color w:val="000000"/>
        </w:rPr>
        <w:t xml:space="preserve">” </w:t>
      </w:r>
      <w:r>
        <w:rPr>
          <w:rFonts w:ascii="Times New Roman;serif" w:hAnsi="Times New Roman;serif"/>
          <w:b w:val="false"/>
          <w:color w:val="000000"/>
          <w:sz w:val="24"/>
        </w:rPr>
        <w:t>each mean the single currency of participating member states of the European Monetary Union.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Euro VaR Percentage</w:t>
      </w:r>
      <w:r>
        <w:rPr>
          <w:color w:val="000000"/>
        </w:rPr>
        <w:t xml:space="preserve">” </w:t>
      </w:r>
      <w:r>
        <w:rPr>
          <w:rFonts w:ascii="Times New Roman;serif" w:hAnsi="Times New Roman;serif"/>
          <w:b w:val="false"/>
          <w:color w:val="000000"/>
          <w:sz w:val="24"/>
        </w:rPr>
        <w:t>means six percent (6.00%), or such other percentage designated as such by the Administrative Agent from time to time upon ten (10) Business Days’ written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Euro Volatility Reserve</w:t>
      </w:r>
      <w:r>
        <w:rPr>
          <w:color w:val="000000"/>
        </w:rPr>
        <w:t xml:space="preserve">” </w:t>
      </w:r>
      <w:r>
        <w:rPr>
          <w:rFonts w:ascii="Times New Roman;serif" w:hAnsi="Times New Roman;serif"/>
          <w:b w:val="false"/>
          <w:color w:val="000000"/>
          <w:sz w:val="24"/>
        </w:rPr>
        <w:t>means, at any time of determination, the product of (a) the U.S. Dollar Equivalent of the aggregate Outstanding Balance of all Pool Receivables denominated in Euro at such time, times (b) the Euro VaR Percentage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For the avoidance of doubt, any Event of Default that occurs shall be deemed to be continuing at all times thereafter unless and until waived in accordance with </w:t>
      </w:r>
      <w:r>
        <w:rPr>
          <w:rFonts w:ascii="Times New Roman;serif" w:hAnsi="Times New Roman;serif"/>
          <w:b w:val="false"/>
          <w:color w:val="000000"/>
          <w:sz w:val="24"/>
          <w:u w:val="single"/>
        </w:rPr>
        <w:t>Section 13.01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Excess Concentration</w:t>
      </w:r>
      <w:r>
        <w:rPr>
          <w:color w:val="000000"/>
        </w:rPr>
        <w:t xml:space="preserve">” </w:t>
      </w:r>
      <w:r>
        <w:rPr>
          <w:rFonts w:ascii="Times New Roman;serif" w:hAnsi="Times New Roman;serif"/>
          <w:b w:val="false"/>
          <w:color w:val="000000"/>
          <w:sz w:val="24"/>
        </w:rPr>
        <w:t>means the sum of the following amounts,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(a)the sum of the amounts calculated for each of the Obligors equal to the excess (if any) of (i) the aggregate Outstanding Balance of the Eligible Receivables of such Obligor,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such Obligor’s Concentration Percentage,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(b)the excess (if any) of (i) the aggregate Outstanding Balance of all Eligible Receivables, the Obligors of which are Eligible Foreign Obligors,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twenty five percent (25.00%),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aggregate Outstanding Balance of all Eligible Receivables, the Obligors of which are Eligible Foreign Obligors (A) organized in, and whose principal place of business is in, a country that has a long-term sovereign foreign-currency rating from and including “A” to and including “BBB-” by S&amp;P or from and including “A2” to and including “Baa3” by Moody’s, shall not exceed fifteen percent (15.00%) of the aggregate Outstanding Balance of all Eligible Receivables, (B) organized in, and whose principal place of business is in, a country that has a long-term sovereign foreign-currency rating equal to or less than “BB+” by S&amp;P or “Ba1” by Moody’s, shall not exceed five percent (5.00%) of the aggregate Outstanding Balance of all Eligible Receivables, (C) organized in, and whose principal place of business is in, the People’s Republic of China, shall not exceed seven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one half percent (7.50%) of the aggregate Outstanding Balance of all Eligible Receivables and (D) organized in, and whose principal place of business is in, a country other than the People’s Republic of China, shall not exceed five percent (5.00%) of the aggregate Outstanding Balance of all Eligible Receivables;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(c)the excess (if any) of (i) the aggregate Outstanding Balance of all Eligible Unbilled Receivables,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twenty percent (20.00%),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(d)the excess (if any) of (i) the aggregate Outstanding Balance of all Eligible Receivables as to which any payment, or part thereof, remain unpaid for sixty one (61) to ninety (90) calendar days from the original due date for such payment,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five percent (5.00%),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(e)the excess (if any) of (i) the aggregate Outstanding Balance of all Eligible Receivables that have a due date which is between ninety one (91) to one hundred twenty (120) calendar days after the original invoice date of such Receivable,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ten percent (10.00%),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(f)the excess (if any) of (i) the aggregate Outstanding Balance of all Eligible Receivables that have a due date which is between one hundred twenty one (121) to two hundred ten (210) calendar days after the original invoice date of such Receivable,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five percent (5.00%),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(g)the excess (if any) of (i) the aggregate Outstanding Balance of all Eligible In-Transit Receivables,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two and a half percent (2.50%),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(h)the excess (if any) of (i) the aggregate Outstanding Balance of all Eligible Receivables as to which any payment, or part thereof, remains unpaid for ninety one (91) or more days but less than or equal to one hundred twenty (120) days from the original due date for such Eligible Receivables,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two and a half percent (2.50%),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(i)the excess (if any) of (i) the aggregate Outstanding Balance of all Eligible Receivables, the Obligors of which are the federal government of the United States of America or any political subdivision, department, affiliate, agency or other entity thereof (which, for the avoidance of doubt, does not include any state or local government body or any political subdivision, department, affiliate, agency or other entity thereof),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product of (x) one percent (1.00%),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(j)the excess (if any) of (i) the aggregate Outstanding Balance of all Eligible Receivables owing from the four (4) Group D Obligors with the four (4) largest Obligor Percentages of all Group D Obligors,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(ii) the product of (x) twelve percent (12.00%),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(y) the aggregate Outstanding Balance of all Eligible Receivables then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Obligor</w:t>
      </w:r>
      <w:r>
        <w:rPr>
          <w:color w:val="000000"/>
        </w:rPr>
        <w:t xml:space="preserve">” </w:t>
      </w:r>
      <w:r>
        <w:rPr>
          <w:rFonts w:ascii="Times New Roman;serif" w:hAnsi="Times New Roman;serif"/>
          <w:b w:val="false"/>
          <w:color w:val="000000"/>
          <w:sz w:val="24"/>
        </w:rPr>
        <w:t xml:space="preserve">means each Obligor listed on </w:t>
      </w:r>
      <w:r>
        <w:rPr>
          <w:rFonts w:ascii="Times New Roman;serif" w:hAnsi="Times New Roman;serif"/>
          <w:b w:val="false"/>
          <w:color w:val="000000"/>
          <w:sz w:val="24"/>
          <w:u w:val="single"/>
        </w:rPr>
        <w:t>Schedule IV</w:t>
      </w:r>
      <w:r>
        <w:rPr>
          <w:rFonts w:ascii="Times New Roman;serif" w:hAnsi="Times New Roman;serif"/>
          <w:b w:val="false"/>
          <w:color w:val="000000"/>
          <w:sz w:val="24"/>
        </w:rPr>
        <w:t>, which schedule may be amended, modified, restated, supplemented or replaced from time to time with the consent of the Administrative Agent, the Majority Group Agents and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Originator</w:t>
      </w:r>
      <w:r>
        <w:rPr>
          <w:color w:val="000000"/>
        </w:rPr>
        <w:t xml:space="preserve">” </w:t>
      </w:r>
      <w:r>
        <w:rPr>
          <w:rFonts w:ascii="Times New Roman;serif" w:hAnsi="Times New Roman;serif"/>
          <w:b w:val="false"/>
          <w:color w:val="000000"/>
          <w:sz w:val="24"/>
        </w:rPr>
        <w:t xml:space="preserve">means each Originator (or sub-division or business unit or other similar entity thereof) listed on </w:t>
      </w:r>
      <w:r>
        <w:rPr>
          <w:rFonts w:ascii="Times New Roman;serif" w:hAnsi="Times New Roman;serif"/>
          <w:b w:val="false"/>
          <w:color w:val="000000"/>
          <w:sz w:val="24"/>
          <w:u w:val="single"/>
        </w:rPr>
        <w:t>Schedule IV</w:t>
      </w:r>
      <w:r>
        <w:rPr>
          <w:rFonts w:ascii="Times New Roman;serif" w:hAnsi="Times New Roman;serif"/>
          <w:b w:val="false"/>
          <w:color w:val="000000"/>
          <w:sz w:val="24"/>
        </w:rPr>
        <w:t>, which schedule may be amended, modified, restated, supplemented or replaced from time to time with the consent of the Administrative Agent, the Majority Group Agents and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Receivable</w:t>
      </w:r>
      <w:r>
        <w:rPr>
          <w:color w:val="000000"/>
        </w:rPr>
        <w:t xml:space="preserve">” </w:t>
      </w:r>
      <w:r>
        <w:rPr>
          <w:rFonts w:ascii="Times New Roman;serif" w:hAnsi="Times New Roman;serif"/>
          <w:b w:val="false"/>
          <w:color w:val="000000"/>
          <w:sz w:val="24"/>
        </w:rPr>
        <w:t>means any Receivable, (a) the Obligor of which is an Excluded Obligor or (b) the Originator of which is an Excluded 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Loans or Commitment pursuant to a law in effect on the date on which (i) such Lender makes a Loan or its Commitment or (ii) such Lender changes its lending office, except in each case to the extent that, pursuant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amounts with respect to such Taxes were payable either to such Lender’s assignor immediately before such Lender became a party hereto or to such Lender immediately before it changed its lending office, (c) Taxes attributable to such Affected Person’s failure to comply with </w:t>
      </w:r>
      <w:r>
        <w:rPr>
          <w:rFonts w:ascii="Times New Roman;serif" w:hAnsi="Times New Roman;serif"/>
          <w:b w:val="false"/>
          <w:color w:val="000000"/>
          <w:sz w:val="24"/>
          <w:u w:val="single"/>
        </w:rPr>
        <w:t>Section 4.03(f)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4.03(g)</w:t>
      </w:r>
      <w:r>
        <w:rPr>
          <w:color w:val="000000"/>
        </w:rPr>
        <w:t xml:space="preserve"> </w:t>
      </w:r>
      <w:r>
        <w:rPr>
          <w:rFonts w:ascii="Times New Roman;serif" w:hAnsi="Times New Roman;serif"/>
          <w:b w:val="false"/>
          <w:color w:val="000000"/>
          <w:sz w:val="24"/>
        </w:rPr>
        <w:t>and (d) any withholding Taxes imposed pursuant to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Limit</w:t>
      </w:r>
      <w:r>
        <w:rPr>
          <w:color w:val="000000"/>
        </w:rPr>
        <w:t xml:space="preserve">” </w:t>
      </w:r>
      <w:r>
        <w:rPr>
          <w:rFonts w:ascii="Times New Roman;serif" w:hAnsi="Times New Roman;serif"/>
          <w:b w:val="false"/>
          <w:color w:val="000000"/>
          <w:sz w:val="24"/>
        </w:rPr>
        <w:t xml:space="preserve">means one hundred fifty million dollars ($150,000,000) as reduced or increased from time to time pursuant to </w:t>
      </w:r>
      <w:r>
        <w:rPr>
          <w:rFonts w:ascii="Times New Roman;serif" w:hAnsi="Times New Roman;serif"/>
          <w:b w:val="false"/>
          <w:color w:val="000000"/>
          <w:sz w:val="24"/>
          <w:u w:val="single"/>
        </w:rPr>
        <w:t>Section 2.02(e)</w:t>
      </w:r>
      <w:r>
        <w:rPr>
          <w:rFonts w:ascii="Times New Roman;serif" w:hAnsi="Times New Roman;serif"/>
          <w:b w:val="false"/>
          <w:color w:val="000000"/>
          <w:sz w:val="24"/>
        </w:rPr>
        <w:t xml:space="preserve">. References to the unused portion of the Facility Limit shall mean, at any time of determination, an amount equal to (x) the Facility Limit at such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(y) the Aggregate Capital.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Reserve Board</w:t>
      </w:r>
      <w:r>
        <w:rPr>
          <w:color w:val="000000"/>
        </w:rPr>
        <w:t xml:space="preserve">” </w:t>
      </w:r>
      <w:r>
        <w:rPr>
          <w:rFonts w:ascii="Times New Roman;serif" w:hAnsi="Times New Roman;serif"/>
          <w:b w:val="false"/>
          <w:color w:val="000000"/>
          <w:sz w:val="24"/>
        </w:rPr>
        <w:t>means the Board of Governors of the Federal Reserve System, or any entity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Maturity Date</w:t>
      </w:r>
      <w:r>
        <w:rPr>
          <w:color w:val="000000"/>
        </w:rPr>
        <w:t xml:space="preserve">” </w:t>
      </w:r>
      <w:r>
        <w:rPr>
          <w:rFonts w:ascii="Times New Roman;serif" w:hAnsi="Times New Roman;serif"/>
          <w:b w:val="false"/>
          <w:color w:val="000000"/>
          <w:sz w:val="24"/>
        </w:rPr>
        <w:t xml:space="preserve">means the date that (i) is thirty (30) calendar days following the Scheduled Termination Date or (ii) such earlier date on which the Loans become due and payable pursuant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Payout Date</w:t>
      </w:r>
      <w:r>
        <w:rPr>
          <w:color w:val="000000"/>
        </w:rPr>
        <w:t xml:space="preserve">” </w:t>
      </w:r>
      <w:r>
        <w:rPr>
          <w:rFonts w:ascii="Times New Roman;serif" w:hAnsi="Times New Roman;serif"/>
          <w:b w:val="false"/>
          <w:color w:val="000000"/>
          <w:sz w:val="24"/>
        </w:rPr>
        <w:t>means the date on or after the Termination Date when (i) the Aggregate Capital and Aggregate Interest have been paid in full, (ii) all Borrower Obligations shall have been paid in full, (iii) all other amounts owing to the Credit Parties and any other Borrower Indemnified Party or Affected Person hereunder and under the other Transaction Documents have been paid in full and (iv) all accrued Servicing Fees have been paid in full.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Financial Officer</w:t>
      </w:r>
      <w:r>
        <w:rPr>
          <w:color w:val="000000"/>
        </w:rPr>
        <w:t xml:space="preserve">” </w:t>
      </w:r>
      <w:r>
        <w:rPr>
          <w:rFonts w:ascii="Times New Roman;serif" w:hAnsi="Times New Roman;serif"/>
          <w:b w:val="false"/>
          <w:color w:val="000000"/>
          <w:sz w:val="24"/>
        </w:rPr>
        <w:t>of any Person means, the chief executive officer, the chief financial officer, the chief accounting officer, the principal accounting officer, the controller, the treasurer or the assistant treasurer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Fiscal Month</w:t>
      </w:r>
      <w:r>
        <w:rPr>
          <w:color w:val="000000"/>
        </w:rPr>
        <w:t xml:space="preserve">” </w:t>
      </w:r>
      <w:r>
        <w:rPr>
          <w:rFonts w:ascii="Times New Roman;serif" w:hAnsi="Times New Roman;serif"/>
          <w:b w:val="false"/>
          <w:color w:val="000000"/>
          <w:sz w:val="24"/>
        </w:rPr>
        <w:t>means each calendar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Inc. and any successor thereto that is a nationally recognized statistical rating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the benchmark rate floor, if any, provided in this Agreement initially (as of the execution of this Agreement, the modification, amendment or renewal of this Agreement or otherwise) with respect to Term SOFR, Daily 1M SOFR or Daily Simple SOFR, as applicable, or, if no floor is specified,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Currency Receivable</w:t>
      </w:r>
      <w:r>
        <w:rPr>
          <w:color w:val="000000"/>
        </w:rPr>
        <w:t xml:space="preserve">” </w:t>
      </w:r>
      <w:r>
        <w:rPr>
          <w:rFonts w:ascii="Times New Roman;serif" w:hAnsi="Times New Roman;serif"/>
          <w:b w:val="false"/>
          <w:color w:val="000000"/>
          <w:sz w:val="24"/>
        </w:rPr>
        <w:t>means, at any time, any Receivable that is denominated and payable in a lawful currency of a country other than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 consistently applied.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GBP</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Pounds Sterling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each mean the lawful currency of the United Kingdom.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GBP VaR Percentage</w:t>
      </w:r>
      <w:r>
        <w:rPr>
          <w:color w:val="000000"/>
        </w:rPr>
        <w:t xml:space="preserve">” </w:t>
      </w:r>
      <w:r>
        <w:rPr>
          <w:rFonts w:ascii="Times New Roman;serif" w:hAnsi="Times New Roman;serif"/>
          <w:b w:val="false"/>
          <w:color w:val="000000"/>
          <w:sz w:val="24"/>
        </w:rPr>
        <w:t>means seven percent (7.00%), or such other percentage designated as such by the Administrative Agent from time to time upon ten (10) Business Days’ written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GBP Volatility Reserve</w:t>
      </w:r>
      <w:r>
        <w:rPr>
          <w:color w:val="000000"/>
        </w:rPr>
        <w:t xml:space="preserve">” </w:t>
      </w:r>
      <w:r>
        <w:rPr>
          <w:rFonts w:ascii="Times New Roman;serif" w:hAnsi="Times New Roman;serif"/>
          <w:b w:val="false"/>
          <w:color w:val="000000"/>
          <w:sz w:val="24"/>
        </w:rPr>
        <w:t>means, at any time of determination, the product of (a) the U.S. Dollar Equivalent of the aggregate Outstanding Balance of all Pool Receivables denominated in GBP at such time, times (b) the GBP VaR Percentage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w:t>
      </w:r>
      <w:r>
        <w:rPr>
          <w:color w:val="000000"/>
        </w:rPr>
        <w:t xml:space="preserve">” </w:t>
      </w:r>
      <w:r>
        <w:rPr>
          <w:rFonts w:ascii="Times New Roman;serif" w:hAnsi="Times New Roman;serif"/>
          <w:b w:val="false"/>
          <w:color w:val="000000"/>
          <w:sz w:val="24"/>
        </w:rPr>
        <w:t>means, (i) for any Conduit Lender, such Conduit Lender, together with such Conduit Lender’s Related Committed Lenders and related Group Agent, (ii) for PNC, PNC as a Committed Lender and as a Group Agent, (iii) for any other Lender that does not have a Related Conduit Lender, such Lender, together with such Lender’s related Group Agent and each other Lender for which such Group Agent acts as a Group Agent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A Obligor</w:t>
      </w:r>
      <w:r>
        <w:rPr>
          <w:color w:val="000000"/>
        </w:rPr>
        <w:t xml:space="preserve">” </w:t>
      </w:r>
      <w:r>
        <w:rPr>
          <w:rFonts w:ascii="Times New Roman;serif" w:hAnsi="Times New Roman;serif"/>
          <w:b w:val="false"/>
          <w:color w:val="000000"/>
          <w:sz w:val="24"/>
        </w:rPr>
        <w:t xml:space="preserve">means any Obligor (or its parent or majority owner, as applicable, if such Obligor is not rated) with a short-term rating of at least: (a) “A-1” by S&amp;P, or if such Obligor does not have a short-term rating from S&amp;P, a rating of “A+” or better by S&amp;P on such Obligor’s, its parent’s, or its majority owner’s (as applicable) long-term senior unsecured and uncredit-enhanced debt securities, </w:t>
      </w:r>
      <w:r>
        <w:rPr>
          <w:rFonts w:ascii="Times New Roman;serif" w:hAnsi="Times New Roman;serif"/>
          <w:b w:val="false"/>
          <w:color w:val="000000"/>
          <w:sz w:val="24"/>
          <w:u w:val="single"/>
        </w:rPr>
        <w:t>or</w:t>
      </w:r>
      <w:r>
        <w:rPr>
          <w:color w:val="000000"/>
        </w:rPr>
        <w:t xml:space="preserve"> </w:t>
      </w:r>
      <w:r>
        <w:rPr>
          <w:rFonts w:ascii="Times New Roman;serif" w:hAnsi="Times New Roman;serif"/>
          <w:b w:val="false"/>
          <w:color w:val="000000"/>
          <w:sz w:val="24"/>
        </w:rPr>
        <w:t xml:space="preserve">(b) “P 1” by Moody’s, or if such Obligor does not have a short-term rating from Moody’s, “Al” or better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 the “Concentration Reserve” and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Agent</w:t>
      </w:r>
      <w:r>
        <w:rPr>
          <w:color w:val="000000"/>
        </w:rPr>
        <w:t xml:space="preserve">” </w:t>
      </w:r>
      <w:r>
        <w:rPr>
          <w:rFonts w:ascii="Times New Roman;serif" w:hAnsi="Times New Roman;serif"/>
          <w:b w:val="false"/>
          <w:color w:val="000000"/>
          <w:sz w:val="24"/>
        </w:rPr>
        <w:t>means each Person acting as agent on behalf of a Group and designated as the Group Agent for such Group on the signature pages to this Agreement or any other Person who becomes a party to this Agreement as a Group Agent for any Group pursuant to an Assumption Agreement, an Assignment and Acceptance Agreement or otherwise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Agent’s Account</w:t>
      </w:r>
      <w:r>
        <w:rPr>
          <w:color w:val="000000"/>
        </w:rPr>
        <w:t xml:space="preserve">” </w:t>
      </w:r>
      <w:r>
        <w:rPr>
          <w:rFonts w:ascii="Times New Roman;serif" w:hAnsi="Times New Roman;serif"/>
          <w:b w:val="false"/>
          <w:color w:val="000000"/>
          <w:sz w:val="24"/>
        </w:rPr>
        <w:t>means, with respect to any Group, the account(s) from time to time designated in writing by the applicable Group Agent to the Borrower and the Servicer for purposes of receiving payments to or for the account of the members of such Group hereunder.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B Obligor</w:t>
      </w:r>
      <w:r>
        <w:rPr>
          <w:color w:val="000000"/>
        </w:rPr>
        <w:t xml:space="preserve">” </w:t>
      </w:r>
      <w:r>
        <w:rPr>
          <w:rFonts w:ascii="Times New Roman;serif" w:hAnsi="Times New Roman;serif"/>
          <w:b w:val="false"/>
          <w:color w:val="000000"/>
          <w:sz w:val="24"/>
        </w:rPr>
        <w:t xml:space="preserve">means an Obligor (or its parent or majority owner, as applicable, if such Obligor is not rated) that is not a Group A Obligor, with a short-term rating of at least: (a) “A-2” by S&amp;P, or if such Obligor does not have a short-term rating from S&amp;P, a rating of “BBB+” to “A” by S&amp;P on such Obligor’s, its parent’s or its majority owner’s (as applicable) long-term senior unsecured and uncredit-enhanced debt securities, </w:t>
      </w:r>
      <w:r>
        <w:rPr>
          <w:rFonts w:ascii="Times New Roman;serif" w:hAnsi="Times New Roman;serif"/>
          <w:b w:val="false"/>
          <w:color w:val="000000"/>
          <w:sz w:val="24"/>
          <w:u w:val="single"/>
        </w:rPr>
        <w:t>or</w:t>
      </w:r>
      <w:r>
        <w:rPr>
          <w:color w:val="000000"/>
        </w:rPr>
        <w:t xml:space="preserve"> </w:t>
      </w:r>
      <w:r>
        <w:rPr>
          <w:rFonts w:ascii="Times New Roman;serif" w:hAnsi="Times New Roman;serif"/>
          <w:b w:val="false"/>
          <w:color w:val="000000"/>
          <w:sz w:val="24"/>
        </w:rPr>
        <w:t xml:space="preserve">(b) “P 2” by Moody’s, or if such Obligor does not have a short-term rating from Moody’s, “Baal” to “A2”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the “Concentration Reserve” and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C Obligor</w:t>
      </w:r>
      <w:r>
        <w:rPr>
          <w:color w:val="000000"/>
        </w:rPr>
        <w:t xml:space="preserve">” </w:t>
      </w:r>
      <w:r>
        <w:rPr>
          <w:rFonts w:ascii="Times New Roman;serif" w:hAnsi="Times New Roman;serif"/>
          <w:b w:val="false"/>
          <w:color w:val="000000"/>
          <w:sz w:val="24"/>
        </w:rPr>
        <w:t xml:space="preserve">means an Obligor (or its parent or majority owner, as applicable, if such Obligor is not rated) that is not a Group A Obligor or a Group B Obligor, with a short-term rating of at least: (a) “A-3” by S&amp;P, or if such Obligor does not have a short-term rating from S&amp;P, a rating of “BBB-” to “BBB” by S&amp;P on such Obligor’s, its parent’s or its majority owner’s (as applicable) long-term senior unsecured and uncredit-enhanced debt securities, </w:t>
      </w:r>
      <w:r>
        <w:rPr>
          <w:rFonts w:ascii="Times New Roman;serif" w:hAnsi="Times New Roman;serif"/>
          <w:b w:val="false"/>
          <w:color w:val="000000"/>
          <w:sz w:val="24"/>
          <w:u w:val="single"/>
        </w:rPr>
        <w:t>or</w:t>
      </w:r>
      <w:r>
        <w:rPr>
          <w:color w:val="000000"/>
        </w:rPr>
        <w:t xml:space="preserve"> </w:t>
      </w:r>
      <w:r>
        <w:rPr>
          <w:rFonts w:ascii="Times New Roman;serif" w:hAnsi="Times New Roman;serif"/>
          <w:b w:val="false"/>
          <w:color w:val="000000"/>
          <w:sz w:val="24"/>
        </w:rPr>
        <w:t xml:space="preserve">(b) “P 3” by Moody’s, or if such Obligor does not have a short-term rating from Moody’s, “Baa3” to “Baa2” by Moody’s on such Obligor’s, its parent’s or its majority owner’s (as applicable) long-term senior unsecured and uncredit-enhanced debt securities;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Reserve” and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Commitment</w:t>
      </w:r>
      <w:r>
        <w:rPr>
          <w:color w:val="000000"/>
        </w:rPr>
        <w:t xml:space="preserve">” </w:t>
      </w:r>
      <w:r>
        <w:rPr>
          <w:rFonts w:ascii="Times New Roman;serif" w:hAnsi="Times New Roman;serif"/>
          <w:b w:val="false"/>
          <w:color w:val="000000"/>
          <w:sz w:val="24"/>
        </w:rPr>
        <w:t>means, with respect to any Group, at any time of determination, the aggregate Commitments of all Committed Lenders within such Group.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D Obligor</w:t>
      </w:r>
      <w:r>
        <w:rPr>
          <w:color w:val="000000"/>
        </w:rPr>
        <w:t xml:space="preserve">” </w:t>
      </w:r>
      <w:r>
        <w:rPr>
          <w:rFonts w:ascii="Times New Roman;serif" w:hAnsi="Times New Roman;serif"/>
          <w:b w:val="false"/>
          <w:color w:val="000000"/>
          <w:sz w:val="24"/>
        </w:rPr>
        <w:t xml:space="preserve">means any Obligor that is not a Group A Obligor, Group B Obligor or Group C Obligor;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Obligor (or its parent or majority owner, as applicable, if such Obligor is unrated) that is not rated by both Moody’s and S&amp;P shall be a Group D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of any Person means any obligation of such Person 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 ship arrangement and any other form of assurance against loss, except endorsement of negotiable or other instruments for deposit or collection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means (a) Taxes, other than Excluded Taxes, imposed on or with respect to any payment made by or on account of any obligation of the Borrower or any of its Affiliates under any Transaction Document and (b) to the extent not otherwise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Director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7.03(c)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Information Package</w:t>
      </w:r>
      <w:r>
        <w:rPr>
          <w:color w:val="000000"/>
        </w:rPr>
        <w:t xml:space="preserve">” </w:t>
      </w:r>
      <w:r>
        <w:rPr>
          <w:rFonts w:ascii="Times New Roman;serif" w:hAnsi="Times New Roman;serif"/>
          <w:b w:val="false"/>
          <w:color w:val="000000"/>
          <w:sz w:val="24"/>
        </w:rPr>
        <w:t xml:space="preserve">means a report, in substantially the form of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means (a) any case, action or proceeding before any court or other Official Body relating to bankruptcy, reorganization, insolvency, liquidation, 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clauses (a) and (b) undertaken under U.S. Federal, state or foreign law, including the Bankruptcy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Integra Party</w:t>
      </w:r>
      <w:r>
        <w:rPr>
          <w:color w:val="000000"/>
        </w:rPr>
        <w:t xml:space="preserve">” </w:t>
      </w:r>
      <w:r>
        <w:rPr>
          <w:rFonts w:ascii="Times New Roman;serif" w:hAnsi="Times New Roman;serif"/>
          <w:b w:val="false"/>
          <w:color w:val="000000"/>
          <w:sz w:val="24"/>
        </w:rPr>
        <w:t>means, the Borrower, the Servicer, each Originator and the Performance Guarantor, either individually or collectively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Integra Sales</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Intended Tax Treatment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w:t>
      </w:r>
      <w:r>
        <w:rPr>
          <w:color w:val="000000"/>
        </w:rPr>
        <w:t xml:space="preserve">” </w:t>
      </w:r>
      <w:r>
        <w:rPr>
          <w:rFonts w:ascii="Times New Roman;serif" w:hAnsi="Times New Roman;serif"/>
          <w:b w:val="false"/>
          <w:color w:val="000000"/>
          <w:sz w:val="24"/>
        </w:rPr>
        <w:t xml:space="preserve">means, for each Loan for any day during any Interest Period (or portion thereof), the amount of interest accrued on the Capital of such Loan during such Interest Period (or portion thereof) in accordance with </w:t>
      </w:r>
      <w:r>
        <w:rPr>
          <w:rFonts w:ascii="Times New Roman;serif" w:hAnsi="Times New Roman;serif"/>
          <w:b w:val="false"/>
          <w:color w:val="000000"/>
          <w:sz w:val="24"/>
          <w:u w:val="single"/>
        </w:rPr>
        <w:t>Section 2.03(b)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 xml:space="preserve">means, with respect to each Loan, (a) before the Termination Date: (i) initially, the period commencing on the date such Loan is made 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(or in the case of any fees payable hereunder, commencing on the Closing Date) and ending on (but not including) the next Monthly Settlement Date and (ii) thereafter, each period commencing on such Monthly Settlement Date and ending on (but not including) the next Monthly Settlement Date and (b) on and after the Termination Date, such period (including a period of one day) as shall be selected from time to time by the Administrative Agent (with the consent or at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direction of the Majority Group Agents) or, in the absence of any such selection, each period of thirty (30) calendar days from the last day of the preceding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Rate</w:t>
      </w:r>
      <w:r>
        <w:rPr>
          <w:color w:val="000000"/>
        </w:rPr>
        <w:t xml:space="preserve">” </w:t>
      </w:r>
      <w:r>
        <w:rPr>
          <w:rFonts w:ascii="Times New Roman;serif" w:hAnsi="Times New Roman;serif"/>
          <w:b w:val="false"/>
          <w:color w:val="000000"/>
          <w:sz w:val="24"/>
        </w:rPr>
        <w:t>means, for any day in any Interest Period for any Loan (or any portion of Capital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(a)if such Loan (or such portion of Capital thereof) is being funded by a Conduit Lender on such day through the issuance of Notes, the applicable CP Rate, or, at the election of the Borrower, the Term SOFR Rate or the Daily SOFR Rate;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(b)if such Loan (or such portion of Capital thereof) is being funded by any Lender on such day other than through the issuance of Notes (including, without limitation, if a Conduit Lender is then funding such Loan (or such portion of Capital thereof) under a Program Support Agreement, or if a Committed Lender is then funding such Loan (or such portion of Capital thereof)), then the Base Rate, the Term SOFR Rate or the Daily SOFR Rate as determined pursuant to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Interest Rate applicable to any Loan that is not advanced on a Monthly Settlement Date shall be the Daily SOFR Rate for each day during the initial Interest Period applicable to such Loan from the date such Loan is made 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until the next occurring Monthly Settlement Date.</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“Interest Rate” for each Loan and any day while an Event of Default has occurred and is continuing shall be an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equal the sum of two and a half percent (2.50%)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plus the greater of (i) the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determined for such Loan and such day pursuant to clause (a) or (b) above, as applicable, and (ii) the Base Rate in effect on such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provision of this Agreement shall require the payment or permit the collection of Interest in excess of the maximum permitted by Applicable Law;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Interest for any Loan shall not be considered paid by any distribution to the extent that at any time all or a portion of such distribution is rescinded or must otherwise be returned for any reason.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Interim Report</w:t>
      </w:r>
      <w:r>
        <w:rPr>
          <w:color w:val="000000"/>
        </w:rPr>
        <w:t xml:space="preserve">” </w:t>
      </w:r>
      <w:r>
        <w:rPr>
          <w:rFonts w:ascii="Times New Roman;serif" w:hAnsi="Times New Roman;serif"/>
          <w:b w:val="false"/>
          <w:color w:val="000000"/>
          <w:sz w:val="24"/>
        </w:rPr>
        <w:t xml:space="preserve">means a report, in substantially the form of </w:t>
      </w:r>
      <w:r>
        <w:rPr>
          <w:rFonts w:ascii="Times New Roman;serif" w:hAnsi="Times New Roman;serif"/>
          <w:b w:val="false"/>
          <w:color w:val="000000"/>
          <w:sz w:val="24"/>
          <w:u w:val="single"/>
        </w:rPr>
        <w:t>Exhibit 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International Trade Laws</w:t>
      </w:r>
      <w:r>
        <w:rPr>
          <w:color w:val="000000"/>
        </w:rPr>
        <w:t xml:space="preserve">” </w:t>
      </w:r>
      <w:r>
        <w:rPr>
          <w:rFonts w:ascii="Times New Roman;serif" w:hAnsi="Times New Roman;serif"/>
          <w:b w:val="false"/>
          <w:color w:val="000000"/>
          <w:sz w:val="24"/>
        </w:rPr>
        <w:t>means all Applicable Laws relating to export controls, trade embargoes, customs, and anti-boycott measures.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In-Transit Receivable</w:t>
      </w:r>
      <w:r>
        <w:rPr>
          <w:color w:val="000000"/>
        </w:rPr>
        <w:t xml:space="preserve">” </w:t>
      </w:r>
      <w:r>
        <w:rPr>
          <w:rFonts w:ascii="Times New Roman;serif" w:hAnsi="Times New Roman;serif"/>
          <w:b w:val="false"/>
          <w:color w:val="000000"/>
          <w:sz w:val="24"/>
        </w:rPr>
        <w:t>means, at any time, any Receivable arising in connection with the sale of any goods or merchandise that as of such time, have been shipped but not delivered to the related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means the Conduit Lenders and the Committed Lenders.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Linked Account</w:t>
      </w:r>
      <w:r>
        <w:rPr>
          <w:color w:val="000000"/>
        </w:rPr>
        <w:t xml:space="preserve">” </w:t>
      </w:r>
      <w:r>
        <w:rPr>
          <w:rFonts w:ascii="Times New Roman;serif" w:hAnsi="Times New Roman;serif"/>
          <w:b w:val="false"/>
          <w:color w:val="000000"/>
          <w:sz w:val="24"/>
        </w:rPr>
        <w:t>means any deposit account which is or could be linked to a Collection Account by a controlled balance arrangement.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Amount</w:t>
      </w:r>
      <w:r>
        <w:rPr>
          <w:color w:val="000000"/>
        </w:rPr>
        <w:t xml:space="preserve">” </w:t>
      </w:r>
      <w:r>
        <w:rPr>
          <w:rFonts w:ascii="Times New Roman;serif" w:hAnsi="Times New Roman;serif"/>
          <w:b w:val="false"/>
          <w:color w:val="000000"/>
          <w:sz w:val="24"/>
        </w:rPr>
        <w:t xml:space="preserve">means, on any date of determination, the sum of (a) the amount of borrowing availability under the Credit Agreement,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unrestricted cash balances and liquid investments held by the Parent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Agent</w:t>
      </w:r>
      <w:r>
        <w:rPr>
          <w:color w:val="000000"/>
        </w:rPr>
        <w:t xml:space="preserve">” </w:t>
      </w:r>
      <w:r>
        <w:rPr>
          <w:rFonts w:ascii="Times New Roman;serif" w:hAnsi="Times New Roman;serif"/>
          <w:b w:val="false"/>
          <w:color w:val="000000"/>
          <w:sz w:val="24"/>
        </w:rPr>
        <w:t>means any bank or other financial institution acting as agent for the various Liquidity Providers under each Liquidity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Agreement</w:t>
      </w:r>
      <w:r>
        <w:rPr>
          <w:color w:val="000000"/>
        </w:rPr>
        <w:t xml:space="preserve">” </w:t>
      </w:r>
      <w:r>
        <w:rPr>
          <w:rFonts w:ascii="Times New Roman;serif" w:hAnsi="Times New Roman;serif"/>
          <w:b w:val="false"/>
          <w:color w:val="000000"/>
          <w:sz w:val="24"/>
        </w:rPr>
        <w:t>means any agreement entered into in connection with this Agreement pursuant to which a Liquidity Provider agrees to make purchases or advances to, or purchase assets from, any Conduit Lender in order to provide liquidity for such Conduit Lender’s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Liquidity Provider</w:t>
      </w:r>
      <w:r>
        <w:rPr>
          <w:color w:val="000000"/>
        </w:rPr>
        <w:t xml:space="preserve">” </w:t>
      </w:r>
      <w:r>
        <w:rPr>
          <w:rFonts w:ascii="Times New Roman;serif" w:hAnsi="Times New Roman;serif"/>
          <w:b w:val="false"/>
          <w:color w:val="000000"/>
          <w:sz w:val="24"/>
        </w:rPr>
        <w:t>means each bank or other financial institution that provides liquidity support to any Conduit Lender pursuant to the terms of a Liquidity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 xml:space="preserve">means any loan made by a Lender pursuant to </w:t>
      </w:r>
      <w:r>
        <w:rPr>
          <w:rFonts w:ascii="Times New Roman;serif" w:hAnsi="Times New Roman;serif"/>
          <w:b w:val="false"/>
          <w:color w:val="000000"/>
          <w:sz w:val="24"/>
          <w:u w:val="single"/>
        </w:rPr>
        <w:t>Section 2.01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 Request</w:t>
      </w:r>
      <w:r>
        <w:rPr>
          <w:color w:val="000000"/>
        </w:rPr>
        <w:t xml:space="preserve">” </w:t>
      </w:r>
      <w:r>
        <w:rPr>
          <w:rFonts w:ascii="Times New Roman;serif" w:hAnsi="Times New Roman;serif"/>
          <w:b w:val="false"/>
          <w:color w:val="000000"/>
          <w:sz w:val="24"/>
        </w:rPr>
        <w:t xml:space="preserve">means a letter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executed and delivered by the Borrower to the Administrative Agent and the Group Agents pursuant to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Lock-Box</w:t>
      </w:r>
      <w:r>
        <w:rPr>
          <w:color w:val="000000"/>
        </w:rPr>
        <w:t xml:space="preserve">” </w:t>
      </w:r>
      <w:r>
        <w:rPr>
          <w:rFonts w:ascii="Times New Roman;serif" w:hAnsi="Times New Roman;serif"/>
          <w:b w:val="false"/>
          <w:color w:val="000000"/>
          <w:sz w:val="24"/>
        </w:rPr>
        <w:t xml:space="preserve">means each locked postal box with respect to which a Collection Account Bank has executed an Account Control Agreement pursuant to which it has been granted exclusive access for the purpose of retrieving and processing payments made on the Receivables and which is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(as such schedule may be modified from time to time in connection with the addition or removal of any Lock-Box in accordance with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Horizon Ratio</w:t>
      </w:r>
      <w:r>
        <w:rPr>
          <w:color w:val="000000"/>
        </w:rPr>
        <w:t xml:space="preserve">” </w:t>
      </w:r>
      <w:r>
        <w:rPr>
          <w:rFonts w:ascii="Times New Roman;serif" w:hAnsi="Times New Roman;serif"/>
          <w:b w:val="false"/>
          <w:color w:val="000000"/>
          <w:sz w:val="24"/>
        </w:rPr>
        <w:t xml:space="preserve">means, for any Fiscal Month, the ratio (expressed as a percentage and rounded to the nearest 1/100 of 1%, with 5/1000th of 1% rounded upward) computed, as of the last day of such Fiscal Month, by dividing: (a) the sum of (i) the aggregate initial Outstanding Balance of all Pool Receivables (other than Unbilled Receivables) generated by the Originators during the four (4) most recent Fiscal Months,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product of (x) the sum of the Loss Horizon Terms Component,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twenty percent (20.00%), and (y) the aggregate initial Outstanding Balance of all Pool Receivables originated by the Originators during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most recent Fiscal Month,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(iii) the product of (x) the sum of the Loss Horizon Terms Component,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five percent (5.00%), and (y) the aggregate initial Outstanding Balance of all Pool Receivables originated by the Originators during the sixth (6</w:t>
      </w:r>
      <w:r>
        <w:rPr>
          <w:rFonts w:ascii="Times New Roman;serif" w:hAnsi="Times New Roman;serif"/>
          <w:b w:val="false"/>
          <w:color w:val="000000"/>
          <w:sz w:val="16"/>
        </w:rPr>
        <w:t>th</w:t>
      </w:r>
      <w:r>
        <w:rPr>
          <w:rFonts w:ascii="Times New Roman;serif" w:hAnsi="Times New Roman;serif"/>
          <w:b w:val="false"/>
          <w:color w:val="000000"/>
          <w:sz w:val="24"/>
        </w:rPr>
        <w:t xml:space="preserve">) most recent Fiscal Month,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(iv) the product of (x) the sum of the Loss Horizon Terms Component,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two and one-half percent (2.50%), and (y) the aggregate initial Outstanding Balance of all Pool Receivables originated by the Originators during the seventh (7</w:t>
      </w:r>
      <w:r>
        <w:rPr>
          <w:rFonts w:ascii="Times New Roman;serif" w:hAnsi="Times New Roman;serif"/>
          <w:b w:val="false"/>
          <w:color w:val="000000"/>
          <w:sz w:val="16"/>
        </w:rPr>
        <w:t>th</w:t>
      </w:r>
      <w:r>
        <w:rPr>
          <w:rFonts w:ascii="Times New Roman;serif" w:hAnsi="Times New Roman;serif"/>
          <w:b w:val="false"/>
          <w:color w:val="000000"/>
          <w:sz w:val="24"/>
        </w:rPr>
        <w:t xml:space="preserve">) most recent Fiscal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Net Receivables Pool Balance as of such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Horizon Terms Component</w:t>
      </w:r>
      <w:r>
        <w:rPr>
          <w:color w:val="000000"/>
        </w:rPr>
        <w:t xml:space="preserve">” </w:t>
      </w:r>
      <w:r>
        <w:rPr>
          <w:rFonts w:ascii="Times New Roman;serif" w:hAnsi="Times New Roman;serif"/>
          <w:b w:val="false"/>
          <w:color w:val="000000"/>
          <w:sz w:val="24"/>
        </w:rPr>
        <w:t xml:space="preserve">means (a) the Weighted Average Remaining Credit Terms of the most recent Fiscal Month minus thirty (30) </w:t>
      </w:r>
      <w:r>
        <w:rPr>
          <w:rFonts w:ascii="Times New Roman;serif" w:hAnsi="Times New Roman;serif"/>
          <w:b w:val="false"/>
          <w:color w:val="000000"/>
          <w:sz w:val="24"/>
          <w:u w:val="single"/>
        </w:rPr>
        <w:t>divided by</w:t>
      </w:r>
      <w:r>
        <w:rPr>
          <w:color w:val="000000"/>
        </w:rPr>
        <w:t xml:space="preserve"> </w:t>
      </w:r>
      <w:r>
        <w:rPr>
          <w:rFonts w:ascii="Times New Roman;serif" w:hAnsi="Times New Roman;serif"/>
          <w:b w:val="false"/>
          <w:color w:val="000000"/>
          <w:sz w:val="24"/>
        </w:rPr>
        <w:t>(b) thirty (30).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Reserve Percentage</w:t>
      </w:r>
      <w:r>
        <w:rPr>
          <w:color w:val="000000"/>
        </w:rPr>
        <w:t xml:space="preserve">” </w:t>
      </w:r>
      <w:r>
        <w:rPr>
          <w:rFonts w:ascii="Times New Roman;serif" w:hAnsi="Times New Roman;serif"/>
          <w:b w:val="false"/>
          <w:color w:val="000000"/>
          <w:sz w:val="24"/>
        </w:rPr>
        <w:t xml:space="preserve">means, at any time of determination, the product of (a) 2.00,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 xml:space="preserve">(b) the highest average of the Default Ratios for any three consecutive Fiscal Months during the twelve (12) most recent Fiscal Months,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(c) the Loss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Majority Group Agents</w:t>
      </w:r>
      <w:r>
        <w:rPr>
          <w:color w:val="000000"/>
        </w:rPr>
        <w:t xml:space="preserve">” </w:t>
      </w:r>
      <w:r>
        <w:rPr>
          <w:rFonts w:ascii="Times New Roman;serif" w:hAnsi="Times New Roman;serif"/>
          <w:b w:val="false"/>
          <w:color w:val="000000"/>
          <w:sz w:val="24"/>
        </w:rPr>
        <w:t xml:space="preserve">means one or more Group Agents which in its Group, or their combined Groups, as the case may be, have Committed Lenders representing more than fifty percent (50%) of the aggregate Commitments of all Committed Lenders in all Groups (or, if the Commitments have been terminated, have Lenders representing more than fifty percent (50%) of the aggregate outstanding Capital held by all the Lenders in all Groups);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no event shall the Majority Group Agents include fewer than two (2) Group Agents at any time when there are two (2) or more Groups.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relative to any Person (provided that if no particular Person is specified, “Material Adverse Effect” shall be deemed to be relative to the Borrower, the Servicer, the Performance Guarantor and the Originators, individually and in the aggregate) with respect to any event or circumstance, a material adverse effect on any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assets, operations, business or financial condition of such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ability of such Person to perform its obligations under this Agreement or any other Transaction Document to which it is a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validity or enforceability of this Agreement or any other Transaction Document, or the validity, enforceability, value or collectibility of any material portion of the Pool Receivables;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(d)the status, perfection, enforceability or priority of the Administrative Agent’s security interest in the Collateral;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(e)the rights and remedies of any Credit Party under the Transaction Documents or associated with its respective interest in the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Dilution Reserve Percentage</w:t>
      </w:r>
      <w:r>
        <w:rPr>
          <w:color w:val="000000"/>
        </w:rPr>
        <w:t xml:space="preserve">” </w:t>
      </w:r>
      <w:r>
        <w:rPr>
          <w:rFonts w:ascii="Times New Roman;serif" w:hAnsi="Times New Roman;serif"/>
          <w:b w:val="false"/>
          <w:color w:val="000000"/>
          <w:sz w:val="24"/>
        </w:rPr>
        <w:t xml:space="preserve">means, on any day, the product (expressed as a percentage and rounded to the nearest 1/100 of 1%, with 5/1000th of 1% rounded upward) of (a) the average of the Dilution Ratios for the twelve (12) most recent Fiscal Months,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(b) the Dilution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Funding Threshold</w:t>
      </w:r>
      <w:r>
        <w:rPr>
          <w:color w:val="000000"/>
        </w:rPr>
        <w:t xml:space="preserve">” </w:t>
      </w:r>
      <w:r>
        <w:rPr>
          <w:rFonts w:ascii="Times New Roman;serif" w:hAnsi="Times New Roman;serif"/>
          <w:b w:val="false"/>
          <w:color w:val="000000"/>
          <w:sz w:val="24"/>
        </w:rPr>
        <w:t xml:space="preserve">means an amount equal to the lesser of (a) seventy five percent (75%) of the Facility Limit and (b) the Borrowing Base.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Liquidity Amount</w:t>
      </w:r>
      <w:r>
        <w:rPr>
          <w:color w:val="000000"/>
        </w:rPr>
        <w:t xml:space="preserve">” </w:t>
      </w:r>
      <w:r>
        <w:rPr>
          <w:rFonts w:ascii="Times New Roman;serif" w:hAnsi="Times New Roman;serif"/>
          <w:b w:val="false"/>
          <w:color w:val="000000"/>
          <w:sz w:val="24"/>
        </w:rPr>
        <w:t>means a Liquidity Amount that is equal to or greater than three hundred million dollars ($300,000,000).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Settlement Date</w:t>
      </w:r>
      <w:r>
        <w:rPr>
          <w:color w:val="000000"/>
        </w:rPr>
        <w:t xml:space="preserve">” </w:t>
      </w:r>
      <w:r>
        <w:rPr>
          <w:rFonts w:ascii="Times New Roman;serif" w:hAnsi="Times New Roman;serif"/>
          <w:b w:val="false"/>
          <w:color w:val="000000"/>
          <w:sz w:val="24"/>
        </w:rPr>
        <w:t>means the twenty-fifth (25th) calendar day of each calendar month (or if such day is not a Business Day, the next occurring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and any successor thereto that is a nationally recognized statistical rating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 multiemployer plan as defined in Section 4001(a)(3) of ERISA to which the Borrower, the Servicer, any Originator, the Parent or any of their respective ERISA Affiliates (other than one considered an ERISA Affiliate only pursuant to subsection (m) or (o) of Section 414 of the Code) is making or accruing an obligation to make contributions, or has within any of the preceding five plan years made or accrued an obligation to make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Receivables Pool Balance</w:t>
      </w:r>
      <w:r>
        <w:rPr>
          <w:color w:val="000000"/>
        </w:rPr>
        <w:t xml:space="preserve">” </w:t>
      </w:r>
      <w:r>
        <w:rPr>
          <w:rFonts w:ascii="Times New Roman;serif" w:hAnsi="Times New Roman;serif"/>
          <w:b w:val="false"/>
          <w:color w:val="000000"/>
          <w:sz w:val="24"/>
        </w:rPr>
        <w:t xml:space="preserve">means, at any time of determination: (a) the aggregate Outstanding Balance of Eligible Receivables then in the Receivables Pool,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the Excess Concentration.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Non-Deferred Committed Lender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means short-term promissory notes issued, or to be issued, by any Conduit Lender to fund its investments in accounts receivable or other financial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means, with respect to any Receivable, the Person obligated to make payments pursuant to the Contract relating to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 Percentage</w:t>
      </w:r>
      <w:r>
        <w:rPr>
          <w:color w:val="000000"/>
        </w:rPr>
        <w:t xml:space="preserve">” </w:t>
      </w:r>
      <w:r>
        <w:rPr>
          <w:rFonts w:ascii="Times New Roman;serif" w:hAnsi="Times New Roman;serif"/>
          <w:b w:val="false"/>
          <w:color w:val="000000"/>
          <w:sz w:val="24"/>
        </w:rPr>
        <w:t>means, at any time of determination, for each Obligor, a fraction, expressed as a percentage, (a) the numerator of which is the aggregate Outstanding Balance of the Eligible Receivables of such Obligor less the amount (if any) then included in the calculation of the Excess Concentration with respect to such Obligor and (b) the denominator of which is the aggregate Outstanding Balance of all Eligible Receivables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U.S. Department of Treasury’s Office of Foreign Assets Control.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Official Body</w:t>
      </w:r>
      <w:r>
        <w:rPr>
          <w:color w:val="000000"/>
        </w:rPr>
        <w:t xml:space="preserve">” </w:t>
      </w:r>
      <w:r>
        <w:rPr>
          <w:rFonts w:ascii="Times New Roman;serif" w:hAnsi="Times New Roman;serif"/>
          <w:b w:val="false"/>
          <w:color w:val="000000"/>
          <w:sz w:val="24"/>
        </w:rPr>
        <w:t>means the government of the United States of America or of any other nation, or of any political subdivision of such a government, whether federal,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Originator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Originators</w:t>
      </w:r>
      <w:r>
        <w:rPr>
          <w:color w:val="000000"/>
        </w:rPr>
        <w:t xml:space="preserve">” </w:t>
      </w:r>
      <w:r>
        <w:rPr>
          <w:rFonts w:ascii="Times New Roman;serif" w:hAnsi="Times New Roman;serif"/>
          <w:b w:val="false"/>
          <w:color w:val="000000"/>
          <w:sz w:val="24"/>
        </w:rPr>
        <w:t>have the meaning set forth in the Purchase and Sale Agreement, as the same may be modified from time to time by adding new Originators or removing Originators, in each case with the prior written consent of the Administrative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means any and all present or future stamp or documentary Taxes or any other excise or property Taxes, charges or similar levies or fees arising from any payment made hereunder or from the execution, delivery, filing, recording or enforcement of, or otherwise in respect of, this Agreement, the other Transaction Documents and the other documents or agreements to be delivered hereunder or thereunder, except any such Taxes that are Other Connection Taxes imposed with respect to an assignment.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Outstanding Balance</w:t>
      </w:r>
      <w:r>
        <w:rPr>
          <w:color w:val="000000"/>
        </w:rPr>
        <w:t xml:space="preserve">” </w:t>
      </w:r>
      <w:r>
        <w:rPr>
          <w:rFonts w:ascii="Times New Roman;serif" w:hAnsi="Times New Roman;serif"/>
          <w:b w:val="false"/>
          <w:color w:val="000000"/>
          <w:sz w:val="24"/>
        </w:rPr>
        <w:t>means, at any time of determination, with respect to any Receivable, the then outstanding principal balance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Overnight Bank Funding Rate</w:t>
      </w:r>
      <w:r>
        <w:rPr>
          <w:color w:val="000000"/>
        </w:rPr>
        <w:t xml:space="preserve">” </w:t>
      </w:r>
      <w:r>
        <w:rPr>
          <w:rFonts w:ascii="Times New Roman;serif" w:hAnsi="Times New Roman;serif"/>
          <w:b w:val="false"/>
          <w:color w:val="000000"/>
          <w:sz w:val="24"/>
        </w:rPr>
        <w:t>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Integra LifeSciences Holdings Corporation,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 Group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7.03(c)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13.03(e)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13.03(f)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13.15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or any successor thereto.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means a pension plan (other than a Multiemployer Plan) as defined in Section 3(2) of ERISA that is subject to Title IV of ERISA which any Originator, the Borrower or any other member of the Controlled Group has an obligation to contribute to or maintain or has made contributions within the preceding five (5) years.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Percentage</w:t>
      </w:r>
      <w:r>
        <w:rPr>
          <w:color w:val="000000"/>
        </w:rPr>
        <w:t xml:space="preserve">” </w:t>
      </w:r>
      <w:r>
        <w:rPr>
          <w:rFonts w:ascii="Times New Roman;serif" w:hAnsi="Times New Roman;serif"/>
          <w:b w:val="false"/>
          <w:color w:val="000000"/>
          <w:sz w:val="24"/>
        </w:rPr>
        <w:t>means, at any time of determination, with respect to any Committed Lender, a fraction (expressed as a percentage), (a) the numerator of which is (i) prior to the termination of all Commitments hereunder, its Commitment at such time or (ii) if all Commitments hereunder have been terminated, the aggregate outstanding Capital of all Loans being funded by the Lenders in such Committed Lender’s Group at such time and (b) the denominator of which is (i) prior to the termination of all Commitments hereunder, the aggregate Commitments of all Committed Lenders at such time or (ii) if all Commitments hereunder have been terminated, the aggregate outstanding Capital of all Loans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Guarantor</w:t>
      </w:r>
      <w:r>
        <w:rPr>
          <w:color w:val="000000"/>
        </w:rPr>
        <w:t xml:space="preserve">” </w:t>
      </w:r>
      <w:r>
        <w:rPr>
          <w:rFonts w:ascii="Times New Roman;serif" w:hAnsi="Times New Roman;serif"/>
          <w:b w:val="false"/>
          <w:color w:val="000000"/>
          <w:sz w:val="24"/>
        </w:rPr>
        <w:t>means Integra LifeSciences Holdings Corporation,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Guaranty</w:t>
      </w:r>
      <w:r>
        <w:rPr>
          <w:color w:val="000000"/>
        </w:rPr>
        <w:t xml:space="preserve">” </w:t>
      </w:r>
      <w:r>
        <w:rPr>
          <w:rFonts w:ascii="Times New Roman;serif" w:hAnsi="Times New Roman;serif"/>
          <w:b w:val="false"/>
          <w:color w:val="000000"/>
          <w:sz w:val="24"/>
        </w:rPr>
        <w:t>means the Amended and Restated Performance Guaranty, dated as of April [3], 2026, by the Performance Guarantor in favor of the Administrative Agent for the benefit of the Secured Parties, as such agreement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Official Body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w:t>
      </w:r>
      <w:r>
        <w:rPr>
          <w:color w:val="000000"/>
        </w:rPr>
        <w:t xml:space="preserve">” </w:t>
      </w:r>
      <w:r>
        <w:rPr>
          <w:rFonts w:ascii="Times New Roman;serif" w:hAnsi="Times New Roman;serif"/>
          <w:b w:val="false"/>
          <w:color w:val="000000"/>
          <w:sz w:val="24"/>
        </w:rPr>
        <w:t>means PNC’s PINACLE® credit management service and any and all services and systems provided or used in connection therewith, and any similar or replacement electronic credit administration services implemented by PNC.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 Agreement</w:t>
      </w:r>
      <w:r>
        <w:rPr>
          <w:color w:val="000000"/>
        </w:rPr>
        <w:t xml:space="preserve">” </w:t>
      </w:r>
      <w:r>
        <w:rPr>
          <w:rFonts w:ascii="Times New Roman;serif" w:hAnsi="Times New Roman;serif"/>
          <w:b w:val="false"/>
          <w:color w:val="000000"/>
          <w:sz w:val="24"/>
        </w:rPr>
        <w:t>means a separate written agreement between the Borrower and PNC regarding PINACLE, and any amendments, modifications or replacements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 xml:space="preserve">” </w:t>
      </w:r>
      <w:r>
        <w:rPr>
          <w:rFonts w:ascii="Times New Roman;serif" w:hAnsi="Times New Roman;serif"/>
          <w:b w:val="false"/>
          <w:color w:val="000000"/>
          <w:sz w:val="24"/>
        </w:rPr>
        <w:t>means PINACLE or any of 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PNC</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Pool Receivable</w:t>
      </w:r>
      <w:r>
        <w:rPr>
          <w:color w:val="000000"/>
        </w:rPr>
        <w:t xml:space="preserve">” </w:t>
      </w:r>
      <w:r>
        <w:rPr>
          <w:rFonts w:ascii="Times New Roman;serif" w:hAnsi="Times New Roman;serif"/>
          <w:b w:val="false"/>
          <w:color w:val="000000"/>
          <w:sz w:val="24"/>
        </w:rPr>
        <w:t>means a Receivable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Portion of Capital</w:t>
      </w:r>
      <w:r>
        <w:rPr>
          <w:color w:val="000000"/>
        </w:rPr>
        <w:t xml:space="preserve">” </w:t>
      </w:r>
      <w:r>
        <w:rPr>
          <w:rFonts w:ascii="Times New Roman;serif" w:hAnsi="Times New Roman;serif"/>
          <w:b w:val="false"/>
          <w:color w:val="000000"/>
          <w:sz w:val="24"/>
        </w:rPr>
        <w:t>means, with respect to any Lender and its related Capital, the portion of such Capital being funded or maintained by such Lender by reference to a particular interest rate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Program Support Agreement</w:t>
      </w:r>
      <w:r>
        <w:rPr>
          <w:color w:val="000000"/>
        </w:rPr>
        <w:t xml:space="preserve">” </w:t>
      </w:r>
      <w:r>
        <w:rPr>
          <w:rFonts w:ascii="Times New Roman;serif" w:hAnsi="Times New Roman;serif"/>
          <w:b w:val="false"/>
          <w:color w:val="000000"/>
          <w:sz w:val="24"/>
        </w:rPr>
        <w:t xml:space="preserve">means and includes any Liquidity Agreement and any other agreement entered into by any Program Support Provider providing for: (a) the issuance of one or more letters of credit for the account of any Conduit Lender, (b) the issuance of one or more surety bonds for which any Conduit Lender is obligated to reimburse the applicable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Program Support Provider for any drawings thereunder, (c) the sale by any Conduit Lender to any Program Support Provider of any Loan (or portions thereof or participation interest therein) maintained by such Conduit Lender and/or (d) the making of loans and/or other extensions of credit to any Conduit Lender in connection with such Conduit Lender’s receivables-securitization program contemplated in this Agreement, together with any letter of credit, surety bond or other instrument issued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Program Support Provider</w:t>
      </w:r>
      <w:r>
        <w:rPr>
          <w:color w:val="000000"/>
        </w:rPr>
        <w:t xml:space="preserve">” </w:t>
      </w:r>
      <w:r>
        <w:rPr>
          <w:rFonts w:ascii="Times New Roman;serif" w:hAnsi="Times New Roman;serif"/>
          <w:b w:val="false"/>
          <w:color w:val="000000"/>
          <w:sz w:val="24"/>
        </w:rPr>
        <w:t>means and includes, with respect to any Conduit Lender, any Liquidity Provider and any other Person (other than any customer of such Conduit Lender) now or hereafter extending credit or having a commitment to extend credit to or for the account of, or to make purchases from, such Conduit Lender pursuant to any Program Support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and Sale Agreement</w:t>
      </w:r>
      <w:r>
        <w:rPr>
          <w:color w:val="000000"/>
        </w:rPr>
        <w:t xml:space="preserve">” </w:t>
      </w:r>
      <w:r>
        <w:rPr>
          <w:rFonts w:ascii="Times New Roman;serif" w:hAnsi="Times New Roman;serif"/>
          <w:b w:val="false"/>
          <w:color w:val="000000"/>
          <w:sz w:val="24"/>
        </w:rPr>
        <w:t>means the Purchase and Sale Agreement, dated as of the Closing Date, among the Servicer, the Originators and the Borrower, as such agreement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and Sale Termination Event</w:t>
      </w:r>
      <w:r>
        <w:rPr>
          <w:color w:val="000000"/>
        </w:rPr>
        <w:t xml:space="preserve">” </w:t>
      </w:r>
      <w:r>
        <w:rPr>
          <w:rFonts w:ascii="Times New Roman;serif" w:hAnsi="Times New Roman;serif"/>
          <w:b w:val="false"/>
          <w:color w:val="000000"/>
          <w:sz w:val="24"/>
        </w:rPr>
        <w:t>has the meaning set forth in the Purchase and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Rating Agency</w:t>
      </w:r>
      <w:r>
        <w:rPr>
          <w:color w:val="000000"/>
        </w:rPr>
        <w:t xml:space="preserve">” </w:t>
      </w:r>
      <w:r>
        <w:rPr>
          <w:rFonts w:ascii="Times New Roman;serif" w:hAnsi="Times New Roman;serif"/>
          <w:b w:val="false"/>
          <w:color w:val="000000"/>
          <w:sz w:val="24"/>
        </w:rPr>
        <w:t>mean each of S&amp;P, Fitch and Moody’s (and/or each other rating agency then rating the Notes of any Conduit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means any right to payment of a monetary obligation, whether or not earned by performance, owed to any Originator or the Borrower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finance charges, fees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 Notwithstanding the foregoing, “Receivable” shall not include any Excluded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Receivables Pool</w:t>
      </w:r>
      <w:r>
        <w:rPr>
          <w:color w:val="000000"/>
        </w:rPr>
        <w:t xml:space="preserve">” </w:t>
      </w:r>
      <w:r>
        <w:rPr>
          <w:rFonts w:ascii="Times New Roman;serif" w:hAnsi="Times New Roman;serif"/>
          <w:b w:val="false"/>
          <w:color w:val="000000"/>
          <w:sz w:val="24"/>
        </w:rPr>
        <w:t>means, at any time of determination, all of the then outstanding Receivables transferred (or purported to be transferred) to the Borrower pursuant to the Purchase and Sale Agreement prior to the 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13.03(c)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Committed Lender</w:t>
      </w:r>
      <w:r>
        <w:rPr>
          <w:color w:val="000000"/>
        </w:rPr>
        <w:t xml:space="preserve">” </w:t>
      </w:r>
      <w:r>
        <w:rPr>
          <w:rFonts w:ascii="Times New Roman;serif" w:hAnsi="Times New Roman;serif"/>
          <w:b w:val="false"/>
          <w:color w:val="000000"/>
          <w:sz w:val="24"/>
        </w:rPr>
        <w:t>means with respect to any Conduit Lender, each Committed Lender listed as such for each Conduit Lender as set forth on the signature pages of this Agreement or in any Assumption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Conduit Lender</w:t>
      </w:r>
      <w:r>
        <w:rPr>
          <w:color w:val="000000"/>
        </w:rPr>
        <w:t xml:space="preserve">” </w:t>
      </w:r>
      <w:r>
        <w:rPr>
          <w:rFonts w:ascii="Times New Roman;serif" w:hAnsi="Times New Roman;serif"/>
          <w:b w:val="false"/>
          <w:color w:val="000000"/>
          <w:sz w:val="24"/>
        </w:rPr>
        <w:t>means, with respect to any Committed Lender, each Conduit Lender which is, or pursuant to any Assignment and Acceptance Agreement or Assumption Agreement or otherwise pursuant to this Agreement becomes, included as a Conduit Lender in such Committed Lender’s Group, as designated on its signature page hereto or in such Assignment and Acceptance Agreement, Assumption Agreement or other agreement executed by such Committed Lender,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Purchase and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means, with respect to any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of the Borrower’s and each Originator’s interest in any goods (including returned goods), and documentation of title evidencing the shipment or storage of any goods (including returned goods), the sale of which gave rise to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instruments and chattel paper that may evidence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(d)all of the Borrower’s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(e)all of the Borrower’s rights, interests and claims under the Purchase and Sale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Relief Period</w:t>
      </w:r>
      <w:r>
        <w:rPr>
          <w:color w:val="000000"/>
        </w:rPr>
        <w:t xml:space="preserve">” </w:t>
      </w:r>
      <w:r>
        <w:rPr>
          <w:rFonts w:ascii="Times New Roman;serif" w:hAnsi="Times New Roman;serif"/>
          <w:b w:val="false"/>
          <w:color w:val="000000"/>
          <w:sz w:val="24"/>
        </w:rPr>
        <w:t>means the Fiscal Months beginning with and including September 2025 through and including February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Reportable Event</w:t>
      </w:r>
      <w:r>
        <w:rPr>
          <w:color w:val="000000"/>
        </w:rPr>
        <w:t xml:space="preserve">” </w:t>
      </w:r>
      <w:r>
        <w:rPr>
          <w:rFonts w:ascii="Times New Roman;serif" w:hAnsi="Times New Roman;serif"/>
          <w:b w:val="false"/>
          <w:color w:val="000000"/>
          <w:sz w:val="24"/>
        </w:rPr>
        <w:t xml:space="preserve">means any reportable event as defined in Section 4043(c) of ERISA for which the notice provision has not been waived under the applicable regulations issued thereunder with respect to a Pension Plan (other than a Pension Plan maintained by an ERISA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 which is considered an ERISA Affiliate only pursuant to subsection (m) or (o) of Section 414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13.06(c)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Capital Amount</w:t>
      </w:r>
      <w:r>
        <w:rPr>
          <w:color w:val="000000"/>
        </w:rPr>
        <w:t xml:space="preserve">” </w:t>
      </w:r>
      <w:r>
        <w:rPr>
          <w:rFonts w:ascii="Times New Roman;serif" w:hAnsi="Times New Roman;serif"/>
          <w:b w:val="false"/>
          <w:color w:val="000000"/>
          <w:sz w:val="24"/>
        </w:rPr>
        <w:t xml:space="preserve">means, as of any date of determination, an amount equal to the product of (a) the Loss Reserve Percentage at such time times,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aggregate Outstanding Balance of all Eligible Receivables then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Payments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7.01(v)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Standard &amp; Poor’s Rating Services, a Standard &amp; Poor’s Financial Services LLC business, and any successor thereto that is a nationally recognized statistical rating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Applicable Laws relating to economic or financial sanctions, sectoral sanctions, or secondary sanctions, administered, or enforced from time to time by any Compliance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 xml:space="preserve">means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or (d) otherwise the subject or target of Sanctions.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Jurisdiction</w:t>
      </w:r>
      <w:r>
        <w:rPr>
          <w:color w:val="000000"/>
        </w:rPr>
        <w:t xml:space="preserve">” </w:t>
      </w:r>
      <w:r>
        <w:rPr>
          <w:rFonts w:ascii="Times New Roman;serif" w:hAnsi="Times New Roman;serif"/>
          <w:b w:val="false"/>
          <w:color w:val="000000"/>
          <w:sz w:val="24"/>
        </w:rPr>
        <w:t xml:space="preserve">means, at any time, any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Scheduled Termination Date</w:t>
      </w:r>
      <w:r>
        <w:rPr>
          <w:color w:val="000000"/>
        </w:rPr>
        <w:t xml:space="preserve">” </w:t>
      </w:r>
      <w:r>
        <w:rPr>
          <w:rFonts w:ascii="Times New Roman;serif" w:hAnsi="Times New Roman;serif"/>
          <w:b w:val="false"/>
          <w:color w:val="000000"/>
          <w:sz w:val="24"/>
        </w:rPr>
        <w:t>means April [3], 2029.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 or any governmental agencies substituted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means each Credit Party, each Borrower Indemnified Party and each Affected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 Indemnified Amounts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 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12.02(a)</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w:t>
      </w:r>
      <w:r>
        <w:rPr>
          <w:color w:val="000000"/>
        </w:rPr>
        <w:t xml:space="preserve">” </w:t>
      </w:r>
      <w:r>
        <w:rPr>
          <w:rFonts w:ascii="Times New Roman;serif" w:hAnsi="Times New Roman;serif"/>
          <w:b w:val="false"/>
          <w:color w:val="000000"/>
          <w:sz w:val="24"/>
        </w:rPr>
        <w:t xml:space="preserve">means the fee referred to in </w:t>
      </w:r>
      <w:r>
        <w:rPr>
          <w:rFonts w:ascii="Times New Roman;serif" w:hAnsi="Times New Roman;serif"/>
          <w:b w:val="false"/>
          <w:color w:val="000000"/>
          <w:sz w:val="24"/>
          <w:u w:val="single"/>
        </w:rPr>
        <w:t>Section 8.06(a)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 Rate</w:t>
      </w:r>
      <w:r>
        <w:rPr>
          <w:color w:val="000000"/>
        </w:rPr>
        <w:t xml:space="preserve">” </w:t>
      </w:r>
      <w:r>
        <w:rPr>
          <w:rFonts w:ascii="Times New Roman;serif" w:hAnsi="Times New Roman;serif"/>
          <w:b w:val="false"/>
          <w:color w:val="000000"/>
          <w:sz w:val="24"/>
        </w:rPr>
        <w:t xml:space="preserve">means the rate referred to in </w:t>
      </w:r>
      <w:r>
        <w:rPr>
          <w:rFonts w:ascii="Times New Roman;serif" w:hAnsi="Times New Roman;serif"/>
          <w:b w:val="false"/>
          <w:color w:val="000000"/>
          <w:sz w:val="24"/>
          <w:u w:val="single"/>
        </w:rPr>
        <w:t>Section 8.06(a)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means with respect to any Portion of Capital for any Interest Period or any Interest or Fees, (i) so long as no Event of Default has occurred and is continuing and the Termination Date has not occurred, the Monthly Settlement Date and (ii) on and after the Termination Date or if an Event of Default has occurred and is continuing, each day selected from time to time by the Administrative Agent (with the consent or at the direction of the Majority Group Agents) (it being understood that the Administrative Agent (with the consent or at the direction of the Majority Group Agents) may select such Settlement Date to occur as frequently as daily), or, in the absence of such selection, the Monthly Settlement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for any day, a rate equal to the secured overnight financing rate as administered by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Adjustment</w:t>
      </w:r>
      <w:r>
        <w:rPr>
          <w:color w:val="000000"/>
        </w:rPr>
        <w:t xml:space="preserve">” </w:t>
      </w:r>
      <w:r>
        <w:rPr>
          <w:rFonts w:ascii="Times New Roman;serif" w:hAnsi="Times New Roman;serif"/>
          <w:b w:val="false"/>
          <w:color w:val="000000"/>
          <w:sz w:val="24"/>
        </w:rPr>
        <w:t xml:space="preserve">means ten (10) basis points (0.10%) </w:t>
      </w:r>
      <w:r>
        <w:rPr>
          <w:rFonts w:ascii="Times New Roman;serif" w:hAnsi="Times New Roman;serif"/>
          <w:b w:val="false"/>
          <w:i/>
          <w:color w:val="000000"/>
          <w:sz w:val="24"/>
        </w:rPr>
        <w:t>per annum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Determination Date</w:t>
      </w:r>
      <w:r>
        <w:rPr>
          <w:color w:val="000000"/>
        </w:rPr>
        <w:t xml:space="preserve">” </w:t>
      </w:r>
      <w:r>
        <w:rPr>
          <w:rFonts w:ascii="Times New Roman;serif" w:hAnsi="Times New Roman;serif"/>
          <w:b w:val="false"/>
          <w:color w:val="000000"/>
          <w:sz w:val="24"/>
        </w:rPr>
        <w:t>shall have the meaning set forth in the definition of “Daily Simple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Rate Day</w:t>
      </w:r>
      <w:r>
        <w:rPr>
          <w:color w:val="000000"/>
        </w:rPr>
        <w:t xml:space="preserve">” </w:t>
      </w:r>
      <w:r>
        <w:rPr>
          <w:rFonts w:ascii="Times New Roman;serif" w:hAnsi="Times New Roman;serif"/>
          <w:b w:val="false"/>
          <w:color w:val="000000"/>
          <w:sz w:val="24"/>
        </w:rPr>
        <w:t>shall have the meaning set forth in the definition of “Daily Simple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Specifically Reserved Dilution Amount</w:t>
      </w:r>
      <w:r>
        <w:rPr>
          <w:color w:val="000000"/>
        </w:rPr>
        <w:t xml:space="preserve">” </w:t>
      </w:r>
      <w:r>
        <w:rPr>
          <w:rFonts w:ascii="Times New Roman;serif" w:hAnsi="Times New Roman;serif"/>
          <w:b w:val="false"/>
          <w:color w:val="000000"/>
          <w:sz w:val="24"/>
        </w:rPr>
        <w:t>means for any Fiscal Month, an amount computed on the last day of such Fiscal Month, equal to the greater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(a)the product of (i) the U.S. Dollar Equivalent of the aggregate amount of dilution or similar adjustments arising out of volume rebates, terms discounts, indirect rebates, direct rebates (net of any direct rebate recovery), key promotional programs or similar arrangements which are customary for the Originators and specified in the related Contract or applicable marketing program related to the applicable Receivable and Obligor thereof that are expected by the Servicer to be made or otherwise incurred with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the then outstanding Pool Receivables as such expected dilution and similar adjustments are reflected on the books and records of the Originators and their Affiliates and reserved for by the Originator and their Affiliates (GL Account # 231230), as determined in consultation with the external accountants of the Originators and in accordance with the customary procedures established by the Originators and such accountants and (ii) one hundred percent (100.00%) (or such lesser percentage specified by the Administrative Agent upon not less than five (5) Business Days’ notice to the Borrower to reflect such percentage as the Administrative Agent reasonably believes best reflects the reserve coverage relative to Pool Receivables based on the observed historical information and/or the results of any audit or field exam of the Originators;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product of (i) the aggregate credit sales made by each Originator, as applicable, during the most recent Fiscal Month and (ii) three percent (3.00%) (or such other percentage specified by the Administrative Agent upon not less than five (5) Business Days’ notice to the Borrower to reflect such percentage as the Administrative Agent reasonably believes best reflects the dilution activity described in section (a) herein based on the observed historical information and/or the results of any audit or field exam of the Originators.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Specific Reporting Event</w:t>
      </w:r>
      <w:r>
        <w:rPr>
          <w:color w:val="000000"/>
        </w:rPr>
        <w:t xml:space="preserve">” </w:t>
      </w:r>
      <w:r>
        <w:rPr>
          <w:rFonts w:ascii="Times New Roman;serif" w:hAnsi="Times New Roman;serif"/>
          <w:b w:val="false"/>
          <w:color w:val="000000"/>
          <w:sz w:val="24"/>
        </w:rPr>
        <w:t xml:space="preserve">shall occur when (i) the Minimum Liquidity Amount has not been maintained for a period of five (5) consecutive Business Days;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Specific Reporting Event shall cease to occur once the Minimum Liquidity Amount has been maintained for a period of thirty (30) consecutive calendar days or (ii) as of the date most recently reported by the Servicer, the Consolidated Total Leverage Ratio is greater than, or equal to, 4.50:1.00.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Spot Rate</w:t>
      </w:r>
      <w:r>
        <w:rPr>
          <w:color w:val="000000"/>
        </w:rPr>
        <w:t xml:space="preserve">” </w:t>
      </w:r>
      <w:r>
        <w:rPr>
          <w:rFonts w:ascii="Times New Roman;serif" w:hAnsi="Times New Roman;serif"/>
          <w:b w:val="false"/>
          <w:color w:val="000000"/>
          <w:sz w:val="24"/>
        </w:rPr>
        <w:t xml:space="preserve">means, on any day, (a) for the purpose of exchanging U.S. Dollars to Alternative Currency or Alternative Currency to U.S. Dollars in connection with applying funds to pay amounts owing hereunder or under the Transaction Documents in accordance with this Agreement, the actual rate used by the Administrative Agent’s principal foreign exchange trading office for the purchase by the Administrative Agent of the applicable currency with the other currency through its principal foreign exchange trading office, and (b) for the purpose of making any calculation hereunder that does not require the actual exchange of U.S. Dollars for Alternative Currency or Alternative Currency for U.S. Dollars to make a payment of amounts owing hereunder or under the Transaction Documents, (i) with respect to the determination of the U.S. Dollar Equivalent of any amount denominated in Alternative Currency, the exchange rate at which such Alternative Currency may be exchanged into U.S. Dollars as set forth at approximately 11:00 a.m. New York City time, on such day as published on the Bloomberg Key Cross-Currency Rates Page for such Alternative Currency or (ii) with respect to the determination of the Alternative Currency equivalent of any amount denominated in U.S. Dollars, the exchange rate at which U.S. Dollars may be exchanged into Alternative Currency as set forth at approximately 11:00 a.m. New York City time, on such day as published on the Bloomberg Key Cross-Currency Rates Page for U.S. Dollars. In the event that such rate does not appear on any Bloomberg Key Cross Currency Rates Page, the Spot Rate shall be determined by reference to such other publicly available service for displaying exchange rates as may be selected by the Administrative Agent and is reasonably satisfactory to the Servicer, or, in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absence of such an agreement, such Spot Rate shall instead be the arithmetic average of the spot rates of exchange of the Administrative Agent in the market where its foreign currency exchange operations in respect of such currency are then being conducted, at or about 11:00 a.m. New York time, on such date for the purchase of U.S. Dollars with the applicable Alternative Currency for delivery two (2) Business Days later;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at the time of any such determination, for any reason, no such spot rate is being quoted, the Administrative Agent may use any reasonable method it deems appropriate to determine such rate, and such determination shall be conclusive absent manifest error.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Structuring Agent</w:t>
      </w:r>
      <w:r>
        <w:rPr>
          <w:color w:val="000000"/>
        </w:rPr>
        <w:t xml:space="preserve">” </w:t>
      </w:r>
      <w:r>
        <w:rPr>
          <w:rFonts w:ascii="Times New Roman;serif" w:hAnsi="Times New Roman;serif"/>
          <w:b w:val="false"/>
          <w:color w:val="000000"/>
          <w:sz w:val="24"/>
        </w:rPr>
        <w:t>means PNC Capital Markets LLC, a Pennsylvania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Subordinated Note</w:t>
      </w:r>
      <w:r>
        <w:rPr>
          <w:color w:val="000000"/>
        </w:rPr>
        <w:t xml:space="preserve">” </w:t>
      </w:r>
      <w:r>
        <w:rPr>
          <w:rFonts w:ascii="Times New Roman;serif" w:hAnsi="Times New Roman;serif"/>
          <w:b w:val="false"/>
          <w:color w:val="000000"/>
          <w:sz w:val="24"/>
        </w:rPr>
        <w:t>has the meaning set forth in the Purchase and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Sub-Servicer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8.01(d)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any and all present or future taxes, levies, imposts, duties, deductions, charges or withholdings (including backup withholding), assessments, fees or other charges imposed by any Official Body and all interest, penalties, additions to tax and any similar liabilities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Temporarily Ineligible Obligor</w:t>
      </w:r>
      <w:r>
        <w:rPr>
          <w:color w:val="000000"/>
        </w:rPr>
        <w:t xml:space="preserve">” </w:t>
      </w:r>
      <w:r>
        <w:rPr>
          <w:rFonts w:ascii="Times New Roman;serif" w:hAnsi="Times New Roman;serif"/>
          <w:b w:val="false"/>
          <w:color w:val="000000"/>
          <w:sz w:val="24"/>
        </w:rPr>
        <w:t>means Promedon Do Brazil or any other Obligor requested by the Borrower and consented to in writing by the Majority Group Agents in their sole discretion until such time that the Majority Group Agents and the Borrower mutually agree that such Obligor is no longer deemed ineligible (including, for the avoidance of doubt, Promedon Do Brazil).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Temporarily Ineligible Receivable</w:t>
      </w:r>
      <w:r>
        <w:rPr>
          <w:color w:val="000000"/>
        </w:rPr>
        <w:t xml:space="preserve">” </w:t>
      </w:r>
      <w:r>
        <w:rPr>
          <w:rFonts w:ascii="Times New Roman;serif" w:hAnsi="Times New Roman;serif"/>
          <w:b w:val="false"/>
          <w:color w:val="000000"/>
          <w:sz w:val="24"/>
        </w:rPr>
        <w:t>means any Receivable the Obligor of which is a Temporarily Ineligible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 xml:space="preserve">shall mean, with respect to any Loan (or portion thereof) to which the Term SOFR Option applies, for any Interest Period, the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serif" w:hAnsi="Times New Roman;serif"/>
          <w:b w:val="false"/>
          <w:color w:val="000000"/>
          <w:sz w:val="24"/>
          <w:u w:val="single"/>
        </w:rPr>
        <w:t>Term SOFR Determination Date</w:t>
      </w:r>
      <w:r>
        <w:rPr>
          <w:color w:val="000000"/>
        </w:rPr>
        <w:t>”</w:t>
      </w:r>
      <w:r>
        <w:rPr>
          <w:rFonts w:ascii="Times New Roman;serif" w:hAnsi="Times New Roman;serif"/>
          <w:b w:val="false"/>
          <w:color w:val="000000"/>
          <w:sz w:val="24"/>
        </w:rPr>
        <w:t xml:space="preserve">) that is two (2) Business Days prior to the first day of such Interest Period. If the Term SOFR Reference Rate for the applicable tenor has not been published or replaced with a Benchmark Replacement by 5:00 p.m. (Pittsburgh, Pennsylvania time) on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 SOFR Determination Date, then the Term SOFR Reference Rate shall be the Term SOFR Reference Rate for such tenor on the first Business Day preceding such Term SOFR Determination Date for which such Term SOFR Reference Rate for such tenor was published by the Term SOFR Administrator in accordance herewith, so long as such first preceding Business Day is not more than three (3) Business Days prior to such Term SOFR Determination Date. If Term SOFR, determined as provided above, would be less than the Floor, then Term SOFR shall be deemed to be the Floor. Term SOFR shall be adjusted automatically without notice to the Borrower on and as of the first day of each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Determination Date</w:t>
      </w:r>
      <w:r>
        <w:rPr>
          <w:color w:val="000000"/>
        </w:rPr>
        <w:t xml:space="preserve">” </w:t>
      </w:r>
      <w:r>
        <w:rPr>
          <w:rFonts w:ascii="Times New Roman;serif" w:hAnsi="Times New Roman;serif"/>
          <w:b w:val="false"/>
          <w:color w:val="000000"/>
          <w:sz w:val="24"/>
        </w:rPr>
        <w:t>shall have the meaning set forth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Option</w:t>
      </w:r>
      <w:r>
        <w:rPr>
          <w:color w:val="000000"/>
        </w:rPr>
        <w:t xml:space="preserve">” </w:t>
      </w:r>
      <w:r>
        <w:rPr>
          <w:rFonts w:ascii="Times New Roman;serif" w:hAnsi="Times New Roman;serif"/>
          <w:b w:val="false"/>
          <w:color w:val="000000"/>
          <w:sz w:val="24"/>
        </w:rPr>
        <w:t xml:space="preserve">means the option of the Borrower to have Loans bearing interest at the rate and under the terms specified in </w:t>
      </w:r>
      <w:r>
        <w:rPr>
          <w:rFonts w:ascii="Times New Roman;serif" w:hAnsi="Times New Roman;serif"/>
          <w:b w:val="false"/>
          <w:color w:val="000000"/>
          <w:sz w:val="24"/>
          <w:u w:val="single"/>
        </w:rPr>
        <w:t>Section 2.05(a)(ii)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 xml:space="preserve">means with respect to Loans to which the Term SOFR Option applies, a fluctuating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as shall be in effect from time to time equal to (a) Term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SOFR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 Loan</w:t>
      </w:r>
      <w:r>
        <w:rPr>
          <w:color w:val="000000"/>
        </w:rPr>
        <w:t xml:space="preserve">” </w:t>
      </w:r>
      <w:r>
        <w:rPr>
          <w:rFonts w:ascii="Times New Roman;serif" w:hAnsi="Times New Roman;serif"/>
          <w:b w:val="false"/>
          <w:color w:val="000000"/>
          <w:sz w:val="24"/>
        </w:rPr>
        <w:t>means a Loan that bears interest based on the Term SOFR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shall mean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earliest to occur of (a) the Scheduled Termination Date, (b) the date on which the “Termination Date” is declared or deemed to have occurred under </w:t>
      </w:r>
      <w:r>
        <w:rPr>
          <w:rFonts w:ascii="Times New Roman;serif" w:hAnsi="Times New Roman;serif"/>
          <w:b w:val="false"/>
          <w:color w:val="000000"/>
          <w:sz w:val="24"/>
          <w:u w:val="single"/>
        </w:rPr>
        <w:t xml:space="preserve">Section 9.01 </w:t>
      </w:r>
      <w:r>
        <w:rPr>
          <w:rFonts w:ascii="Times New Roman;serif" w:hAnsi="Times New Roman;serif"/>
          <w:b w:val="false"/>
          <w:color w:val="000000"/>
          <w:sz w:val="24"/>
        </w:rPr>
        <w:t xml:space="preserve">(c) the date selected by the Borrower on which all Commitments have been reduced to zero pursuant to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 xml:space="preserve">and (d) the date as determined pursuant to </w:t>
      </w:r>
      <w:r>
        <w:rPr>
          <w:rFonts w:ascii="Times New Roman;serif" w:hAnsi="Times New Roman;serif"/>
          <w:b w:val="false"/>
          <w:color w:val="000000"/>
          <w:sz w:val="24"/>
          <w:u w:val="single"/>
        </w:rPr>
        <w:t>Section 7.01(z)(i)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Total Reserves</w:t>
      </w:r>
      <w:r>
        <w:rPr>
          <w:color w:val="000000"/>
        </w:rPr>
        <w:t xml:space="preserve">” </w:t>
      </w:r>
      <w:r>
        <w:rPr>
          <w:rFonts w:ascii="Times New Roman;serif" w:hAnsi="Times New Roman;serif"/>
          <w:b w:val="false"/>
          <w:color w:val="000000"/>
          <w:sz w:val="24"/>
        </w:rPr>
        <w:t xml:space="preserve">means, at any time of determination, an amount equal to the sum of (a) the product of (i) the sum of: (A) the Yield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greatest of (I) the sum of the Concentration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Minimum Dilution Reserve Percentage and (II) the sum of the Loss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Dilution Reserve Percentage,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(ii) the Adjusted Net Receivables Pool Balance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Currency Reserve Amount;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Temporarily Ineligible Receivables shall be excluded from each component of the calculations used to determine Total Reserves.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 xml:space="preserve">means this Agreement, the Purchase and Sale Agreement, the Account Control Agreement(s), the Fee Letter, each Subordinated Note, the Performance Guaranty and all other certificates, instruments, UCC financing statements, reports, notices, agreements and documents executed or delivered under or in connection with this Agreement, 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case as the same may be amended, supplemented or otherwise modified from time to time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Information</w:t>
      </w:r>
      <w:r>
        <w:rPr>
          <w:color w:val="000000"/>
        </w:rPr>
        <w:t xml:space="preserve">” </w:t>
      </w:r>
      <w:r>
        <w:rPr>
          <w:rFonts w:ascii="Times New Roman;serif" w:hAnsi="Times New Roman;serif"/>
          <w:b w:val="false"/>
          <w:color w:val="000000"/>
          <w:sz w:val="24"/>
        </w:rPr>
        <w:t>means any information provided to any Rating Agency, in each case, to the extent related to such Rating Agency providing or proposing to provide a rating of any Notes or monitoring such rating including, without limitation, information in connection with the Borrower, the Originator, the Servicer or the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from time to time in effect in the applicable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Unbilled Receivable</w:t>
      </w:r>
      <w:r>
        <w:rPr>
          <w:color w:val="000000"/>
        </w:rPr>
        <w:t xml:space="preserve">” </w:t>
      </w:r>
      <w:r>
        <w:rPr>
          <w:rFonts w:ascii="Times New Roman;serif" w:hAnsi="Times New Roman;serif"/>
          <w:b w:val="false"/>
          <w:color w:val="000000"/>
          <w:sz w:val="24"/>
        </w:rPr>
        <w:t>means, at any time, any Receivable as to which the invoice or bill with respect thereto has not yet been sent to the Obligor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Unmatured Event of Default</w:t>
      </w:r>
      <w:r>
        <w:rPr>
          <w:color w:val="000000"/>
        </w:rPr>
        <w:t xml:space="preserve">” </w:t>
      </w:r>
      <w:r>
        <w:rPr>
          <w:rFonts w:ascii="Times New Roman;serif" w:hAnsi="Times New Roman;serif"/>
          <w:b w:val="false"/>
          <w:color w:val="000000"/>
          <w:sz w:val="24"/>
        </w:rPr>
        <w:t>means an event that but for notice or lapse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Unmatured Purchase and Sale Termination Event</w:t>
      </w:r>
      <w:r>
        <w:rPr>
          <w:color w:val="000000"/>
        </w:rPr>
        <w:t xml:space="preserve">” </w:t>
      </w:r>
      <w:r>
        <w:rPr>
          <w:rFonts w:ascii="Times New Roman;serif" w:hAnsi="Times New Roman;serif"/>
          <w:b w:val="false"/>
          <w:color w:val="000000"/>
          <w:sz w:val="24"/>
        </w:rPr>
        <w:t>has the meaning set forth in the Purchase and Sale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Dollar Equivalent</w:t>
      </w:r>
      <w:r>
        <w:rPr>
          <w:color w:val="000000"/>
        </w:rPr>
        <w:t xml:space="preserve">” </w:t>
      </w:r>
      <w:r>
        <w:rPr>
          <w:rFonts w:ascii="Times New Roman;serif" w:hAnsi="Times New Roman;serif"/>
          <w:b w:val="false"/>
          <w:color w:val="000000"/>
          <w:sz w:val="24"/>
        </w:rPr>
        <w:t>means, on any date on which a determination thereof is to be made, with respect to (a) any amount denominated in U.S. Dollars, such amount and (b) any amount denominated in an Alternative Currency, the U.S. Dollar equivalent of such amount of such Alternative Currency determined by reference to the Spot Rate determined as of such determination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Obligor</w:t>
      </w:r>
      <w:r>
        <w:rPr>
          <w:color w:val="000000"/>
        </w:rPr>
        <w:t xml:space="preserve">” </w:t>
      </w:r>
      <w:r>
        <w:rPr>
          <w:rFonts w:ascii="Times New Roman;serif" w:hAnsi="Times New Roman;serif"/>
          <w:b w:val="false"/>
          <w:color w:val="000000"/>
          <w:sz w:val="24"/>
        </w:rPr>
        <w:t>means an Obligor that is (a) a corporation or other business organization and is organized under the laws of the United States of America (or of a United States of America territory, district, state, commonwealth, or possession, including, without limitation, Puerto Rico and the U.S. Virgin Islands) or any political subdivision thereof, (b) the federal government of the United States of America or any political subdivision, department, affiliate, agency or other entity thereof, and (c) any state or local government body in the United States of America or any political subdivision, department, affiliate, agency or other entity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4.03(f)(ii)(B)(3)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Volcker Rule</w:t>
      </w:r>
      <w:r>
        <w:rPr>
          <w:color w:val="000000"/>
        </w:rPr>
        <w:t xml:space="preserve">” </w:t>
      </w:r>
      <w:r>
        <w:rPr>
          <w:rFonts w:ascii="Times New Roman;serif" w:hAnsi="Times New Roman;serif"/>
          <w:b w:val="false"/>
          <w:color w:val="000000"/>
          <w:sz w:val="24"/>
        </w:rPr>
        <w:t>means Section 13 of the U.S. Bank Holding Company Act of 1956, as amended, and the applicable rules and regulations thereunder.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Voting Securities</w:t>
      </w:r>
      <w:r>
        <w:rPr>
          <w:color w:val="000000"/>
        </w:rPr>
        <w:t xml:space="preserve">” </w:t>
      </w:r>
      <w:r>
        <w:rPr>
          <w:rFonts w:ascii="Times New Roman;serif" w:hAnsi="Times New Roman;serif"/>
          <w:b w:val="false"/>
          <w:color w:val="000000"/>
          <w:sz w:val="24"/>
        </w:rPr>
        <w:t>means, with respect to any Person, securities or other ownership interests having by the terms thereof ordinary voting power to elect the board of directors or other persons performing similar functions of such Person (irrespective of whether or not at such time securities or other ownership interests of any other class or classes of such Person shall have or might have voting power by reason of the happening of any contingency).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Weighted Average Remaining Credit Terms</w:t>
      </w:r>
      <w:r>
        <w:rPr>
          <w:color w:val="000000"/>
        </w:rPr>
        <w:t xml:space="preserve">” </w:t>
      </w:r>
      <w:r>
        <w:rPr>
          <w:rFonts w:ascii="Times New Roman;serif" w:hAnsi="Times New Roman;serif"/>
          <w:b w:val="false"/>
          <w:color w:val="000000"/>
          <w:sz w:val="24"/>
        </w:rPr>
        <w:t xml:space="preserve">means, for any Fiscal Month, the weighted average (weighted based on the Outstanding Balance of all Pool Receivables) remaining payment period (computed in days and calculated based on the difference between the date of determination and the stated due date for payment) of invoices for all Pool Receivables (for which the related stated due date for payment has not occurred as of such date of determination) as of the last day of such Fiscal Month.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Reserve Percentage</w:t>
      </w:r>
      <w:r>
        <w:rPr>
          <w:color w:val="000000"/>
        </w:rPr>
        <w:t xml:space="preserve">” </w:t>
      </w:r>
      <w:r>
        <w:rPr>
          <w:rFonts w:ascii="Times New Roman;serif" w:hAnsi="Times New Roman;serif"/>
          <w:b w:val="false"/>
          <w:color w:val="000000"/>
          <w:sz w:val="24"/>
        </w:rPr>
        <w:t>means at any time of determination: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1.50 x DSO x (BR + SFR)</w:t>
      </w:r>
      <w:r>
        <w:rPr>
          <w:rFonts w:ascii="Times New Roman;serif" w:hAnsi="Times New Roman;serif"/>
          <w:b w:val="false"/>
          <w:color w:val="000000"/>
          <w:sz w:val="24"/>
        </w:rPr>
        <w:br/>
        <w:t>        360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BR    =    the Base Rate;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DSO    =    the Days’ Sales Outstanding for the most recently ended Fiscal Month; and</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SFR    =    the Servicing Fee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Other Interpretative Matters</w:t>
      </w:r>
      <w:r>
        <w:rPr>
          <w:rFonts w:ascii="Times New Roman;serif" w:hAnsi="Times New Roman;serif"/>
          <w:b w:val="false"/>
          <w:color w:val="000000"/>
          <w:sz w:val="24"/>
        </w:rPr>
        <w:t xml:space="preserve">. 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Section, Schedule or Exhibit are references to Sections, Schedules and Exhibits in or to such agreement (or the certificate or other document in which the reference is made), and references to any paragraph, subsection, clause or other subdivision within any Section or definition refer to such paragraph, subsection, clause or other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 (l) the term “or” is not exclusive.</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br/>
        <w:t>TERMS OF THE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Loan Facility</w:t>
      </w:r>
      <w:r>
        <w:rPr>
          <w:rFonts w:ascii="Times New Roman;serif" w:hAnsi="Times New Roman;serif"/>
          <w:b w:val="false"/>
          <w:color w:val="000000"/>
          <w:sz w:val="24"/>
        </w:rPr>
        <w:t xml:space="preserve">. Upon a request by the Borrower pursuant to </w:t>
      </w:r>
      <w:r>
        <w:rPr>
          <w:rFonts w:ascii="Times New Roman;serif" w:hAnsi="Times New Roman;serif"/>
          <w:b w:val="false"/>
          <w:color w:val="000000"/>
          <w:sz w:val="24"/>
          <w:u w:val="single"/>
        </w:rPr>
        <w:t>Section 2.02</w:t>
      </w:r>
      <w:r>
        <w:rPr>
          <w:rFonts w:ascii="Times New Roman;serif" w:hAnsi="Times New Roman;serif"/>
          <w:b w:val="false"/>
          <w:color w:val="000000"/>
          <w:sz w:val="24"/>
        </w:rPr>
        <w:t>, and on the terms and subject to the conditions hereinafter set forth, the Conduit Lenders, ratably, in accordance with the aggregate of the Commitments of the Related Committed Lenders with respect to each such Conduit Lender, severally and not jointly, may, in their sole discretion, make Loans to the Borrower on a revolving basis, and if and to the extent any Conduit Lender does not make any such requested Loan or if any Group does not include a Conduit Lender, the Related Committed Lender(s) for such Conduit Lender or the Committed Lender for such Group, as the case may be, shall, ratably in accordance with their respective Commitments and subject to Section 2.02(b), severally and not jointly, make such Loans to the Borrower, in either case, from time to time during the period from the Closing Date to the Termination Date. Under no circumstances shall any Lender be obligated to make any such Loan if, after giving effect to such Loan: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Aggregate Capital would exceed the Facility Limit at such time;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sum of (A) the Capital of such Lender,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aggregate outstanding Capital of each other Lender in its Group, would exceed the Group Commitment of such Lender’s Group;</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such Lender is a Committed Lender, the aggregate outstanding Capital of such Committed Lender would exceed its Commitment;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Aggregate Capital would exceed the Borrowing Base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Making Loans; Repayment of Loans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Loan hereunder shall be made at the written request from the Borrower to the Administrative Agent and each Group Agent in the form of a Loan Request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at any time when PNC (or an Affiliate thereof) is the Administrative Agent and the Borrower has entered into a PINACLE Agreement, then any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request for a Loan made by the Borrower using PINACLE shall constitute a Loan Request. Each Loan Request (1) shall be made by the Borrower no later than (x) in the case of a Loan Request made pursuant to PINACLE, 4:00 p.m. New York City time at least two (2) Business Days prior to the proposed date of such Loan, or (y) in the case of any other Loan Request, 1:00 p.m. New York City time at least two (2) Business Days prior to the proposed date of such Loan (</w:t>
      </w:r>
      <w:r>
        <w:rPr>
          <w:rFonts w:ascii="Times New Roman;serif" w:hAnsi="Times New Roman;serif"/>
          <w:b w:val="false"/>
          <w:color w:val="000000"/>
          <w:sz w:val="24"/>
          <w:u w:val="single"/>
        </w:rPr>
        <w:t>it being understood</w:t>
      </w:r>
      <w:r>
        <w:rPr>
          <w:color w:val="000000"/>
        </w:rPr>
        <w:t xml:space="preserve"> </w:t>
      </w:r>
      <w:r>
        <w:rPr>
          <w:rFonts w:ascii="Times New Roman;serif" w:hAnsi="Times New Roman;serif"/>
          <w:b w:val="false"/>
          <w:color w:val="000000"/>
          <w:sz w:val="24"/>
        </w:rPr>
        <w:t>that any such request made after such time shall be deemed to have been made on the following Business Day) and (2) shall specify (i) the amount of the Loan(s) requested (which shall not be less than one million dollars ($1,000,000) and shall be an integral multiple of one hundred thousand dollars ($100,000)), (ii) other than for a Loan Request made pursuant to PINACLE, the allocation of such amount among the Groups (which shall be ratable based on the Group Commitments), (iii) the account to which the proceeds of such Loan shall be distributed and (iv) the date such requested Loan is to be made (which shall be a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On the date of each Loan specified in the applicable Loan Request, the Lenders shall, upon satisfaction of the applicable conditions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pursuant to the other conditions set forth in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make available to the Borrower in same day funds an aggregate amount equal to the amount of such Loans requested, at the account set forth in the related Loan Request. Notwithstanding anything to the contrary set forth in this </w:t>
      </w:r>
      <w:r>
        <w:rPr>
          <w:rFonts w:ascii="Times New Roman;serif" w:hAnsi="Times New Roman;serif"/>
          <w:b w:val="false"/>
          <w:color w:val="000000"/>
          <w:sz w:val="24"/>
          <w:u w:val="single"/>
        </w:rPr>
        <w:t>Section 2.02(b)</w:t>
      </w:r>
      <w:r>
        <w:rPr>
          <w:color w:val="000000"/>
        </w:rPr>
        <w:t xml:space="preserve"> </w:t>
      </w:r>
      <w:r>
        <w:rPr>
          <w:rFonts w:ascii="Times New Roman;serif" w:hAnsi="Times New Roman;serif"/>
          <w:b w:val="false"/>
          <w:color w:val="000000"/>
          <w:sz w:val="24"/>
        </w:rPr>
        <w:t>or otherwise in this Agreement, the parties hereto hereby acknowledge and agree that the Committed Lender in any Group that includes a Conduit Lender may, in its sole discretion, by written notice (a “</w:t>
      </w:r>
      <w:r>
        <w:rPr>
          <w:rFonts w:ascii="Times New Roman;serif" w:hAnsi="Times New Roman;serif"/>
          <w:b w:val="false"/>
          <w:color w:val="000000"/>
          <w:sz w:val="24"/>
          <w:u w:val="single"/>
        </w:rPr>
        <w:t>Deferred Funding Notice</w:t>
      </w:r>
      <w:r>
        <w:rPr>
          <w:color w:val="000000"/>
        </w:rPr>
        <w:t>”</w:t>
      </w:r>
      <w:r>
        <w:rPr>
          <w:rFonts w:ascii="Times New Roman;serif" w:hAnsi="Times New Roman;serif"/>
          <w:b w:val="false"/>
          <w:color w:val="000000"/>
          <w:sz w:val="24"/>
        </w:rPr>
        <w:t xml:space="preserve">) delivered to the Administrative Agent and the Borrower, elect to fund its related portion of any Loan requested by the Borrower in accordance with </w:t>
      </w:r>
      <w:r>
        <w:rPr>
          <w:rFonts w:ascii="Times New Roman;serif" w:hAnsi="Times New Roman;serif"/>
          <w:b w:val="false"/>
          <w:color w:val="000000"/>
          <w:sz w:val="24"/>
          <w:u w:val="single"/>
        </w:rPr>
        <w:t>Section 2.02(a)</w:t>
      </w:r>
      <w:r>
        <w:rPr>
          <w:color w:val="000000"/>
        </w:rPr>
        <w:t xml:space="preserve"> </w:t>
      </w:r>
      <w:r>
        <w:rPr>
          <w:rFonts w:ascii="Times New Roman;serif" w:hAnsi="Times New Roman;serif"/>
          <w:b w:val="false"/>
          <w:color w:val="000000"/>
          <w:sz w:val="24"/>
        </w:rPr>
        <w:t>on or before the thirty-third (33</w:t>
      </w:r>
      <w:r>
        <w:rPr>
          <w:rFonts w:ascii="Times New Roman;serif" w:hAnsi="Times New Roman;serif"/>
          <w:b w:val="false"/>
          <w:color w:val="000000"/>
          <w:sz w:val="16"/>
        </w:rPr>
        <w:t>rd</w:t>
      </w:r>
      <w:r>
        <w:rPr>
          <w:rFonts w:ascii="Times New Roman;serif" w:hAnsi="Times New Roman;serif"/>
          <w:b w:val="false"/>
          <w:color w:val="000000"/>
          <w:sz w:val="24"/>
        </w:rPr>
        <w:t>) day (or, if such day is not a Business Day, the next succeeding Business Day) following the Borrower’s delivery of the related Loan Request (the “</w:t>
      </w:r>
      <w:r>
        <w:rPr>
          <w:rFonts w:ascii="Times New Roman;serif" w:hAnsi="Times New Roman;serif"/>
          <w:b w:val="false"/>
          <w:color w:val="000000"/>
          <w:sz w:val="24"/>
          <w:u w:val="single"/>
        </w:rPr>
        <w:t>Deferred Funding Date</w:t>
      </w:r>
      <w:r>
        <w:rPr>
          <w:color w:val="000000"/>
        </w:rPr>
        <w:t>”</w:t>
      </w:r>
      <w:r>
        <w:rPr>
          <w:rFonts w:ascii="Times New Roman;serif" w:hAnsi="Times New Roman;serif"/>
          <w:b w:val="false"/>
          <w:color w:val="000000"/>
          <w:sz w:val="24"/>
        </w:rPr>
        <w:t>), rather than on the date requested in such Loan Request (any Committed Lender making such an election, a “</w:t>
      </w:r>
      <w:r>
        <w:rPr>
          <w:rFonts w:ascii="Times New Roman;serif" w:hAnsi="Times New Roman;serif"/>
          <w:b w:val="false"/>
          <w:color w:val="000000"/>
          <w:sz w:val="24"/>
          <w:u w:val="single"/>
        </w:rPr>
        <w:t>Deferred Committed Lender</w:t>
      </w:r>
      <w:r>
        <w:rPr>
          <w:color w:val="000000"/>
        </w:rPr>
        <w:t xml:space="preserve">” </w:t>
      </w:r>
      <w:r>
        <w:rPr>
          <w:rFonts w:ascii="Times New Roman;serif" w:hAnsi="Times New Roman;serif"/>
          <w:b w:val="false"/>
          <w:color w:val="000000"/>
          <w:sz w:val="24"/>
        </w:rPr>
        <w:t>and any Committed Lender that is not a Deferred Committed Lender with respect to any Loan Request, a “</w:t>
      </w:r>
      <w:r>
        <w:rPr>
          <w:rFonts w:ascii="Times New Roman;serif" w:hAnsi="Times New Roman;serif"/>
          <w:b w:val="false"/>
          <w:color w:val="000000"/>
          <w:sz w:val="24"/>
          <w:u w:val="single"/>
        </w:rPr>
        <w:t>Non-Deferred Committed Lender</w:t>
      </w:r>
      <w:r>
        <w:rPr>
          <w:color w:val="000000"/>
        </w:rPr>
        <w:t xml:space="preserve">” </w:t>
      </w:r>
      <w:r>
        <w:rPr>
          <w:rFonts w:ascii="Times New Roman;serif" w:hAnsi="Times New Roman;serif"/>
          <w:b w:val="false"/>
          <w:color w:val="000000"/>
          <w:sz w:val="24"/>
        </w:rPr>
        <w:t xml:space="preserve">with respect to such Loan Request). Each Deferred Funding Notice shall be delivered by the applicable Deferred Committed Lender (or its Group Agent on its behalf) to the Borrower and the Administrative Agent not later than 12:00 p.m. New York City time) one (1) Business Day prior to the date such proposed Loan is to be made. No Deferred Committed Lender (or, for the avoidance of doubt, any related Conduit Lender) shall be obligated to fund its ratable portion of such Loan being requested until the applicable Deferred Funding Date. A Deferred Committed Lender shall (or its related Conduit Lender may, in its sole discretion) fund its ratable portion of such Loan being requested on the applicable Deferred Funding Date (including, without limitation, if such Deferred Funding Date occurs on or after the Termination Date). The Borrower shall be obligated to accept the proceeds of such Deferred Committed Lender’s ratable portion of a Loan requested on the applicable Deferred Funding Date in accordance with this </w:t>
      </w:r>
      <w:r>
        <w:rPr>
          <w:rFonts w:ascii="Times New Roman;serif" w:hAnsi="Times New Roman;serif"/>
          <w:b w:val="false"/>
          <w:color w:val="000000"/>
          <w:sz w:val="24"/>
          <w:u w:val="single"/>
        </w:rPr>
        <w:t>Section 2.02(b)</w:t>
      </w:r>
      <w:r>
        <w:rPr>
          <w:rFonts w:ascii="Times New Roman;serif" w:hAnsi="Times New Roman;serif"/>
          <w:b w:val="false"/>
          <w:color w:val="000000"/>
          <w:sz w:val="24"/>
        </w:rPr>
        <w:t>. Notwithstanding anything to the contrary contained in this Agreement or any other Transaction Document, the parties hereto acknowledge and agree that a Deferred Committed Lender that (i) has timely delivered a Deferred Funding Notice to the Borrower with respect to any Loan Request and (ii) funds its ratable portion of the Loan requested on the applicable Deferred Funding Date, will not be in default of its obligations under this Agreement solely due to its failure to fund its ratable portion of such Loan on the date requested in such Loan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one or more Committed Lenders is a Deferred Committed Lender with respect to any Loan Request and the Administrative Agent has received notice thereof in accordance with this Section 2.02(b), the Administrative Agent shall notify each of the Non-Deferred Committed Lenders not later than 4:00 p.m. (New York City time) on the Business Day preceding the date requested in such Loan Request. Each of the Non-Deferred Committed Lenders may, in its sole discretion, make available to the Borrower a supplemental Loan (a “Deferred Supplemental Loan”) in a principal amount equal to the aggregate principal of the Loan that was unfunded by Deferred Committed Lenders multiplied by a fraction, the numerator of which is the Commitment of such Non-Deferred Committed Lender and the denominator of which is the aggregate Commitment of all Non-Deferred Committed Lenders. Each of the Non-Deferred Committed Lenders shall notify the Administrative Agent, the Borrower and the Servicer no later than 11:00 a.m. (New York City time) on the date requested in such Loan Request whether or not such Non-Deferred Committed Lender agrees, in its sole discretion, to make such Deferred Supplemental Loan. Any Non-Deferred Committed Lender not responding prior to 11:00 a.m. (New York City time) on the date requested in such Loan Request shall be deemed to have declined to fund such Deferred Supplemental Loan. Such Deferred Supplemental Loans shall, upon satisfaction of the applicable conditions set forth in Article V and pursuant to the other conditions set forth in this Article II, be made by wire transfer in Dollars in same day funds no later than 1:00 p.m. (New York City time) two (2) Business Days following the related date requested in such Loan Request. On the Deferred Funding Date for each Deferred Committed Lender, the Servicer shall, at the written direction of the Borrower, apply the fundings made by the related Deferred Committed Lender (i) first, pro rata to repay any Deferred Supplemental Loans made by the Non-Deferred Committed Lenders pursuant to this Section 2.02(b) until such time as all Capital is held by the Committed Lenders pro rata in accordance with their Commitments and (ii) second, after the principal of Deferred Supplemental Loans made by Non-Deferred Committed Lenders has been repaid by the related Loans funded by the Deferred Committed Lenders, to the Borrower, the portion of the requested Loan that was unfunded after giving effect to Deferred Supplemental Loans. The proceeds of any Loan when funded by a Deferred Committed Lender on the applicable Deferred Funding Date shall be applied in accordance with the preceding sentence and the Borrower and each Lender shall be obligated to accept the proceeds of any Loan when funded by a Deferred Committed Lender as set forth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Committed Lender’s obligation shall be several, such that the failure of any Committed Lender to make available to the Borrower any funds in connection with any Loan shall not relieve any other Committed Lender of its obligation, if any, hereunder to make funds available on the date such Loans are requested (</w:t>
      </w:r>
      <w:r>
        <w:rPr>
          <w:rFonts w:ascii="Times New Roman;serif" w:hAnsi="Times New Roman;serif"/>
          <w:b w:val="false"/>
          <w:color w:val="000000"/>
          <w:sz w:val="24"/>
          <w:u w:val="single"/>
        </w:rPr>
        <w:t>it</w:t>
      </w:r>
      <w:r>
        <w:rPr>
          <w:color w:val="000000"/>
        </w:rPr>
        <w:t xml:space="preserve"> </w:t>
      </w:r>
      <w:r>
        <w:rPr>
          <w:rFonts w:ascii="Times New Roman;serif" w:hAnsi="Times New Roman;serif"/>
          <w:b w:val="false"/>
          <w:color w:val="000000"/>
          <w:sz w:val="24"/>
          <w:u w:val="single"/>
        </w:rPr>
        <w:t>being</w:t>
      </w:r>
      <w:r>
        <w:rPr>
          <w:color w:val="000000"/>
        </w:rPr>
        <w:t xml:space="preserve"> </w:t>
      </w:r>
      <w:r>
        <w:rPr>
          <w:rFonts w:ascii="Times New Roman;serif" w:hAnsi="Times New Roman;serif"/>
          <w:b w:val="false"/>
          <w:color w:val="000000"/>
          <w:sz w:val="24"/>
          <w:u w:val="single"/>
        </w:rPr>
        <w:t>understood</w:t>
      </w:r>
      <w:r>
        <w:rPr>
          <w:rFonts w:ascii="Times New Roman;serif" w:hAnsi="Times New Roman;serif"/>
          <w:b w:val="false"/>
          <w:color w:val="000000"/>
          <w:sz w:val="24"/>
        </w:rPr>
        <w:t>, that no Committed Lender shall be responsible for the failure of any other Committed Lender (other than a Committed Lender in its Group) to make funds available to the Borrower in connection with any Loan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Borrower shall repay in full the outstanding Capital of each Lender on the Final Maturity Date. Prior thereto, the Borrower shall, on each Settlement Date, make a prepayment of the outstanding Capital of the Lenders to the extent required under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and otherwise in accordance therewith. Notwithstanding the foregoing, the Borrower, in its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discretion, shall have the right to make a prepayment, in whole or in part, of the outstanding Capital of the Lenders (i) on any Business Day if, at such time, (A) PNC (or an Affiliate thereof) is the Administrative Agent, (B) the Borrower has entered into a PINACLE Agreement and (C) such prepayment is made with PINACLE;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such prepayment made with PINACLE after 4:00 p.m. New York City time on any day shall be deemed to have been made on the next occurring Business Day, or (ii) on any Business Day upon at least (x) with respect to any Base Rate Loan, one (1) Business Day’s prior written notice thereof to the Administrative Agent and each Group Agent, and (y) with respect to any Term SOFR Rate Loan or Daily SOFR Rate Loan, three (3) Business Days prior written notice thereof to the Administrative Agent and each Group Agent, in any case in the form of a Reduction Notice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each such prepayment shall be in a minimum aggregate amount of one hundred thousand dollars ($100,000) and shall be an integral multiple of one hundred thousand dollars ($100,000);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notwithstanding the foregoing, a prepayment may be in an amount necessary to reduce any Borrowing Base Deficit existing at such time or the outstanding Capital of the Lenders to zero ($0), (ii) the Borrower shall not provide any Reduction Notice or corresponding notice through PINACLE as contemplated above, and no such Reduction Notice or corresponding notice through PINACLE shall be effective, if after giving effect thereto, the Aggregate Capital at such time would be less than an amount equal to the Minimum Funding Threshold and (iii) any accrued Interest and Fees in respect of such prepaid Capital shall be paid on the immediately following Settlement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Borrower shall not provide any Reduction Notice, and no such Reduction Notice shall be effective, if after giving effect thereto, the Aggregate Capital at such time would be less than the Minimum Funding Threshold.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All prepayments required pursuant to this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shall be applied first to Base Rate Loans, then to Daily SOFR Rate Loans, then to Term SOFR Rate Loans. In accordance with </w:t>
      </w:r>
      <w:r>
        <w:rPr>
          <w:rFonts w:ascii="Times New Roman;serif" w:hAnsi="Times New Roman;serif"/>
          <w:b w:val="false"/>
          <w:color w:val="000000"/>
          <w:sz w:val="24"/>
          <w:u w:val="single"/>
        </w:rPr>
        <w:t>Section 12.01</w:t>
      </w:r>
      <w:r>
        <w:rPr>
          <w:rFonts w:ascii="Times New Roman;serif" w:hAnsi="Times New Roman;serif"/>
          <w:b w:val="false"/>
          <w:color w:val="000000"/>
          <w:sz w:val="24"/>
        </w:rPr>
        <w:t>, the Borrower shall indemnify the Lenders for any loss or expense, including loss of margin, incurred with respect to any such prepayments applied against Loans subject to a Term SOFR Option or Daily SOFR Option on any day other than the last day of the applicable Interest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Decreases or Increases in Commitments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Borrower may, at any time upon at least thirty (30) calendar days’ prior written notice to the Administrative Agent and each Group Agent, terminate the Facility Limit in whole or ratably reduce the Facility Limit in part. Each partial reduction in the Facility Limit shall be in a minimum aggregate amount of five million dollars ($5,000,000) or integral multiples of one million dollars ($1,000,000) in excess thereof, and no such partial reduction shall reduce the Facility Limit to an amount less than one hundred million dollars ($100,000,000). In connection with any partial reduction in the Facility Limit, the Commitment of each Committed Lender shall be ratably reduced.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(ii)So long as no Event of Default or Unmatured Event of Default has occurred and is continuing, the Borrower may, with the prior written consent of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Majority Group Agents (in their sole discretion), upon thirty (30) calendar days’ prior written notice to the Administrative Agent and the Majority Group Agents, from time to time, request an increase in the Commitment with respect to one or more Lenders (and a related increase in the Facility Limit) or cause additional Persons to become parties to this Agreement, as lenders, at any time following the Closing Date and prior to the Termination Date; it being understood and agreed that the Administrative Agent, any Majority Group Agent or any Lender increasing its Commitment pursuant to this </w:t>
      </w:r>
      <w:r>
        <w:rPr>
          <w:rFonts w:ascii="Times New Roman;serif" w:hAnsi="Times New Roman;serif"/>
          <w:b w:val="false"/>
          <w:color w:val="000000"/>
          <w:sz w:val="24"/>
          <w:u w:val="single"/>
        </w:rPr>
        <w:t>Section 2.02(e)(ii)</w:t>
      </w:r>
      <w:r>
        <w:rPr>
          <w:color w:val="000000"/>
        </w:rPr>
        <w:t xml:space="preserve"> </w:t>
      </w:r>
      <w:r>
        <w:rPr>
          <w:rFonts w:ascii="Times New Roman;serif" w:hAnsi="Times New Roman;serif"/>
          <w:b w:val="false"/>
          <w:color w:val="000000"/>
          <w:sz w:val="24"/>
        </w:rPr>
        <w:t xml:space="preserve">may request any of (A) resolutions of the Board of Managers of the Borrower approving or consenting to such Commitment increase and authorizing the execution, delivery and performance of any amendment to this Agreement, (B) a corporate and enforceability opinion of counsel of the Borrower and (C) such other documents, agreements and opinions reasonably requested by the Administrative Agent, such Majority Group Agent or such Lender. For the avoidance of doubt, Any such Person not responding within such time period shall be deemed to have declined to consent to an increase in such Lender’s Commitment.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 connection with any reduction of the Commitments, the Borrower shall remit to the Administrative Agent (i) instructions regarding such reduction and (ii) for payment to the Lenders, cash in an amount sufficient to pay (A) Capital of Lenders in each Group in excess of the Group Commitment of such Group and (B) all other outstanding Borrower Obligations with respect to such reduction (determined based on the ratio of the reduction of the Commitments being effected to the amount of the Commitments prior to such reduction or, if the Administrative Agent reasonably determines that any portion of the outstanding Borrower Obligations is allocable solely to that portion of the Commitments being reduced or has arisen solely as a result of such reduction, all of such portion) including, without duplication, any associated Breakage Fees. Upon receipt of any such amounts, the Administrative Agent shall apply such amounts first to the reduction of the outstanding Capital, and second to the payment of the remaining outstanding Borrower Obligations with respect to such reduction, including any Breakage Fees, by paying such amounts to the Lenders.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The Borrower hereby covenants and agrees from time to time to request Loans pursuant to </w:t>
      </w:r>
      <w:r>
        <w:rPr>
          <w:rFonts w:ascii="Times New Roman;serif" w:hAnsi="Times New Roman;serif"/>
          <w:b w:val="false"/>
          <w:color w:val="000000"/>
          <w:sz w:val="24"/>
          <w:u w:val="single"/>
        </w:rPr>
        <w:t>Section 2.02(a)</w:t>
      </w:r>
      <w:r>
        <w:rPr>
          <w:color w:val="000000"/>
        </w:rPr>
        <w:t xml:space="preserve"> </w:t>
      </w:r>
      <w:r>
        <w:rPr>
          <w:rFonts w:ascii="Times New Roman;serif" w:hAnsi="Times New Roman;serif"/>
          <w:b w:val="false"/>
          <w:color w:val="000000"/>
          <w:sz w:val="24"/>
        </w:rPr>
        <w:t xml:space="preserve">in amounts and at such times such that the Aggregate Capital at all times is no less than the Minimum Funding Threshold at such time; it being understood and agreed that each Credit Extension pursuant to this Agreement is subject to the applicable conditions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the other conditions set forth in this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Interest and Fees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On each Settlement Date, the Borrower shall, in accordance with the terms and priorities for payment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 pay to each Group Agent, each Lender, the Administrative Agent and the Structuring Agent certain fees (collectively, the “</w:t>
      </w:r>
      <w:r>
        <w:rPr>
          <w:rFonts w:ascii="Times New Roman;serif" w:hAnsi="Times New Roman;serif"/>
          <w:b w:val="false"/>
          <w:color w:val="000000"/>
          <w:sz w:val="24"/>
          <w:u w:val="single"/>
        </w:rPr>
        <w:t>Fees</w:t>
      </w:r>
      <w:r>
        <w:rPr>
          <w:color w:val="000000"/>
        </w:rPr>
        <w:t>”</w:t>
      </w:r>
      <w:r>
        <w:rPr>
          <w:rFonts w:ascii="Times New Roman;serif" w:hAnsi="Times New Roman;serif"/>
          <w:b w:val="false"/>
          <w:color w:val="000000"/>
          <w:sz w:val="24"/>
        </w:rPr>
        <w:t>) in the amounts set forth in the fee letter agreements from time to time entered into, among the Borrower,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serif" w:hAnsi="Times New Roman;serif"/>
          <w:b w:val="false"/>
          <w:color w:val="000000"/>
          <w:sz w:val="24"/>
          <w:u w:val="single"/>
        </w:rPr>
        <w:t>Fee Letter</w:t>
      </w:r>
      <w:r>
        <w:rPr>
          <w:color w:val="000000"/>
        </w:rPr>
        <w:t>”</w:t>
      </w:r>
      <w:r>
        <w:rPr>
          <w:rFonts w:ascii="Times New Roman;serif" w:hAnsi="Times New Roman;serif"/>
          <w:b w:val="false"/>
          <w:color w:val="000000"/>
          <w:sz w:val="24"/>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Undrawn Fees (as defined in the Fee Letter) shall cease to accrue on the unfunded portion of the Commitment of such Defaulting Lender as provided in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Loan of each Lender and the Capital thereof shall accrue interest on each day when such Capital remains outstanding at the then applicable Interest Rate for such Loan. The Borrower shall pay all Interest (including, for the avoidance of doubt, all Interest accrued on Loans during an Interest Period regardless of whether the applicable Interest Period has ended), Fees and Breakage Fees accrued during each Interest Period on each Settlement Date in accordance with the terms and priorities for payment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Records of Loans</w:t>
      </w:r>
      <w:r>
        <w:rPr>
          <w:rFonts w:ascii="Times New Roman;serif" w:hAnsi="Times New Roman;serif"/>
          <w:b w:val="false"/>
          <w:color w:val="000000"/>
          <w:sz w:val="24"/>
        </w:rPr>
        <w:t xml:space="preserve">. Each Group Agent shall record in its records, the date and amount of each Loan made by the Lenders in its Group hereunder, the interest rate with respect thereto, the Interest accrued thereon and each repayment and payment thereof. Subject to </w:t>
      </w:r>
      <w:r>
        <w:rPr>
          <w:rFonts w:ascii="Times New Roman;serif" w:hAnsi="Times New Roman;serif"/>
          <w:b w:val="false"/>
          <w:color w:val="000000"/>
          <w:sz w:val="24"/>
          <w:u w:val="single"/>
        </w:rPr>
        <w:t>Section 13.03(c)</w:t>
      </w:r>
      <w:r>
        <w:rPr>
          <w:rFonts w:ascii="Times New Roman;serif" w:hAnsi="Times New Roman;serif"/>
          <w:b w:val="false"/>
          <w:color w:val="000000"/>
          <w:sz w:val="24"/>
        </w:rPr>
        <w:t>, such records shall be conclusive and binding absent manifest error. The failure to so record any such information or any error in so recording any such information shall not, however, limit or otherwise affect the obligations of the Borrower hereunder or under the other Transaction Documents to repay the Capital of each Lender, together with all Interest accruing thereon and all other Borrower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Selection of Interest Rates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shall have the right to select from the following types of Interest Rate applicable to a Loan:</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i/>
          <w:color w:val="000000"/>
          <w:sz w:val="24"/>
          <w:u w:val="single"/>
        </w:rPr>
        <w:t>Base Rate Option</w:t>
      </w:r>
      <w:r>
        <w:rPr>
          <w:rFonts w:ascii="Times New Roman;serif" w:hAnsi="Times New Roman;serif"/>
          <w:b w:val="false"/>
          <w:color w:val="000000"/>
          <w:sz w:val="24"/>
        </w:rPr>
        <w:t>: the Base Rate (computed on the basis of a year of 365 or 366 days, as the case may be, and actual days elapsed), subject to change automatically from time to time effective as of the effective date of each change in the Base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i/>
          <w:color w:val="000000"/>
          <w:sz w:val="24"/>
          <w:u w:val="single"/>
        </w:rPr>
        <w:t>Term SOFR Option</w:t>
      </w:r>
      <w:r>
        <w:rPr>
          <w:rFonts w:ascii="Times New Roman;serif" w:hAnsi="Times New Roman;serif"/>
          <w:b w:val="false"/>
          <w:color w:val="000000"/>
          <w:sz w:val="24"/>
        </w:rPr>
        <w:t>: the Term SOFR Rate (computed on the basis of a year of 360 days and actual days elapsed) as determined for each applicable Interest Period;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i/>
          <w:color w:val="000000"/>
          <w:sz w:val="24"/>
          <w:u w:val="single"/>
        </w:rPr>
        <w:t>Daily SOFR Option</w:t>
      </w:r>
      <w:r>
        <w:rPr>
          <w:rFonts w:ascii="Times New Roman;serif" w:hAnsi="Times New Roman;serif"/>
          <w:b w:val="false"/>
          <w:color w:val="000000"/>
          <w:sz w:val="24"/>
        </w:rPr>
        <w:t>: the Daily SOFR Rate (computed on the basis of a year of 360 days and actual days elapsed) as determined for each applicable Interest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So long as no Event of Default has occurred and is continuing, the Borrower may from time to time elect to change or continue the type of Interest Rate borne by each Loan or, subject to the minimum amount requirement for each outstanding Loan set forth in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a portion thereof by notice to the Administrative Agent not later than 11:00 a.m. (New York City time), one (1) Business Day prior to the expiration of the applicable Interest Period, as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there shall not be more than three (3) Loans accruing interest at any Interest Rate and outstanding hereunder at any one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for the avoidance of doubt, any change to the Interest Rate applicable to a Loan shall not be effective until the Monthly Settlement Date occurring after the date of such request. Any such notices requesting the continuation or conversion of a Loan to the Administrative Agent may be given 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telephone, telecopy, or other telecommunication device acceptable to the Administrative Agent (which notice shall be irrevocable once given and, if by telephone, shall be promptly confirmed in writing in a manner acceptable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by the time required in </w:t>
      </w:r>
      <w:r>
        <w:rPr>
          <w:rFonts w:ascii="Times New Roman;serif" w:hAnsi="Times New Roman;serif"/>
          <w:b w:val="false"/>
          <w:color w:val="000000"/>
          <w:sz w:val="24"/>
          <w:u w:val="single"/>
        </w:rPr>
        <w:t>Section 2.05(a),</w:t>
      </w:r>
      <w:r>
        <w:rPr>
          <w:color w:val="000000"/>
        </w:rPr>
        <w:t xml:space="preserve"> </w:t>
      </w:r>
      <w:r>
        <w:rPr>
          <w:rFonts w:ascii="Times New Roman;serif" w:hAnsi="Times New Roman;serif"/>
          <w:b w:val="false"/>
          <w:color w:val="000000"/>
          <w:sz w:val="24"/>
        </w:rPr>
        <w:t>the Borrower fails to select an Interest Rate for any Loan, such Loan shall automatically accrue Interest at the Daily SOFR Rate for the next occurring Interest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Undrawn Fees (as defined in the Fee Letter) shall cease to accrue on the unfunded portion of the Commitment of such Defaulting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Commitment and Capital of such Defaulting Lender shall not be included in determining whether the Majority Group Agents have taken or may take any action hereunder (including any consent to any amendment, waiver or other modification pursuant to </w:t>
      </w:r>
      <w:r>
        <w:rPr>
          <w:rFonts w:ascii="Times New Roman;serif" w:hAnsi="Times New Roman;serif"/>
          <w:b w:val="false"/>
          <w:color w:val="000000"/>
          <w:sz w:val="24"/>
          <w:u w:val="single"/>
        </w:rPr>
        <w:t>Section 13.01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except as otherwise provided in </w:t>
      </w:r>
      <w:r>
        <w:rPr>
          <w:rFonts w:ascii="Times New Roman;serif" w:hAnsi="Times New Roman;serif"/>
          <w:b w:val="false"/>
          <w:color w:val="000000"/>
          <w:sz w:val="24"/>
          <w:u w:val="single"/>
        </w:rPr>
        <w:t>Section 13.01</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shall not apply to the vote of a Defaulting Lender in the case of an amendment, waiver or other modification requiring the consent of such Lender or each Lender directly affected thereby (if such Lender is directly affected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that the Administrative Agent, the Borrower and the Servicer each agrees in writing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Pro Rata Percentage;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adjustments shall be made retroactively with respect to fees accrued or payments made by or on behalf of the Borrower while such Lender was a Defaulting Lender, and provided, further, that except to the extent otherwise agreed by the affected parties, no change hereunder from Defaulting Lender to Lender that is not a Defaulting Lender will constitute a waiver or release of any claim of any party hereunder arising from that Lender having been a Defaulting Lender.</w: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br/>
        <w:t>SETTLEMENT PROCEDURES AND PAYMENT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Settlement Procedures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(a)The Servicer shall set aside and hold in trust for the benefit of the Secured Parties (or, upon the occurrence and during the continuation of a Specific Reporting Event or at any time Days’ Sales Outstanding exceeds fifty-five (55) calendar days, if so requested by the Administrative Agent, promptly upon (but in no event later than one (1) Business Day after) receipt of such request, segregate in a separate account approved by the Administrative Agent, which shall be an account maintained and controlled by the Administrative Agent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unless the Administrative Agent otherwise instructs in its sole discretion, for application in accordance with the priority of payments set forth below, all Collections on Pool Receivables that are received by the Servicer or the Borrower or received in any Lock-Box or Collection Account;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so long as each of the conditions precedent set forth in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are satisfied on such date, the Servicer may release to the Borrower from such Collections the amount (if any) necessary to pay (i) the purchase price for Receivables purchased by the Borrower on such date in accordance with the terms of the Purchase and Sale Agreement or (ii) amounts owing by the Borrower to the Originators under the Subordinated Notes (each such release, 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On each Settlement Date, the Servicer (or, following its assumption of control of the Collection Accounts, the Administrative Agent) shall, distribute such Collections in the following order of priority: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first</w:t>
      </w:r>
      <w:r>
        <w:rPr>
          <w:rFonts w:ascii="Times New Roman;serif" w:hAnsi="Times New Roman;serif"/>
          <w:b w:val="false"/>
          <w:color w:val="000000"/>
          <w:sz w:val="24"/>
        </w:rPr>
        <w:t>, to the Servicer for the payment of the accrued Servicing Fees payable for the immediately preceding Interest Period (</w:t>
      </w:r>
      <w:r>
        <w:rPr>
          <w:rFonts w:ascii="Times New Roman;serif" w:hAnsi="Times New Roman;serif"/>
          <w:b w:val="false"/>
          <w:color w:val="000000"/>
          <w:sz w:val="24"/>
          <w:u w:val="single"/>
        </w:rPr>
        <w:t>plus</w:t>
      </w:r>
      <w:r>
        <w:rPr>
          <w:rFonts w:ascii="Times New Roman;serif" w:hAnsi="Times New Roman;serif"/>
          <w:b w:val="false"/>
          <w:color w:val="000000"/>
          <w:sz w:val="24"/>
        </w:rPr>
        <w:t>, if applicable, the amount of Servicing Fees payable for any prior Interest Period to the extent such amount has not been distributed to the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each Lender and other Credit Party (ratably, based on the amount then due and owing), all accrued and unpaid Interest, Fees and Breakage Fees due to such Lender and other Credit Party for the immediately preceding Interest Period (including any additional amounts or indemnified amounts payable under </w:t>
      </w:r>
      <w:r>
        <w:rPr>
          <w:rFonts w:ascii="Times New Roman;serif" w:hAnsi="Times New Roman;serif"/>
          <w:b w:val="false"/>
          <w:color w:val="000000"/>
          <w:sz w:val="24"/>
          <w:u w:val="single"/>
        </w:rPr>
        <w:t>Sections 4.03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12.01</w:t>
      </w:r>
      <w:r>
        <w:rPr>
          <w:color w:val="000000"/>
        </w:rPr>
        <w:t xml:space="preserve"> </w:t>
      </w:r>
      <w:r>
        <w:rPr>
          <w:rFonts w:ascii="Times New Roman;serif" w:hAnsi="Times New Roman;serif"/>
          <w:b w:val="false"/>
          <w:color w:val="000000"/>
          <w:sz w:val="24"/>
        </w:rPr>
        <w:t xml:space="preserve">in respect of such payments), </w:t>
      </w:r>
      <w:r>
        <w:rPr>
          <w:rFonts w:ascii="Times New Roman;serif" w:hAnsi="Times New Roman;serif"/>
          <w:b w:val="false"/>
          <w:color w:val="000000"/>
          <w:sz w:val="24"/>
          <w:u w:val="single"/>
        </w:rPr>
        <w:t>plus</w:t>
      </w:r>
      <w:r>
        <w:rPr>
          <w:rFonts w:ascii="Times New Roman;serif" w:hAnsi="Times New Roman;serif"/>
          <w:b w:val="false"/>
          <w:color w:val="000000"/>
          <w:sz w:val="24"/>
        </w:rPr>
        <w:t xml:space="preserve">, if applicable, the amount of any such Interest, Fees and Breakage Fees (including any additional amounts or indemnified amounts payable under </w:t>
      </w:r>
      <w:r>
        <w:rPr>
          <w:rFonts w:ascii="Times New Roman;serif" w:hAnsi="Times New Roman;serif"/>
          <w:b w:val="false"/>
          <w:color w:val="000000"/>
          <w:sz w:val="24"/>
          <w:u w:val="single"/>
        </w:rPr>
        <w:t>Sections 4.03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12.01</w:t>
      </w:r>
      <w:r>
        <w:rPr>
          <w:color w:val="000000"/>
        </w:rPr>
        <w:t xml:space="preserve"> </w:t>
      </w:r>
      <w:r>
        <w:rPr>
          <w:rFonts w:ascii="Times New Roman;serif" w:hAnsi="Times New Roman;serif"/>
          <w:b w:val="false"/>
          <w:color w:val="000000"/>
          <w:sz w:val="24"/>
        </w:rPr>
        <w:t>in respect of such payments) payable for any prior Interest Period to the extent such amount has not been distributed to such Lender or Credit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below,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(A)prior to the occurrence of the Termination Date, to the extent that a Borrowing Base Deficit exists on such date or the Aggregate Capital on such date exceeds the Facility Limit, to the Lenders (ratably, based on the aggregate outstanding Capital of each Lender at such time) for the payment of a portion of the outstanding Aggregate Capital at such time, in an aggregate amount equal to the amount necessary to reduce the Borrowing Base Deficit to zero ($0) or the amount necessary to reduce the Aggregate Capital to an amount equal to or less than the Facility Limit,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(B)on and after the occurrence of the Termination Date, to each Lender (ratably, based on the aggregate outstanding Capital of each Lender at such time) for the payment in full of the aggregate outstanding Capital of such Lender at such time;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(C)prior to the occurrence of the Termination Date, at the election of the Borrower from time to time and in accordance with </w:t>
      </w:r>
      <w:r>
        <w:rPr>
          <w:rFonts w:ascii="Times New Roman;serif" w:hAnsi="Times New Roman;serif"/>
          <w:b w:val="false"/>
          <w:color w:val="000000"/>
          <w:sz w:val="24"/>
          <w:u w:val="single"/>
        </w:rPr>
        <w:t xml:space="preserve">Section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2.02(d)</w:t>
      </w:r>
      <w:r>
        <w:rPr>
          <w:rFonts w:ascii="Times New Roman;serif" w:hAnsi="Times New Roman;serif"/>
          <w:b w:val="false"/>
          <w:color w:val="000000"/>
          <w:sz w:val="24"/>
        </w:rPr>
        <w:t xml:space="preserve">, to the payment of all or any portion of the outstanding Capital of the Lenders at such time (ratably, based on the aggregate outstanding Capital of each Lender at such time);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fourth</w:t>
      </w:r>
      <w:r>
        <w:rPr>
          <w:rFonts w:ascii="Times New Roman;serif" w:hAnsi="Times New Roman;serif"/>
          <w:b w:val="false"/>
          <w:color w:val="000000"/>
          <w:sz w:val="24"/>
        </w:rPr>
        <w:t>, to the Credit Parties, the Affected Persons and the Borrower Indemnified Parties (ratably, based on the amount due and owing at such time), for the payment of all other Borrower Obligations then due and owing by the Borrower to the Credit Parties, the Affected Persons and the Borrower Indemnified Parties;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fifth</w:t>
      </w:r>
      <w:r>
        <w:rPr>
          <w:rFonts w:ascii="Times New Roman;serif" w:hAnsi="Times New Roman;serif"/>
          <w:b w:val="false"/>
          <w:color w:val="000000"/>
          <w:sz w:val="24"/>
        </w:rPr>
        <w:t>, the balance, if any, to be paid to the Borrower for its own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payments or distributions to be made by the Servicer, the Borrower and any other Person to the Lenders (or their respective related Affected Persons and the Borrower Indemnified Parties) shall be paid or distributed to the related Group Agent at its Group Agent’s Account. Each Group Agent, upon its receipt in the applicable Group Agent’s Account of any such payments or distributions, shall distribute such amounts to the applicable Lenders, Affected Persons and the Borrower Indemnified Parties within its Group ratably;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Group Agent shall have received insufficient funds to pay all of the above amounts in full on any such date, such Group Agent shall pay such amounts to the applicable Lenders, Affected Persons and the Borrower Indemnified Parties within its Group in accordance with the priority of payments set forth above, and with respect to any such category above for which there are insufficient funds to pay all amounts owing on such date, ratably (based on the amounts in such categories owing to each such Person in such Group) among all such Persons in such Group entitled to payment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and to the extent the Administrative Agent, any Credit Party, any Affected Person or any Borrower Indemnified Party shall be required, for any reason relating to any act or omission of any Integra Party or any Insolvency Event relating to any Integra Party, to pay over to any Person any amount received on its behalf hereunder, such amount shall be deemed not to have been so received but rather to have been retained by the Borrower and, accordingly, the Administrative Agent, such Credit Party, such Affected Person or such Borrower Indemnified Party, as the case may be, shall have a claim against the Borrower for such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(i)If, on any day, the Outstanding Balance of any Pool Receivable is reduced or adjusted as a result of any defective, rejected, returned, repossessed or foreclosed goods or services, or any revision, cancellation, allowance, rebate, credit memo, discount or other adjustment made by the Borrower, any Originator, the Servicer or any Affiliate of the Servicer, or any setoff, counterclaim or dispute between the Borrower or any Affiliate of the Borrower, an Originator or any Affiliate of an Originator, or the Servicer or any Affiliate of the Servicer, and an Obligor, the Borrower shall be deemed to have received on such day a Collection of such Pool Receivable in the amount of such reduction or adjustment and shall immediately pay any and all such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amounts in respect thereof to a Collection Account (or as otherwise directed by the Administrative Agent at such time) for the benefit of the Credit Parties for application pursuant to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(ii)if on any day any of the representations or warranties in </w:t>
      </w:r>
      <w:r>
        <w:rPr>
          <w:rFonts w:ascii="Times New Roman;serif" w:hAnsi="Times New Roman;serif"/>
          <w:b w:val="false"/>
          <w:color w:val="000000"/>
          <w:sz w:val="24"/>
          <w:u w:val="single"/>
        </w:rPr>
        <w:t>Section 6.01(o)</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6.01(w)</w:t>
      </w:r>
      <w:r>
        <w:rPr>
          <w:color w:val="000000"/>
        </w:rPr>
        <w:t xml:space="preserve"> </w:t>
      </w:r>
      <w:r>
        <w:rPr>
          <w:rFonts w:ascii="Times New Roman;serif" w:hAnsi="Times New Roman;serif"/>
          <w:b w:val="false"/>
          <w:color w:val="000000"/>
          <w:sz w:val="24"/>
        </w:rPr>
        <w:t xml:space="preserve">is not true with respect to any Pool Receivable, the Borrower shall be deemed to have received on such day a Collection of such Pool Receivable in full and shall immediately pay the amount of such deemed Collection to a Collection Account (or as otherwise directed by the Administrative Agent at such time) for the benefit of the Credit Parties for application pursuant to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(Collections deemed to have been received pursuant this </w:t>
      </w:r>
      <w:r>
        <w:rPr>
          <w:rFonts w:ascii="Times New Roman;serif" w:hAnsi="Times New Roman;serif"/>
          <w:b w:val="false"/>
          <w:color w:val="000000"/>
          <w:sz w:val="24"/>
          <w:u w:val="single"/>
        </w:rPr>
        <w:t>Section 3.01(d)</w:t>
      </w:r>
      <w:r>
        <w:rPr>
          <w:color w:val="000000"/>
        </w:rPr>
        <w:t xml:space="preserve"> </w:t>
      </w:r>
      <w:r>
        <w:rPr>
          <w:rFonts w:ascii="Times New Roman;serif" w:hAnsi="Times New Roman;serif"/>
          <w:b w:val="false"/>
          <w:color w:val="000000"/>
          <w:sz w:val="24"/>
        </w:rPr>
        <w:t>are hereinafter sometimes referred to as “</w:t>
      </w:r>
      <w:r>
        <w:rPr>
          <w:rFonts w:ascii="Times New Roman;serif" w:hAnsi="Times New Roman;serif"/>
          <w:b w:val="false"/>
          <w:color w:val="000000"/>
          <w:sz w:val="24"/>
          <w:u w:val="single"/>
        </w:rPr>
        <w:t>Deemed Collections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(iii)except as provided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(iv)if and to the extent the Administrative Agent, any Credit Party, any Affected Person or any Borrower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Borrower and, accordingly, such Person shall have a claim against the Borrower for such amount, payable when and to the extent that any distribution from or on behalf of such Obligor is made in respect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Payments and Computations, Etc</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amounts to be paid by the Borrower or the Servicer to the Administrative Agent, any Credit Party, any Affected Person or any Borrower Indemnified Party hereunder shall be paid no later than noon (12:00 p.m.) (New York City time) on the day when due in same day funds to the applicable Group Agent’s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the Borrower and the Servicer shall, to the extent permitted by Applicable Law, pay interest on any amount not paid or deposited by it when due hereunder, at an interest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equal to 2.50%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above the Base Rate, payable on demand.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All computations of interest under </w:t>
      </w:r>
      <w:r>
        <w:rPr>
          <w:rFonts w:ascii="Times New Roman;serif" w:hAnsi="Times New Roman;serif"/>
          <w:b w:val="false"/>
          <w:color w:val="000000"/>
          <w:sz w:val="24"/>
          <w:u w:val="single"/>
        </w:rPr>
        <w:t>subsection (b)</w:t>
      </w:r>
      <w:r>
        <w:rPr>
          <w:color w:val="000000"/>
        </w:rPr>
        <w:t xml:space="preserve"> </w:t>
      </w:r>
      <w:r>
        <w:rPr>
          <w:rFonts w:ascii="Times New Roman;serif" w:hAnsi="Times New Roman;serif"/>
          <w:b w:val="false"/>
          <w:color w:val="000000"/>
          <w:sz w:val="24"/>
        </w:rPr>
        <w:t>above and 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br/>
        <w:t>INCREASED COSTS; FUNDING LOSSES; TAXES; ILLEGALITY AND SECURITY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(i)impose, modify or deem applicable any reserve, special deposit, compulsory loan, insurance charge or similar requirement against assets of, deposits with or for the account of, or credit extended or participated in by, any Affected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(ii)subject any Affected Person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(iii)impose on any Affected Person any other condition, cost or expense (other than Taxes) (A) affecting the Collateral, this Agreement, any other Transaction Document, any Program Support Agreement, any Loan or (B) affecting its obligations or rights to make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and the result of any of the foregoing shall be to increase the cost to such Affected Person of making, converting to, continuing or maintaining any Loan or of maintaining its obligation to make any such Loan, or to increase the cost to such Affected Person of participating in, converting to, continuing or maintaining any Loan, or to reduce the amount of any sum received or receivable by such Affected Person hereunder (whether of principal, interest or any other amount) then, upon request of such Affected Person, the Borrower will pay to such Affected Person, as the case may be, such additional amount or amounts as will compensate such Affected Person, as the case may be, for such additional costs incurred or reduction suffered;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Capital and Liquidity Requirements</w:t>
      </w:r>
      <w:r>
        <w:rPr>
          <w:rFonts w:ascii="Times New Roman;serif" w:hAnsi="Times New Roman;serif"/>
          <w:b w:val="false"/>
          <w:color w:val="000000"/>
          <w:sz w:val="24"/>
        </w:rPr>
        <w:t xml:space="preserve">.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related Program Support Agreement, (C) the Loans made by such Affected Person or (D) any Capital (or portion thereof),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(or its Group Agent), the Borrower will pay to such Affected Person such additional amount or amounts as will compensate such Affected Person or such Affected Person’s holding company for any such increase, reduction or charge.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Adoption of Changes in Law</w:t>
      </w:r>
      <w:r>
        <w:rPr>
          <w:rFonts w:ascii="Times New Roman;serif" w:hAnsi="Times New Roman;serif"/>
          <w:b w:val="false"/>
          <w:color w:val="000000"/>
          <w:sz w:val="24"/>
        </w:rPr>
        <w:t xml:space="preserve">. The Borrower acknowledges that any Affected Person may institute measures in anticipation of a Change in Law (including, without limitation, the imposition of internal charges on such Affected Person’s interests or obligations under any Transaction Document or Program Support Agreement), and may commence allocating charges to or seeking compensation from the Borrower under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in connection with such measures, in advance of the effective date of such Change in Law, and the Borrower agrees to pay such charges or compensation to such Affected Person, following demand therefor in accordance with the terms of this </w:t>
      </w:r>
      <w:r>
        <w:rPr>
          <w:rFonts w:ascii="Times New Roman;serif" w:hAnsi="Times New Roman;serif"/>
          <w:b w:val="false"/>
          <w:color w:val="000000"/>
          <w:sz w:val="24"/>
          <w:u w:val="single"/>
        </w:rPr>
        <w:t>Section 4.01</w:t>
      </w:r>
      <w:r>
        <w:rPr>
          <w:rFonts w:ascii="Times New Roman;serif" w:hAnsi="Times New Roman;serif"/>
          <w:b w:val="false"/>
          <w:color w:val="000000"/>
          <w:sz w:val="24"/>
        </w:rPr>
        <w:t>, without regard to whether such effective date has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Certificates for Reimbursement</w:t>
      </w:r>
      <w:r>
        <w:rPr>
          <w:rFonts w:ascii="Times New Roman;serif" w:hAnsi="Times New Roman;serif"/>
          <w:b w:val="false"/>
          <w:color w:val="000000"/>
          <w:sz w:val="24"/>
        </w:rPr>
        <w:t xml:space="preserve">. A certificate of an Affected Person (or its Group Agent on its behalf) setting forth the amount or amounts necessary to compensate such Affected Person or its holding company, as the case may be, as specified in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and delivered to the Borrower, shall be conclusive absent manifest error. The Borrower shall, subject to the priorities of payment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 pay such Affected Person the amount shown as due on any such certificate on the first Settlement Date occurring after the Borrower’s receipt of such certificate.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Affected Person to demand compensation pursuant to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shall not constitute a waiver of such Affected Person’s right to demand such compensation.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Replacement of Lenders</w:t>
      </w:r>
      <w:r>
        <w:rPr>
          <w:rFonts w:ascii="Times New Roman;serif" w:hAnsi="Times New Roman;serif"/>
          <w:b w:val="false"/>
          <w:color w:val="000000"/>
          <w:sz w:val="24"/>
        </w:rPr>
        <w:t xml:space="preserve">. If any Lender requests compensation under this Section 4.01, or if the Borrower is required to pay any additional amount to any Lender or any Official Body for the account of any Lender pursuant to Section 4.03, the Borrower may replace such Lender in accordance with </w:t>
      </w:r>
      <w:r>
        <w:rPr>
          <w:rFonts w:ascii="Times New Roman;serif" w:hAnsi="Times New Roman;serif"/>
          <w:b w:val="false"/>
          <w:color w:val="000000"/>
          <w:sz w:val="24"/>
          <w:u w:val="single"/>
        </w:rPr>
        <w:t>Section 13.03(j)</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Funding Losses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will pay each Lender its ratable portion of Breakage Fees in accordance herewith.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 certificate of a Lender (or its Group Agent on its behalf) setting forth the amount or amounts necessary to compensate such Lender, as specified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and delivered to the Borrower, shall be conclusive absent manifest error. The Borrower shall, subject to the priorities of payment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pay such Lender the amount shown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due on any such certificate on the first Settlement Date occurring after the Borrower’s receipt of such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Any and all payments by or on account of any obligation of the Borrower under any Transaction Document shall be made without deduction or withholding for any Taxes, except as required by Applicable Law. If any Applicable Law (as determined in the good faith discretion of the applicable Credit Party, Affected Person or Borrower Indemnified Party) requires the deduction or withholding of any Tax from any such payment by a Credit Party, Affected Person or Borrower Indemnified Party, then the applicable Credit Party, Affected Person or Borrower Indemnified Party shall be entitled to make such deduction or withholding and shall timely pay the full amount deducted or withheld to the relevant Official Body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Credit Party, Affected Person or Borrower Indemnified Party receives an amount equal to the sum it would have received had no such deduction or withholding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Other Taxes by the Borrower</w:t>
      </w:r>
      <w:r>
        <w:rPr>
          <w:rFonts w:ascii="Times New Roman;serif" w:hAnsi="Times New Roman;serif"/>
          <w:b w:val="false"/>
          <w:color w:val="000000"/>
          <w:sz w:val="24"/>
        </w:rPr>
        <w:t>. The Borrower shall timely pay to the relevant Official Body in accordance with Applicable Law, or, at the option of the Administrative Agent, timely reimburse it for the payment of, any Other Taxes.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Indemnification by the Borrower</w:t>
      </w:r>
      <w:r>
        <w:rPr>
          <w:rFonts w:ascii="Times New Roman;serif" w:hAnsi="Times New Roman;serif"/>
          <w:b w:val="false"/>
          <w:color w:val="000000"/>
          <w:sz w:val="24"/>
        </w:rPr>
        <w:t>. The Borrower shall indemnify each Affected Person, within ten (10) calendar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Official Body and a certificate as to the amount of such payment or liability, as well as the payee and other information necessary for the Borrower to make such payment, delivered to the Borrower by an Affected Person (with a copy to the Administrative Agent), or by the Administrative Agent on its own behalf or on behalf of an Affected Person,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xml:space="preserve">. Each Lender (other than the Conduit Lenders) shall severally indemnify the Administrative Agent, within ten (10) calendar days after demand therefor, for (i) any Indemnified Taxes attributable to such Lender, its Related Conduit Lender or any of their respective Affiliates that are Affected Persons (but only to the extent that the Borrower and its Affiliates have not already indemnified the Administrative Agent for such Indemnified Taxes and without limiting any obligation of the Borrower, the Servicer or their Affiliates to do so), (ii) any Taxes attributable to the failure of such Lender, its Related Conduit Lender or any of their respective Affiliates that are Affected Persons to comply with </w:t>
      </w:r>
      <w:r>
        <w:rPr>
          <w:rFonts w:ascii="Times New Roman;serif" w:hAnsi="Times New Roman;serif"/>
          <w:b w:val="false"/>
          <w:color w:val="000000"/>
          <w:sz w:val="24"/>
          <w:u w:val="single"/>
        </w:rPr>
        <w:t>Section 13.03(f)</w:t>
      </w:r>
      <w:r>
        <w:rPr>
          <w:color w:val="000000"/>
        </w:rPr>
        <w:t xml:space="preserve"> </w:t>
      </w:r>
      <w:r>
        <w:rPr>
          <w:rFonts w:ascii="Times New Roman;serif" w:hAnsi="Times New Roman;serif"/>
          <w:b w:val="false"/>
          <w:color w:val="000000"/>
          <w:sz w:val="24"/>
        </w:rPr>
        <w:t xml:space="preserve">relating to the maintenance of a Participant Register and (iii) any Excluded Taxes attributable to such Lender, its Related Conduit Lender or any of their respective Affiliates that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Official Body. A certificate as to the amount of such payment or liability delivered to any Lender (or its Group Agent) by the Administrative Agent shall be conclusive absent manifest error. Each Lender (other than the Conduit Lenders) hereby authorizes the Administrative Agent to set off and apply any and all amounts at any time owing to such Lender, its Related Conduit Lender or any of their respective Affiliates that are Affected Persons under any Transaction Document or otherwise payable by the Administrative Agent to such Lender, its Related Conduit Lender or any of their respective Affiliates that are Affected Persons from any other source against any amount due to the Administrative Agent under this </w:t>
      </w:r>
      <w:r>
        <w:rPr>
          <w:rFonts w:ascii="Times New Roman;serif" w:hAnsi="Times New Roman;serif"/>
          <w:b w:val="false"/>
          <w:color w:val="000000"/>
          <w:sz w:val="24"/>
          <w:u w:val="single"/>
        </w:rPr>
        <w:t>clause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xml:space="preserve">. As soon as practicable after any payment of Taxes by the Borrower to an Official Body pursuant to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the Borrower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of Affected Persons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(i)Any Affected Person that is entitled to an exemption from or reduction of withholding Tax with respect to payments made under any Transaction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Affected Person,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Sections 4.03(f)(ii)(A)</w:t>
      </w:r>
      <w:r>
        <w:rPr>
          <w:rFonts w:ascii="Times New Roman;serif" w:hAnsi="Times New Roman;serif"/>
          <w:b w:val="false"/>
          <w:color w:val="000000"/>
          <w:sz w:val="24"/>
        </w:rPr>
        <w:t>, 4</w:t>
      </w:r>
      <w:r>
        <w:rPr>
          <w:rFonts w:ascii="Times New Roman;serif" w:hAnsi="Times New Roman;serif"/>
          <w:b w:val="false"/>
          <w:color w:val="000000"/>
          <w:sz w:val="24"/>
          <w:u w:val="single"/>
        </w:rPr>
        <w:t>.03(f)(ii)(B)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4.03(g)</w:t>
      </w:r>
      <w:r>
        <w:rPr>
          <w:rFonts w:ascii="Times New Roman;serif" w:hAnsi="Times New Roman;serif"/>
          <w:b w:val="false"/>
          <w:color w:val="000000"/>
          <w:sz w:val="24"/>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(ii)Without limiting the generality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(A)an Affected Person that is a U.S. Person shall deliver to the Borrower and the Administrative Agent on or prior to the date on which such Affected Person becomes a party to this Agreement and from time to time thereafter upon the reasonable request of the Borrower or the Administrative Agent, executed originals of Internal Revenue Service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Form W-9 certifying that such Affected Person is exempt from U.S. federal backup withholding tax;</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Affected Person that is not a U.S. Person shall, to the extent it is legally entitled to do so, deliver to the Borrower and the Administrative Agent (in such number of copies as shall be requested by the recipient) on or prior to the date on which such Affected Person becomes a party to this Agreement and from time to time thereafter upon the reasonable request of the Borrower or the Administrative Agent, whichever of the following is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such an Affected Person claiming the benefits of an income tax treaty to which the United States is a party, (x) with respect to payments of interest under any Transaction Document, executed originals of Internal Revenue Service Form W-8BEN establishing an exemption from, or reduction of, U.S. federal withholding Tax pursuant to the “interest” article of such tax treaty and (y) with respect to any other applicable payments under any Transaction Document, Internal Revenue Service Form W-8BEN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(2)executed originals of Internal Revenue Service Form W-8ECI;</w:t>
      </w:r>
    </w:p>
    <w:p>
      <w:pPr>
        <w:pStyle w:val="TextBody"/>
        <w:bidi w:val="0"/>
        <w:spacing w:lineRule="auto" w:line="288" w:before="0" w:after="240"/>
        <w:ind w:left="0" w:right="0" w:firstLine="720"/>
        <w:jc w:val="both"/>
        <w:rPr/>
      </w:pPr>
      <w:r>
        <w:rPr>
          <w:rFonts w:ascii="Times New Roman;serif" w:hAnsi="Times New Roman;serif"/>
          <w:b w:val="false"/>
          <w:color w:val="000000"/>
          <w:sz w:val="24"/>
        </w:rPr>
        <w:t>(3)in the case of such an Affected Person claiming the benefits of the exemption for portfolio interest under Section 881(c) of the Code, (x) a certificate to the effect that such Affected Person is not a “bank” within the meaning of Section 881(c)(3)(A) of the Code, a “10 percent shareholder” of the Borrower within the meaning of Section 881(c)(3)(B) of the Code, or a “controlled foreign corporation” described in Section 881(c)(3)(C) of the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(y) executed originals of Internal Revenue Service Form W-8BEN;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(4)to the extent such Affected Person is not the beneficial owner, executed originals of Internal Revenue Service Form W-8IMY, accompanied by Internal Revenue Service Form W-8ECI, Internal Revenue Service Form W-8BEN, a U.S. Tax Compliance Certificate, Internal Revenue Service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Affected Person is a partnership and one or more direct or indirect partners of such Affected Person are claiming the portfolio interest exemption, such Affected Person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provide a U.S. Tax Compliance Certificate on behalf of each such direct and indirect partner;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Affected Person that is not a U.S. Person shall, to the extent it is legally entitled to do so, deliver to the Borrower and the Administrative Agent (in such number of copies as shall be requested by the recipient) on or prior to the date on which such Affected Person becomes a party to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Documentation Required by FATCA</w:t>
      </w:r>
      <w:r>
        <w:rPr>
          <w:rFonts w:ascii="Times New Roman;serif" w:hAnsi="Times New Roman;serif"/>
          <w:b w:val="false"/>
          <w:color w:val="000000"/>
          <w:sz w:val="24"/>
        </w:rPr>
        <w:t xml:space="preserve">.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serif" w:hAnsi="Times New Roman;serif"/>
          <w:b w:val="false"/>
          <w:color w:val="000000"/>
          <w:sz w:val="24"/>
          <w:u w:val="single"/>
        </w:rPr>
        <w:t>clause (g)</w:t>
      </w:r>
      <w:r>
        <w:rPr>
          <w:rFonts w:ascii="Times New Roman;serif" w:hAnsi="Times New Roman;serif"/>
          <w:b w:val="false"/>
          <w:color w:val="000000"/>
          <w:sz w:val="24"/>
        </w:rPr>
        <w:t>, “</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include any amendments made to FATCA after the date of this Agreement and any fiscal or regulatory legislation, rules or practices adopted pursuant to any intergovernmental agreement entered into in connection with FATCA.</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Each party’s obligations under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shall survive the resignation or replacement of the Administrative Agent or any assignment of rights by, or the replacement of, a Credit Party or any other Affected person, the termination of the Commitments and the repayment, satisfaction or discharge of all the Borrower Obligations and the Servicer’s obligations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Updates</w:t>
      </w:r>
      <w:r>
        <w:rPr>
          <w:rFonts w:ascii="Times New Roman;serif" w:hAnsi="Times New Roman;serif"/>
          <w:b w:val="false"/>
          <w:color w:val="000000"/>
          <w:sz w:val="24"/>
        </w:rPr>
        <w:t xml:space="preserve">. Each Affected Person agrees that if any form or certification it previously delivered pursuant to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4"/>
          <w:u w:val="single"/>
        </w:rPr>
        <w:t xml:space="preserve">Section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4.03</w:t>
      </w:r>
      <w:r>
        <w:rPr>
          <w:color w:val="000000"/>
        </w:rPr>
        <w:t xml:space="preserve"> </w:t>
      </w:r>
      <w:r>
        <w:rPr>
          <w:rFonts w:ascii="Times New Roman;serif" w:hAnsi="Times New Roman;serif"/>
          <w:b w:val="false"/>
          <w:color w:val="000000"/>
          <w:sz w:val="24"/>
        </w:rPr>
        <w:t xml:space="preserve">(including by the payment of additional amounts pursuant to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it shall pay to the indemnifying party an amount equal to such refund (but only to the extent of indemnity payments made under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4"/>
          <w:u w:val="single"/>
        </w:rPr>
        <w:t>clause (j)</w:t>
      </w:r>
      <w:r>
        <w:rPr>
          <w:color w:val="000000"/>
        </w:rPr>
        <w:t xml:space="preserve"> </w:t>
      </w:r>
      <w:r>
        <w:rPr>
          <w:rFonts w:ascii="Times New Roman;serif" w:hAnsi="Times New Roman;serif"/>
          <w:b w:val="false"/>
          <w:color w:val="000000"/>
          <w:sz w:val="24"/>
        </w:rPr>
        <w:t xml:space="preserve">(plus any penalties, interest or other charges imposed by the relevant Official Body) in the event that such indemnified party is required to repay such refund to such Official Body. Notwithstanding anything to the contrary in this </w:t>
      </w:r>
      <w:r>
        <w:rPr>
          <w:rFonts w:ascii="Times New Roman;serif" w:hAnsi="Times New Roman;serif"/>
          <w:b w:val="false"/>
          <w:color w:val="000000"/>
          <w:sz w:val="24"/>
          <w:u w:val="single"/>
        </w:rPr>
        <w:t>clause (j)</w:t>
      </w:r>
      <w:r>
        <w:rPr>
          <w:rFonts w:ascii="Times New Roman;serif" w:hAnsi="Times New Roman;serif"/>
          <w:b w:val="false"/>
          <w:color w:val="000000"/>
          <w:sz w:val="24"/>
        </w:rPr>
        <w:t xml:space="preserve">, in no event will the indemnified party be required to pay any amount to an indemnifying party pursuant to this </w:t>
      </w:r>
      <w:r>
        <w:rPr>
          <w:rFonts w:ascii="Times New Roman;serif" w:hAnsi="Times New Roman;serif"/>
          <w:b w:val="false"/>
          <w:color w:val="000000"/>
          <w:sz w:val="24"/>
          <w:u w:val="single"/>
        </w:rPr>
        <w:t>clause (j)</w:t>
      </w:r>
      <w:r>
        <w:rPr>
          <w:color w:val="000000"/>
        </w:rPr>
        <w:t xml:space="preserve"> </w:t>
      </w:r>
      <w:r>
        <w:rPr>
          <w:rFonts w:ascii="Times New Roman;serif" w:hAnsi="Times New Roman;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Conforming Changes Relating to Term SOFR or Daily 1M SOFR</w:t>
      </w:r>
      <w:r>
        <w:rPr>
          <w:rFonts w:ascii="Times New Roman;serif" w:hAnsi="Times New Roman;serif"/>
          <w:b w:val="false"/>
          <w:color w:val="000000"/>
          <w:sz w:val="24"/>
        </w:rPr>
        <w:t xml:space="preserve">. With respect to Term SOFR or Daily 1M SOFR,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Administrative Agent shall provide notice to the Borrower and the Lenders of each such amendment implementing such Conforming Changes reasonably promptly after such amendment becomes effective.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As security for the performance by the Borrower of all the terms, covenants and agreements on the part of the Borrower to be performed under this Agreement or any other Transaction Document, including the punctual payment when due of the Aggregate Capital and all Interest in respect of the Loans and all other Borrower Obligations, the Borrower hereby grants to the Administrative Agent for its benefit and the ratable benefit of the Secured Parties, a valid, continuing and perfected first priority security interest in, all of the Borrower’s right, title and interest in, to and under all of the following, whether now or hereafter owned, existing or arising (collectively, the “</w:t>
      </w:r>
      <w:r>
        <w:rPr>
          <w:rFonts w:ascii="Times New Roman;serif" w:hAnsi="Times New Roman;serif"/>
          <w:b w:val="false"/>
          <w:color w:val="000000"/>
          <w:sz w:val="24"/>
          <w:u w:val="single"/>
        </w:rPr>
        <w:t>Collateral</w:t>
      </w:r>
      <w:r>
        <w:rPr>
          <w:color w:val="000000"/>
        </w:rPr>
        <w:t>”</w:t>
      </w:r>
      <w:r>
        <w:rPr>
          <w:rFonts w:ascii="Times New Roman;serif" w:hAnsi="Times New Roman;serif"/>
          <w:b w:val="false"/>
          <w:color w:val="000000"/>
          <w:sz w:val="24"/>
        </w:rPr>
        <w:t xml:space="preserve">): (i) all Pool Receivables, (ii) all Related Security with respect to such Pool Receivables, (iii) all Collections with respect to such Pool Receivables, (iv) the Lock-Boxes and Collection Accounts and all amounts on deposit therein, and all certificates and instruments, if any, from time to time evidencing such Lock-Boxes and Collection Accounts and amounts on deposit therein, (v) all rights (but none of the obligations) of the Borrower under the Purchase and Sale Agreement, (vi) all other personal and fixture property or assets of the Borrower of every kind and nature including, without limitation, all goods (including inventory, equipment and any accessions thereto), instruments (including promissory notes), documents, accounts, chattel paper (whether tangible or electronic), deposit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securities accounts, securities entitlements, letter of 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The Borrower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Immediately upon the occurrence of the Final Payout Date, the Collateral shall be automatically released from the lien created hereby, and this Agreement and all obligations (other than those expressly stated to survive such termination) of the Administrative Agent, the Lenders and the other Credit Parties hereunder shall terminate, all without delivery of any instrument or performance of any act by any party, and all rights to the Collateral shall revert to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promptly following written request therefor by the Borrower delivered to the Administrative Agent following any such termination, and at the expense of the Borrower, the Administrative Agent shall execute (if applicable) and deliver to the Borrower UCC-3 termination statements and such other documents as the Borrower shall reasonably request to evidence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Rate Unascertainable; Illegality; Benchmark Replacement Setting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Rate Unascertainable</w:t>
      </w:r>
      <w:r>
        <w:rPr>
          <w:rFonts w:ascii="Times New Roman;serif" w:hAnsi="Times New Roman;serif"/>
          <w:b w:val="false"/>
          <w:color w:val="000000"/>
          <w:sz w:val="24"/>
        </w:rPr>
        <w:t>. If at any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Administrative Agent shall have determined (which determination shall be conclusive and binding absent manifest error) that the Term SOFR Rate or the Daily SOFR Rate, as applicable, cannot be determined pursuant to the definition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Majority Group Agents determine that for any reason in connection with any request for a Term SOFR Rate Loan or a Daily SOFR Rate Loan or conversion thereto or continuation thereof that the Term SOFR Rate does not adequately and fairly reflect the cost to the Lenders of funding, establishing or maintaining such Term SOFR Rate Loan during the applicable Interest Period, or the Daily SOFR Rate does not adequately and fairly reflect the cost to the Lenders of funding, establishing or maintaining such Daily SOFR Rate Loan, as applicable, and the Majority Group Agents have provided notice of such determination to the Administrative Agent, then the Administrative Agent shall have the rights specified in Section 4.06(c).</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 If at any time any Lender shall have determined, or any Official Body shall have asserted, that the making, maintenance or funding of any Term SOFR Rate Loan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Daily SOFR Rate Loan, or the determination or charging of interest rates based on the Term SOFR Rate or the Daily SOFR Rate, has been made impracticable or unlawful by compliance by such Lender in good faith with any Applicable Law or any interpretation or application thereof by any Official Body or with any request or directive of any such Official Body (whether or not having the force of Applicable Law), then the Administrative Agent shall have the rights specified in </w:t>
      </w:r>
      <w:r>
        <w:rPr>
          <w:rFonts w:ascii="Times New Roman;serif" w:hAnsi="Times New Roman;serif"/>
          <w:b w:val="false"/>
          <w:color w:val="000000"/>
          <w:sz w:val="24"/>
          <w:u w:val="single"/>
        </w:rPr>
        <w:t>Section 4.06(c)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Administrative Agent’s and Lender’s Rights</w:t>
      </w:r>
      <w:r>
        <w:rPr>
          <w:rFonts w:ascii="Times New Roman;serif" w:hAnsi="Times New Roman;serif"/>
          <w:b w:val="false"/>
          <w:color w:val="000000"/>
          <w:sz w:val="24"/>
        </w:rPr>
        <w:t xml:space="preserve">. In the case of any event specified in </w:t>
      </w:r>
      <w:r>
        <w:rPr>
          <w:rFonts w:ascii="Times New Roman;serif" w:hAnsi="Times New Roman;serif"/>
          <w:b w:val="false"/>
          <w:color w:val="000000"/>
          <w:sz w:val="24"/>
          <w:u w:val="single"/>
        </w:rPr>
        <w:t>Section 4.06(a)</w:t>
      </w:r>
      <w:r>
        <w:rPr>
          <w:color w:val="000000"/>
        </w:rPr>
        <w:t xml:space="preserve"> </w:t>
      </w:r>
      <w:r>
        <w:rPr>
          <w:rFonts w:ascii="Times New Roman;serif" w:hAnsi="Times New Roman;serif"/>
          <w:b w:val="false"/>
          <w:color w:val="000000"/>
          <w:sz w:val="24"/>
        </w:rPr>
        <w:t xml:space="preserve">above, the Administrative Agent shall promptly notify the Group Agents and the Borrower thereof, and in the case of an event specified in </w:t>
      </w:r>
      <w:r>
        <w:rPr>
          <w:rFonts w:ascii="Times New Roman;serif" w:hAnsi="Times New Roman;serif"/>
          <w:b w:val="false"/>
          <w:color w:val="000000"/>
          <w:sz w:val="24"/>
          <w:u w:val="single"/>
        </w:rPr>
        <w:t>Section 4.06(b)</w:t>
      </w:r>
      <w:r>
        <w:rPr>
          <w:color w:val="000000"/>
        </w:rPr>
        <w:t xml:space="preserve"> </w:t>
      </w:r>
      <w:r>
        <w:rPr>
          <w:rFonts w:ascii="Times New Roman;serif" w:hAnsi="Times New Roman;serif"/>
          <w:b w:val="false"/>
          <w:color w:val="000000"/>
          <w:sz w:val="24"/>
        </w:rPr>
        <w:t xml:space="preserve">above, the Majority Group Agents shall promptly so notify the Administrative Agent and endorse a certificate to such notice as to the specific circumstances of such notice, and the Administrative Agent shall promptly send copies of such notice and certificate to the other Group Agents and the Borrower. Upon such date as shall be specified in such notice (which shall not be earlier than the date such notice is given), the obligation of (i) the Lenders, in the case of such notice given by the Administrative Agent, or (ii) the relevant Group Agents, in the case of such notice given by the Majority Group Agents, to allow the Borrower to select, convert to, renew or continue a Term SOFR Rate Loan or a Daily SOFR Rate Loan, as applicable, shall be suspended (to the extent of the affected Term SOFR Rate Loan, Daily SOFR Rate Loan or Interest Periods) until the Administrative Agent shall have later notified the Borrower, or the Majority Group Agents shall have later notified the Administrative Agent, of the Administrative Agent’s or the Majority Group Agents’, as the case may be, determination that the circumstances giving rise to such previous determination no longer exist. Upon a determination by Administrative Agent under </w:t>
      </w:r>
      <w:r>
        <w:rPr>
          <w:rFonts w:ascii="Times New Roman;serif" w:hAnsi="Times New Roman;serif"/>
          <w:b w:val="false"/>
          <w:color w:val="000000"/>
          <w:sz w:val="24"/>
          <w:u w:val="single"/>
        </w:rPr>
        <w:t>Section 4.06(a)</w:t>
      </w:r>
      <w:r>
        <w:rPr>
          <w:rFonts w:ascii="Times New Roman;serif" w:hAnsi="Times New Roman;serif"/>
          <w:b w:val="false"/>
          <w:color w:val="000000"/>
          <w:sz w:val="24"/>
        </w:rPr>
        <w:t xml:space="preserve">, (i) if the Borrower has previously notified the Administrative Agent of its selection of, conversion to or renewal of a Term SOFR Rate Loan or a Daily SOFR Rate Loan and the Term SOFR Option or the Daily SOFR Option, as applicable, has not yet gone into effect, such notification shall be deemed to provide for selection of, conversion to or renewal of a Base Rate Loan, (ii) any outstanding affected Daily SOFR Rate Loans will be deemed to have been converted into Base Rate Loans immediately, and (iii) any outstanding affected Term SOFR Rate Loans will be deemed to have been converted into Base Rate Loans at the end of the applicable Interest Period. If the Majority Group Agents notify the Administrative Agent of a determination under </w:t>
      </w:r>
      <w:r>
        <w:rPr>
          <w:rFonts w:ascii="Times New Roman;serif" w:hAnsi="Times New Roman;serif"/>
          <w:b w:val="false"/>
          <w:color w:val="000000"/>
          <w:sz w:val="24"/>
          <w:u w:val="single"/>
        </w:rPr>
        <w:t>Section 4.06(b)</w:t>
      </w:r>
      <w:r>
        <w:rPr>
          <w:rFonts w:ascii="Times New Roman;serif" w:hAnsi="Times New Roman;serif"/>
          <w:b w:val="false"/>
          <w:color w:val="000000"/>
          <w:sz w:val="24"/>
        </w:rPr>
        <w:t xml:space="preserve">, the Borrower shall, subject to the Borrower’s indemnification obligations under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as to any Loan of a Lender to which a Term SOFR Option or a Daily SOFR Option applies, on the date specified in such notice either convert such Loan to a Base Rate Loan otherwise available with respect to such Loan or prepay such Loan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Absent due notice from the Borrower of conversion or prepayment, such Loan shall automatically be converted to a Base Rate Loan upon such specified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with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Group Agents without any amendment to, or further action or consent of any other party to, this Agreement or any other Transaction Document so long as the Administrative Agent has not received, by such time, written notice of objection to such Benchmark Replacement from the Majority Group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Borrower and the Group Agents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4.06</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serif" w:hAnsi="Times New Roman;serif"/>
          <w:b w:val="false"/>
          <w:color w:val="000000"/>
          <w:sz w:val="24"/>
          <w:u w:val="single"/>
        </w:rPr>
        <w:t>Section 4.06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Borrower’s receipt of notice of the commencement of a Benchmark Unavailability Period with respect to the Term SOFR Rate or the Daily SOFR Rate, as applicable, the Borrower may revoke any pending request for a Loan bearing interest based on such rate or conversion to or continuation of Loans bearing interest based on such rate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Benchmark Replacement Notification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4.06(d)</w:t>
      </w:r>
      <w:r>
        <w:rPr>
          <w:color w:val="000000"/>
        </w:rPr>
        <w:t xml:space="preserve"> </w:t>
      </w:r>
      <w:r>
        <w:rPr>
          <w:rFonts w:ascii="Times New Roman;serif" w:hAnsi="Times New Roman;serif"/>
          <w:b w:val="false"/>
          <w:color w:val="000000"/>
          <w:sz w:val="24"/>
        </w:rPr>
        <w:t>of this Agreement provides a mechanism for determining an alternative rate of interest in the event that the Term SOFR Rate or the Daily SOFR Rate, as applicable, is no longer available or in certain other circumstances. The Administrative Agent does not warrant or accept any responsibility for and shall not have any liability with respect to, the administration, submission or any other matter related to the Term SOFR Rate or the Daily SOFR Rate, as applicable, or with respect to any alternative or successor rate thereto, or replacement rate therefor.</w: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br/>
        <w:t>CONDITIONS TO EFFECTIVENESS AND CREDIT EXTENSIONS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Conditions Precedent to Effectiveness and the Initial Credit Extension</w:t>
      </w:r>
      <w:r>
        <w:rPr>
          <w:rFonts w:ascii="Times New Roman;serif" w:hAnsi="Times New Roman;serif"/>
          <w:b w:val="false"/>
          <w:color w:val="000000"/>
          <w:sz w:val="24"/>
        </w:rPr>
        <w:t xml:space="preserve">.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hereto, in each case, in form and substance acceptable to the Administrative Agent and (b) all fees and expenses payable by the Borrower on the Closing Date to the Credit Parties have been paid in full in accordance with the terms of the Transaction Documents.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Conditions Precedent to All Credit Extensions</w:t>
      </w:r>
      <w:r>
        <w:rPr>
          <w:rFonts w:ascii="Times New Roman;serif" w:hAnsi="Times New Roman;serif"/>
          <w:b w:val="false"/>
          <w:color w:val="000000"/>
          <w:sz w:val="24"/>
        </w:rPr>
        <w:t xml:space="preserve">. Each Credit Extension hereunder on or after the Closing Date shall be subject to the conditions precedent that: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case of a Loan, the Borrower shall have delivered to the Administrative Agent and each Group Agent a Loan Request for such Loan, in accordance with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Servicer shall have delivered to the Administrative Agent and each Group Agent all Information Packages required to be delivered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conditions precedent to such Credit Extension specified in </w:t>
      </w:r>
      <w:r>
        <w:rPr>
          <w:rFonts w:ascii="Times New Roman;serif" w:hAnsi="Times New Roman;serif"/>
          <w:b w:val="false"/>
          <w:color w:val="000000"/>
          <w:sz w:val="24"/>
          <w:u w:val="single"/>
        </w:rPr>
        <w:t>Section 2.01(a)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shall be satisfied;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on the date of such Credit Extension the following statements shall be true and correct (and upon the occurrence of such Credit Extension, the Borrower and the Servicer shall be deemed to have represented and warranted that such statements are then true and correct):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(i)the representations and warranties of the Borrower and the Servicer contained in </w:t>
      </w:r>
      <w:r>
        <w:rPr>
          <w:rFonts w:ascii="Times New Roman;serif" w:hAnsi="Times New Roman;serif"/>
          <w:b w:val="false"/>
          <w:color w:val="000000"/>
          <w:sz w:val="24"/>
          <w:u w:val="single"/>
        </w:rPr>
        <w:t>Sections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6.02</w:t>
      </w:r>
      <w:r>
        <w:rPr>
          <w:color w:val="000000"/>
        </w:rPr>
        <w:t xml:space="preserve"> </w:t>
      </w:r>
      <w:r>
        <w:rPr>
          <w:rFonts w:ascii="Times New Roman;serif" w:hAnsi="Times New Roman;serif"/>
          <w:b w:val="false"/>
          <w:color w:val="000000"/>
          <w:sz w:val="24"/>
        </w:rPr>
        <w:t>are true and correct in all material respects (unless such representations and warranties contain a materiality qualifier, in which case such representations and warranties shall be true and correct as made) on and as of the date of such Credit Extension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 Event of Default or Unmatured Event of Default has occurred and is continuing, and no Event of Default or Unmatured Event of Default would result from such Credit Extension;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 Borrowing Base Deficit exists or would exist after giving effect to such Credit Extension;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Aggregate Capital would not equal an amount less than the Minimum Funding Threshold after giving effect to such Credit Extension;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Termination Date has not occurred.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Conditions Precedent to All Releases</w:t>
      </w:r>
      <w:r>
        <w:rPr>
          <w:rFonts w:ascii="Times New Roman;serif" w:hAnsi="Times New Roman;serif"/>
          <w:b w:val="false"/>
          <w:color w:val="000000"/>
          <w:sz w:val="24"/>
        </w:rPr>
        <w:t>. Each Release hereunder on or after the Closing Date shall be subject to the conditions precedent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after giving effect to such Release, the Servicer shall be holding in trust for the benefit of the Secured Parties an amount of Collections sufficient to pay the sum of (x) all accrued and unpaid Servicing Fees, Interest, Fees and Breakage Fees, in each case, through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of such Release, (y) the amount of any Borrowing Base Deficit and (z) the amount of all other accrued and unpaid Borrower Obligations through the date of such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shall use the proceeds of such Release solely to pay (x) the purchase price for Receivables purchased by the Borrower in accordance with the terms of the Purchase and Sale Agreement and (y) any amounts owing by the Borrower to the Originators under the Subordinated Notes;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on the date of such Release the following statements shall be true and correct (and upon the occurrence of such Release, the Borrower and the Servicer shall be deemed to have represented and warranted that such statements are then true and correct):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(i)the representations and warranties of the Borrower and the Servicer contained in </w:t>
      </w:r>
      <w:r>
        <w:rPr>
          <w:rFonts w:ascii="Times New Roman;serif" w:hAnsi="Times New Roman;serif"/>
          <w:b w:val="false"/>
          <w:color w:val="000000"/>
          <w:sz w:val="24"/>
          <w:u w:val="single"/>
        </w:rPr>
        <w:t>Sections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6.02</w:t>
      </w:r>
      <w:r>
        <w:rPr>
          <w:color w:val="000000"/>
        </w:rPr>
        <w:t xml:space="preserve"> </w:t>
      </w:r>
      <w:r>
        <w:rPr>
          <w:rFonts w:ascii="Times New Roman;serif" w:hAnsi="Times New Roman;serif"/>
          <w:b w:val="false"/>
          <w:color w:val="000000"/>
          <w:sz w:val="24"/>
        </w:rPr>
        <w:t>are true and correct in all material respects (unless such representations and warranties contain a materiality qualifier, in which case such representations and warranties shall be true and correct as made) on and as of the date of such Release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 Event of Default has occurred and is continuing, and no Event of Default would result from such Release;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 Borrowing Base Deficit exists or would exist after giving effect to such Release;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Termination Date has not occurred.</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Representations and Warranties of the Borrower</w:t>
      </w:r>
      <w:r>
        <w:rPr>
          <w:rFonts w:ascii="Times New Roman;serif" w:hAnsi="Times New Roman;serif"/>
          <w:b w:val="false"/>
          <w:color w:val="000000"/>
          <w:sz w:val="24"/>
        </w:rPr>
        <w:t>. The Borrower represents and warrants to each Credit Party as of the Closing Date, on each Settlement Date and on each day on which a Credit Extension shall have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Formation and Good Standing</w:t>
      </w:r>
      <w:r>
        <w:rPr>
          <w:rFonts w:ascii="Times New Roman;serif" w:hAnsi="Times New Roman;serif"/>
          <w:b w:val="false"/>
          <w:color w:val="000000"/>
          <w:sz w:val="24"/>
        </w:rPr>
        <w:t>. The Borrower is a duly formed and validly existing limited liability company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xml:space="preserve">. The Borrower is duly qualified to do business, is in good standing as a foreign entity and has obtained all necessary licenses and approvals in all jurisdictions in which the conduct of its business requires such qualification, licenses 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approvals, except where the failure to do so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The Borrower (i) has all necessary power and authority to (A) execute and deliver this Agreement and the other Transaction Documents to which it is a party, (B) perform its obligations under this Agreement and the other Transaction Documents to which it is a party and (C) grant a security interest in the Collateral to the Administrative Agent on the terms and subject to the conditions herein provided and (ii) has duly authorized by all necessary action such grant and the execution, delivery and performance of, and the consummation of the transactions provided for in, this Agreement and the other Transaction Documents to which it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the Borrower is a party constitutes legal, valid and binding obligations of the Borrower, enforceable against the Borrower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The execution, delivery and performance of, and the consummation of the transactions contemplated by, this Agreement and the other Transaction Documents to which the Borrower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Borrower is a party or by which it or any of its properties is bound, (ii) result in the creation or imposition of any Adverse Claim upon any of the Collateral or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xml:space="preserve">. (i) There is no action, suit, proceeding or investigation pending or, to the best knowledge of the Borrower, threatened, against the Borrower before any Official Body and (ii) the Borrower is not subject to any order, judgment, decree, injunction, stipulation or consent order of or with any Official Body that, in the case of either of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(A) asserts the invalidity of this Agreement or any other Transaction Document, (B) seeks to prevent the grant of a security interest in any Collateral by the Borrower to the Administrative Agent, the ownership or acquisition by the Borrower of any Pool Receivables or other Collateral or the consummation of any of the transactions contemplated by this Agreement or any other Transaction Document, (C) seeks any determination or ruling that could materially and adversely affect the performance by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The Borrower is not required to obtain the consent of any other party or any consent, order, license, approval, registration, authorization, action or declaration of or with any Official Body in connection with the grant of a security interest in the Collateral by the Borrower to the Administrative Agent hereunder or the due execution, delivery, or performance by the Borrower of this Agreement or any other Transaction Document to which it is a party or the consummation by the Borrower of the transactions contemplated by this Agreement or any other Transaction Documents to which it is a party that has not already been obtained and are in full force and effect or the failure of which to obtain could not reasonably be expected to have a Material Adverse Effect.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Offices; Legal Name</w:t>
      </w:r>
      <w:r>
        <w:rPr>
          <w:rFonts w:ascii="Times New Roman;serif" w:hAnsi="Times New Roman;serif"/>
          <w:b w:val="false"/>
          <w:color w:val="000000"/>
          <w:sz w:val="24"/>
        </w:rPr>
        <w:t>. The Borrower’s sole jurisdiction of organization is the State of Delaware and such jurisdiction has not changed within four (4) months prior to the date of this Agreement. The office of the Borrower is located at 1100 Campus Road, Princeton, New Jersey 08540. The legal name of the Borrower is Integra Receivables LLC.</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Investment Company Act; Volcker Rule</w:t>
      </w:r>
      <w:r>
        <w:rPr>
          <w:rFonts w:ascii="Times New Roman;serif" w:hAnsi="Times New Roman;serif"/>
          <w:b w:val="false"/>
          <w:color w:val="000000"/>
          <w:sz w:val="24"/>
        </w:rPr>
        <w:t>. The Borrower (i) is not, and is not controlled by, an “investment company” registered or required to be registered under the Investment Company Act and (ii) is not a “covered fund” under the Volcker Rule. In determining that the Borrower is not a “covered fund” under the Volcker Rule, the Borrower relies on, and is entitled to rely on, the exemption from the definition of “investment company” set forth in Section 3(c)(5) of the Investment Company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the date of formation of the Borrower there has been no Material Adverse Effect with respect to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Information Packages, Interim Reports, Loan Requests, certificates, reports, statements, documents and other information, other than financial projections, furnished to the Administrative Agent or any other Credit Party by or on behalf of the Borrower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Sanctions/Anti-Corruption/Anti-Money Laundering/International Trade Law Compliance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(i)Each Covered Entity, and each Covered Entity’s directors, officers, and any employee, and to the knowledge of any Integra Party any agent, or Affiliate acting on behalf of any Covered Entity: (a) is not a Sanctioned Person; (b) does not do business 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with, or derive any of its income, directly or indirectly, from any Sanctioned Person or any Sanctioned Jurisdiction (except, solely as to such business or derivation of income by any Covered Entity that is not an Integra Party, as disclosed by the Borrower or the Servicer to the Administrative Agent); and (c) is not in violation of, and is not, directly or indirectly, taking any action that could cause any Covered Entity to be in violation of, applicable International Trade Laws, Sanctions, Anti-Money Laundering Laws, or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(ii)Each Covered Entity, and each Covered Entity’s directors, officers and employees, and to the knowledge of any Integra Party, any agent or Affiliate acting on behalf of any Covered Entity: (x) is not in receipt of any notice or communication from any Compliance Authority that alleges, or otherwise pertains to, an actual or potential violation of any International Trade Laws, Sanctions, Anti-Money Laundering Laws or Anti-Corruption Laws; and (y) is not the target or subject of any investigation, nor has it received any request for information, involving any allegation relating to a violation of any International Trade Laws, Sanctions, Anti-Money Laundering Laws or Anti-Corruption Laws by an Official Body.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(iii)Each Covered Entity has instituted, maintains, and enforces policies and procedures reasonably designed to ensure compliance with applicable International Trade Laws, Sanctions, Anti-Money Laundering Laws and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(iv)There is no Covered Property pledged as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Transaction Information</w:t>
      </w:r>
      <w:r>
        <w:rPr>
          <w:rFonts w:ascii="Times New Roman;serif" w:hAnsi="Times New Roman;serif"/>
          <w:b w:val="false"/>
          <w:color w:val="000000"/>
          <w:sz w:val="24"/>
        </w:rPr>
        <w:t>. None of the Borrower, any Affiliate of the Borrower or any third party with which the Borrower or any Affiliate thereof has contracted, has delivered, in writing or orally, to any Rating Agency,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Compliance with Law. The Borrower has complied in all respects with all Applicable Laws to which it may be subject, except to the extent that any such noncompliance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Each Receivable included as an Eligible Receivable in the calculation of the Net Receivables Pool Balance as of any date is an Eligible Receivable as of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Bulk Sales Act</w:t>
      </w:r>
      <w:r>
        <w:rPr>
          <w:rFonts w:ascii="Times New Roman;serif" w:hAnsi="Times New Roman;serif"/>
          <w:b w:val="false"/>
          <w:color w:val="000000"/>
          <w:sz w:val="24"/>
        </w:rPr>
        <w:t>. No transaction contemplated by this Agreement requires compliance by it with any bulk sales act or similar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Borrower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been provided in accordance with GAAP, except to the extent that any such non-filing or non-payment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the Borrower,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Other Transaction Documents</w:t>
      </w:r>
      <w:r>
        <w:rPr>
          <w:rFonts w:ascii="Times New Roman;serif" w:hAnsi="Times New Roman;serif"/>
          <w:b w:val="false"/>
          <w:color w:val="000000"/>
          <w:sz w:val="24"/>
        </w:rPr>
        <w:t>. Each representation and warranty made by the Borrower under each other Transaction Document to which it is a party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No Linked Accounts</w:t>
      </w:r>
      <w:r>
        <w:rPr>
          <w:rFonts w:ascii="Times New Roman;serif" w:hAnsi="Times New Roman;serif"/>
          <w:b w:val="false"/>
          <w:color w:val="000000"/>
          <w:sz w:val="24"/>
        </w:rPr>
        <w:t>. There are no Linked Accounts with respect to any Collection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Margin Regulations</w:t>
      </w:r>
      <w:r>
        <w:rPr>
          <w:rFonts w:ascii="Times New Roman;serif" w:hAnsi="Times New Roman;serif"/>
          <w:b w:val="false"/>
          <w:color w:val="000000"/>
          <w:sz w:val="24"/>
        </w:rPr>
        <w:t>. The Borrower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Solvency</w:t>
      </w:r>
      <w:r>
        <w:rPr>
          <w:rFonts w:ascii="Times New Roman;serif" w:hAnsi="Times New Roman;serif"/>
          <w:b w:val="false"/>
          <w:color w:val="000000"/>
          <w:sz w:val="24"/>
        </w:rPr>
        <w:t>. After giving effect to the transactions contemplated by this Agreement and the other Transaction Documents, the Borrower is Solvent.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Perfection Representations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(i)This Agreement creates a valid and continuing security interest (as defined in the applicable UCC) in the Borrower’s right, title and interest in, to and under the Collateral which (A) security interest has been perfected and is enforceable against creditors of and purchasers from the Borrower and (B) will be free of all Adverse Claims in such Collateral.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Receivables constitute “accounts” or “payment intangibles” within the meaning of Section 9-102 of the UCC.</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Borrower owns and has good and marketable title to the Collateral free and clear of any Adverse Claim of any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(iv)All appropriate financing statements, financing statement amendments and continuation statements have been filed in the proper filing office in the appropriate jurisdictions under Applicable Law in order to perfect (and continue the perfection of) the sale or contribution of the Receivables and Related Security from each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Originator to the Borrower pursuant to the Purchase and Sale Agreement and the grant by the Borrower of a security interest in the Collateral to the Administrative Agent pursuant to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(v)Other than the security interest granted to the Administrative Agent pursuant to this Agreement, the Borrower has not pledged, assigned, sold, granted a security interest in, or otherwise conveyed any of the Collateral except as permitted by this Agreement and the other Transaction Documents. The Borrower has not authorized the filing of and is not aware of any financing statements filed against the Borrower that include a description of collateral covering the Collateral other than any financing statement (i) in favor of the Administrative Agent or (ii) that has been terminated or amended to reflect the release of any security interest in the Collateral. The Borrower is not aware of any judgment lien, ERISA lien or tax lien filings against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(vi)Notwithstanding any other provision of this Agreement or any other Transaction Document, the representations contained in this </w:t>
      </w:r>
      <w:r>
        <w:rPr>
          <w:rFonts w:ascii="Times New Roman;serif" w:hAnsi="Times New Roman;serif"/>
          <w:b w:val="false"/>
          <w:color w:val="000000"/>
          <w:sz w:val="24"/>
          <w:u w:val="single"/>
        </w:rPr>
        <w:t>Section 6.01(w)</w:t>
      </w:r>
      <w:r>
        <w:rPr>
          <w:color w:val="000000"/>
        </w:rPr>
        <w:t xml:space="preserve"> </w:t>
      </w:r>
      <w:r>
        <w:rPr>
          <w:rFonts w:ascii="Times New Roman;serif" w:hAnsi="Times New Roman;serif"/>
          <w:b w:val="false"/>
          <w:color w:val="000000"/>
          <w:sz w:val="24"/>
        </w:rPr>
        <w:t>shall be continuing and remain in full force and effect until the Final Payout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The Lock-Boxes and Collection Accounts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Nature of Collection Accounts</w:t>
      </w:r>
      <w:r>
        <w:rPr>
          <w:rFonts w:ascii="Times New Roman;serif" w:hAnsi="Times New Roman;serif"/>
          <w:b w:val="false"/>
          <w:color w:val="000000"/>
          <w:sz w:val="24"/>
        </w:rPr>
        <w:t>. Each Collection Account constitutes a “deposit account” within the meaning of the applicable UCC.</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Ownership</w:t>
      </w:r>
      <w:r>
        <w:rPr>
          <w:rFonts w:ascii="Times New Roman;serif" w:hAnsi="Times New Roman;serif"/>
          <w:b w:val="false"/>
          <w:color w:val="000000"/>
          <w:sz w:val="24"/>
        </w:rPr>
        <w:t>. Each Lock-Box and Collection Account is in the name of the Borrower, and the Borrower owns and has good and marketable title to the Collection Accounts free and clear of any Adverse Claim.</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Perfection</w:t>
      </w:r>
      <w:r>
        <w:rPr>
          <w:rFonts w:ascii="Times New Roman;serif" w:hAnsi="Times New Roman;serif"/>
          <w:b w:val="false"/>
          <w:color w:val="000000"/>
          <w:sz w:val="24"/>
        </w:rPr>
        <w:t>. The Borrower has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the Borrower, the Servicer or any other Person. The Administrative Agent has “control” (as defined in Section 9-104 of the UCC) over each Collection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Instructions</w:t>
      </w:r>
      <w:r>
        <w:rPr>
          <w:rFonts w:ascii="Times New Roman;serif" w:hAnsi="Times New Roman;serif"/>
          <w:b w:val="false"/>
          <w:color w:val="000000"/>
          <w:sz w:val="24"/>
        </w:rPr>
        <w:t>. Neither the Lock-Boxes nor the Collection Accounts are in the name of any Person other than the Borrower. Neither the Borrower nor the Servicer has consented to the applicable Collection Account Bank complying with instructions of any Person other than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Ordinary Course of Business. Each remittance of Collections by or on behalf of the Borrower to the Credit Parties under this Agreement will have been (i) in payment of a debt incurred by the Borrower in the ordinary course of business or financial affairs of the Borrower and (ii) made in the ordinary course of business or financial affairs of the Borrower.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u w:val="single"/>
        </w:rPr>
        <w:t>Tax Status</w:t>
      </w:r>
      <w:r>
        <w:rPr>
          <w:rFonts w:ascii="Times New Roman;serif" w:hAnsi="Times New Roman;serif"/>
          <w:b w:val="false"/>
          <w:color w:val="000000"/>
          <w:sz w:val="24"/>
        </w:rPr>
        <w:t>. The Borrower (i) is, and shall at all relevant times continue to be, a “disregarded entity” within the meaning of U.S. Treasury Regulation § 301.7701-3 for U.S. federal income tax purposes and (ii) is not and will not at any relevant time become an association (or publicly traded partnership) taxable as an association for U.S. federal income tax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(aa)</w:t>
      </w:r>
      <w:r>
        <w:rPr>
          <w:rFonts w:ascii="Times New Roman;serif" w:hAnsi="Times New Roman;serif"/>
          <w:b w:val="false"/>
          <w:color w:val="000000"/>
          <w:sz w:val="24"/>
          <w:u w:val="single"/>
        </w:rPr>
        <w:t>Liquidity Coverage Ratio</w:t>
      </w:r>
      <w:r>
        <w:rPr>
          <w:rFonts w:ascii="Times New Roman;serif" w:hAnsi="Times New Roman;serif"/>
          <w:b w:val="false"/>
          <w:color w:val="000000"/>
          <w:sz w:val="24"/>
        </w:rPr>
        <w:t>. The Borrower has not, does not and will not during this Agreement (x) issue any obligations that (A) constitute asset-backed commercial paper, or (B) are securities required to be registered under the Securities Act or that may be offered for sale under Rule 144A or a similar exemption from registration under the Securities Act or the rules promulgated thereunder, or (y) issue any other debt obligations or equity interest other than debt obligations substantially similar to the obligations of the Borrower under this Agreement that are (A) issued to other banks or asset-backed commercial paper conduits in privately negotiated transactions, and (B) subject to transfer restrictions substantially similar to the transfer restrictions set forth in this Agreement. The Borrower further represents and warrants that its assets and liabilities are consolidated with the assets and liabilities of Parent for purposes of generally accepted accounting principles.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(ab)</w:t>
      </w:r>
      <w:r>
        <w:rPr>
          <w:rFonts w:ascii="Times New Roman;serif" w:hAnsi="Times New Roman;serif"/>
          <w:b w:val="false"/>
          <w:color w:val="000000"/>
          <w:sz w:val="24"/>
          <w:u w:val="single"/>
        </w:rPr>
        <w:t>Reaffirmation of Representations and Warranties</w:t>
      </w:r>
      <w:r>
        <w:rPr>
          <w:rFonts w:ascii="Times New Roman;serif" w:hAnsi="Times New Roman;serif"/>
          <w:b w:val="false"/>
          <w:i/>
          <w:color w:val="000000"/>
          <w:sz w:val="24"/>
        </w:rPr>
        <w:t xml:space="preserve">. </w:t>
      </w:r>
      <w:r>
        <w:rPr>
          <w:rFonts w:ascii="Times New Roman;serif" w:hAnsi="Times New Roman;serif"/>
          <w:b w:val="false"/>
          <w:color w:val="000000"/>
          <w:sz w:val="24"/>
        </w:rPr>
        <w:t>On the date of each Credit Extension, on the date of each Release, on each Settlement Date and on the date each Information Package, Interim Report or other report is delivered to the Administrative Agent or any Group Agent hereunder, the Borrower shall be deemed to have certified that (i) all representations and warranties of the Borrower hereunder are true and correct in all material respects (unless such representations and warranties contain a materiality qualifier, in which case such representations and warranties shall be true and correct as made) on and as of such day as 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other provision of this Agreement or any other Transaction Document, the representations and warranties contained in this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shall be continuing, and remain in full force and effect until the Final Payout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Representations and Warranties of the Servicer</w:t>
      </w:r>
      <w:r>
        <w:rPr>
          <w:rFonts w:ascii="Times New Roman;serif" w:hAnsi="Times New Roman;serif"/>
          <w:b w:val="false"/>
          <w:color w:val="000000"/>
          <w:sz w:val="24"/>
        </w:rPr>
        <w:t>. The Servicer represents and warrants to each Credit Party as of the Closing Date, on each Settlement Date and on each day on which a Credit Extension shall have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The Servicer is a duly organized and validly existing limited liability company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Due Qualification.</w:t>
      </w:r>
      <w:r>
        <w:rPr>
          <w:color w:val="000000"/>
        </w:rPr>
        <w:t xml:space="preserve"> </w:t>
      </w:r>
      <w:r>
        <w:rPr>
          <w:rFonts w:ascii="Times New Roman;serif" w:hAnsi="Times New Roman;serif"/>
          <w:b w:val="false"/>
          <w:color w:val="000000"/>
          <w:sz w:val="24"/>
        </w:rPr>
        <w:t>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Power and Authority; Due Authorization.</w:t>
      </w:r>
      <w:r>
        <w:rPr>
          <w:color w:val="000000"/>
        </w:rPr>
        <w:t xml:space="preserve"> </w:t>
      </w:r>
      <w:r>
        <w:rPr>
          <w:rFonts w:ascii="Times New Roman;serif" w:hAnsi="Times New Roman;serif"/>
          <w:b w:val="false"/>
          <w:color w:val="000000"/>
          <w:sz w:val="24"/>
        </w:rPr>
        <w:t>The Servicer (i) has all necessary power and authority to (A) execute and deliver this Agreement and the other Transaction Documents to which it is a party and (B) perform its obligations under this Agreement and the other Transaction Documents to which it is a party and (ii) has duly authorized by all necessary action the execution, delivery and performance of, and the consummation of the transactions provided for in, this Agreement and the other Transaction Documents to which it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Binding Obligations.</w:t>
      </w:r>
      <w:r>
        <w:rPr>
          <w:color w:val="000000"/>
        </w:rPr>
        <w:t xml:space="preserve"> </w:t>
      </w:r>
      <w:r>
        <w:rPr>
          <w:rFonts w:ascii="Times New Roman;serif" w:hAnsi="Times New Roman;serif"/>
          <w:b w:val="false"/>
          <w:color w:val="000000"/>
          <w:sz w:val="24"/>
        </w:rPr>
        <w:t>This Agreement and each of the other Transaction Documents to which the Servicer is a party constitutes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Conflict or Violation.</w:t>
      </w:r>
      <w:r>
        <w:rPr>
          <w:color w:val="000000"/>
        </w:rPr>
        <w:t xml:space="preserve"> </w:t>
      </w:r>
      <w:r>
        <w:rPr>
          <w:rFonts w:ascii="Times New Roman;serif" w:hAnsi="Times New Roman;serif"/>
          <w:b w:val="false"/>
          <w:color w:val="000000"/>
          <w:sz w:val="24"/>
        </w:rPr>
        <w:t>The execution, delivery and performance of, and the consummation of the transactions contemplated by, this Agreement and the other Transaction Documents to which the Servicer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Servicer is a party or by which it or any of its properties is bound, (ii) result in the creation or imposition of any Adverse Claim upon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Litigation and Other Proceedings.</w:t>
      </w:r>
      <w:r>
        <w:rPr>
          <w:color w:val="000000"/>
        </w:rPr>
        <w:t xml:space="preserve"> </w:t>
      </w:r>
      <w:r>
        <w:rPr>
          <w:rFonts w:ascii="Times New Roman;serif" w:hAnsi="Times New Roman;serif"/>
          <w:b w:val="false"/>
          <w:color w:val="000000"/>
          <w:sz w:val="24"/>
        </w:rPr>
        <w:t xml:space="preserve">(i) There is no action, suit, proceeding or investigation pending or, to the best knowledge of the Servicer, threatened, against the Borrower before any Official Body and (ii) the Servicer is not subject to any order, judgment, decree, injunction, stipulation or consent order of or with any Official Body that, in the case of either of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(A) asserts the invalidity of this Agreement or any other Transaction Document, (B) seeks to prevent the consummation of any of the transactions contemplated by this Agreement or any other Transaction Document, (C) seeks any determination or ruling that could materially and adversely affect the performance by the Servicer of its obligations under, or the validity or enforceability of, this Agreement or any other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 Document or (D) individually or in the aggregate for all such actions, suits, proceedings and investigations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 Consents.</w:t>
      </w:r>
      <w:r>
        <w:rPr>
          <w:color w:val="000000"/>
        </w:rPr>
        <w:t xml:space="preserve"> </w:t>
      </w:r>
      <w:r>
        <w:rPr>
          <w:rFonts w:ascii="Times New Roman;serif" w:hAnsi="Times New Roman;serif"/>
          <w:b w:val="false"/>
          <w:color w:val="000000"/>
          <w:sz w:val="24"/>
        </w:rPr>
        <w:t>The Servicer is not required to obtain the consent of any other party or any consent, order, license, approval, registration, authorization, action or declaration of or with any Official Body in connection with the due execution, delivery, or performance by the Servicer of this Agreement or any other Transaction Documents to which it is a party or the consummation by the Servicer of the transactions contemplated by this Agreement or any other Transaction Document to which it is a party that has not already been obtained and are in full force and effect or the failure of which to obtain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Location of Records.</w:t>
      </w:r>
      <w:r>
        <w:rPr>
          <w:color w:val="000000"/>
        </w:rPr>
        <w:t xml:space="preserve"> </w:t>
      </w:r>
      <w:r>
        <w:rPr>
          <w:rFonts w:ascii="Times New Roman;serif" w:hAnsi="Times New Roman;serif"/>
          <w:b w:val="false"/>
          <w:color w:val="000000"/>
          <w:sz w:val="24"/>
        </w:rPr>
        <w:t>The offices where the initial Servicer keeps all of its records relating to the servicing of the Pool Receivables are located at 1100 Campus Road, Princeton, New Jersey 08540.</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xml:space="preserve">. The Servicer is not, and is not controlled by, an “investment company” registered or required to be registered under the Investment Company Act.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xml:space="preserve">. Since September 30, 2018, there has been no Material Adverse Effect with respect to the Servicer.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Accuracy of Information.</w:t>
      </w:r>
      <w:r>
        <w:rPr>
          <w:color w:val="000000"/>
        </w:rPr>
        <w:t xml:space="preserve"> </w:t>
      </w:r>
      <w:r>
        <w:rPr>
          <w:rFonts w:ascii="Times New Roman;serif" w:hAnsi="Times New Roman;serif"/>
          <w:b w:val="false"/>
          <w:color w:val="000000"/>
          <w:sz w:val="24"/>
        </w:rPr>
        <w:t>All Information Packages, Interim Reports, Loan Requests, certificates, reports, statements, documents and other information, other than financial projections, furnished to the Administrative Agent or any other Credit Party by or on behalf of the Servicer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Sanctions/Anti-Corruption/Anti-Money Laundering/International Trade Law Compliance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(i)Each Covered Entity, and each Covered Entity’s directors, officers, and any employee, and to the knowledge of any Integra Party any agent, or Affiliate acting on behalf of any Covered Entity: (a) is not a Sanctioned Person; (b) does not do business in or with, or derive any of its income, directly or indirectly, from any Sanctioned Person or any Sanctioned Jurisdiction (except, solely as to such business or derivation of income by any Covered Entity that is not an Integra Party, as disclosed by the Borrower or the Servicer to the Administrative Agent); and (c) is not in violation of, and is not, directly or indirectly, taking any action that could cause any Covered Entity to be in violation of,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International Trade Laws, Sanctions, Anti-Money Laundering Laws, or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(ii)Each Covered Entity, and each Covered Entity’s directors, officers and employees, and to the knowledge of any Integra Party, any agent or Affiliate acting on behalf of any Covered Entity: (x) is not in receipt of any notice or communication from any Compliance Authority that alleges, or otherwise pertains to, an actual or potential violation of any International Trade Laws, Sanctions, Anti-Money Laundering Laws or Anti-Corruption Laws; and (y) is not the target or subject of any investigation, nor has it received any request for information, involving any allegation relating to a violation of any International Trade Laws, Sanctions, Anti-Money Laundering Laws or Anti-Corruption Laws by an Official Body.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(iii)Each Covered Entity has instituted, maintains, and enforces policies and procedures reasonably designed to ensure compliance with applicable International Trade Laws, Sanctions, Anti-Money Laundering Laws and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(iv)There is no Covered Property pledged as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Transaction Information</w:t>
      </w:r>
      <w:r>
        <w:rPr>
          <w:rFonts w:ascii="Times New Roman;serif" w:hAnsi="Times New Roman;serif"/>
          <w:b w:val="false"/>
          <w:color w:val="000000"/>
          <w:sz w:val="24"/>
        </w:rPr>
        <w:t>. None of the Servicer, any Affiliate of the Servicer or any third party with which the Servicer or any Affiliate thereof has contracted, has delivered, in writing or orally, to any Rating Agency, or monitoring a rating of, any Notes,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The Servicer (i) has duly satisfied all obligations on its part to be fulfilled under or in connection with the Pool Receivables and the related Contracts, (ii) has maintained in effect all qualifications required under Applicable Law in order to properly service the Pool Receivables and (iii) has complied in all respects with all Applicable Laws in connection with servicing the Pool Receivables, except to the extent that any such non-satisfaction, non-maintenance or noncompliance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xml:space="preserve">. Each Receivable included as an Eligible Receivable in the calculation of the Net Receivables Pool Balance as of any date is an Eligible Receivable as of such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Taxes</w:t>
      </w:r>
      <w:r>
        <w:rPr>
          <w:rFonts w:ascii="Times New Roman;serif" w:hAnsi="Times New Roman;serif"/>
          <w:b w:val="false"/>
          <w:color w:val="000000"/>
          <w:sz w:val="24"/>
        </w:rPr>
        <w:t>. The 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to the extent that any such non-filing or non-payment could not reasonably be expected to have a Material Adverse Effect.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the Servicer,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Other Transaction Documents</w:t>
      </w:r>
      <w:r>
        <w:rPr>
          <w:rFonts w:ascii="Times New Roman;serif" w:hAnsi="Times New Roman;serif"/>
          <w:b w:val="false"/>
          <w:color w:val="000000"/>
          <w:sz w:val="24"/>
        </w:rPr>
        <w:t>. Each representation and warranty made by the Servicer under each other Transaction Document to which it is a party (including, without limitation, the Purchase and Sale Agreement)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No Linked Accounts</w:t>
      </w:r>
      <w:r>
        <w:rPr>
          <w:rFonts w:ascii="Times New Roman;serif" w:hAnsi="Times New Roman;serif"/>
          <w:b w:val="false"/>
          <w:color w:val="000000"/>
          <w:sz w:val="24"/>
        </w:rPr>
        <w:t>. There are no Linked Accounts with respect to any Collection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Credit and Collection Procedures.</w:t>
      </w:r>
      <w:r>
        <w:rPr>
          <w:color w:val="000000"/>
        </w:rPr>
        <w:t xml:space="preserve"> </w:t>
      </w:r>
      <w:r>
        <w:rPr>
          <w:rFonts w:ascii="Times New Roman;serif" w:hAnsi="Times New Roman;serif"/>
          <w:b w:val="false"/>
          <w:color w:val="000000"/>
          <w:sz w:val="24"/>
        </w:rPr>
        <w:t>The Servicer has complied in all material respects with the Credit and Collection Procedures (or, prior to the existence thereof in documented form, the substance thereof) with regard to each Pool Receivable and the related Contracts.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Servicing Programs</w:t>
      </w:r>
      <w:r>
        <w:rPr>
          <w:rFonts w:ascii="Times New Roman;serif" w:hAnsi="Times New Roman;serif"/>
          <w:b w:val="false"/>
          <w:color w:val="000000"/>
          <w:sz w:val="24"/>
        </w:rPr>
        <w:t>.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Servicing of Pool Receivables</w:t>
      </w:r>
      <w:r>
        <w:rPr>
          <w:rFonts w:ascii="Times New Roman;serif" w:hAnsi="Times New Roman;serif"/>
          <w:b w:val="false"/>
          <w:color w:val="000000"/>
          <w:sz w:val="24"/>
        </w:rPr>
        <w:t>. Since the Closing Date, there has been no material adverse change in the ability of the Servicer or any Sub-Servicer to service and collect the Pool Receivables and the Related Security.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The consolidated balance sheets of the Servicer and its consolidated Subsidiaries as of September 30, 2018 and the related statements of income and shareholders’ equity of the Servicer and its consolidated Subsidiaries for the fiscal quarter then ended, copies of which have been furnished to the Administrative Agent and the Group Agents, present fairly in all material respects the consolidated financial position of the Servicer and its consolidated Subsidiaries for the period ended on such date, all in accordance with GAAP.</w:t>
      </w:r>
    </w:p>
    <w:p>
      <w:pPr>
        <w:pStyle w:val="TextBody"/>
        <w:bidi w:val="0"/>
        <w:spacing w:lineRule="auto" w:line="288"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Reaffirmation of Representations and Warranties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On the date of each Credit Extension, on the date of each Release, on each Settlement Date and on the date each Information Package, Interim Report or other report is delivered to the Administrative Agent or any Group Agent hereunder, the Servicer shall be deemed to have certified that (i) all representations and warranties of the Servicer hereunder are true and correct in all material respects (unless such representations and warranties contain a materiality qualifier, in which case such representations and warranties shall be true and correct as made) on and as of such day as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other provision of this Agreement or any other Transaction Document, the representations and warranties contained in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shall be continuing, and remain in full force and effect until the Final Payout Date.</w:t>
      </w:r>
    </w:p>
    <w:p>
      <w:pPr>
        <w:pStyle w:val="TextBody"/>
        <w:bidi w:val="0"/>
        <w:spacing w:lineRule="auto" w:line="240" w:before="0" w:after="240"/>
        <w:ind w:left="0" w:right="0" w:hanging="360"/>
        <w:jc w:val="center"/>
        <w:rPr>
          <w:rFonts w:ascii="Times New Roman;serif" w:hAnsi="Times New Roman;serif"/>
          <w:b/>
          <w:color w:val="000000"/>
          <w:sz w:val="24"/>
        </w:rPr>
      </w:pPr>
      <w:r>
        <w:rPr>
          <w:rFonts w:ascii="Times New Roman;serif" w:hAnsi="Times New Roman;serif"/>
          <w:b/>
          <w:color w:val="000000"/>
          <w:sz w:val="24"/>
        </w:rPr>
        <w:t>ARTICLE VII</w:t>
        <w:br/>
        <w:br/>
        <w:t>COVENANTS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Covenants of the Borrower</w:t>
      </w:r>
      <w:r>
        <w:rPr>
          <w:rFonts w:ascii="Times New Roman;serif" w:hAnsi="Times New Roman;serif"/>
          <w:b w:val="false"/>
          <w:color w:val="000000"/>
          <w:sz w:val="24"/>
        </w:rPr>
        <w:t>. At all times from the Closing Date until the Final Payout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of Principal and Interest</w:t>
      </w:r>
      <w:r>
        <w:rPr>
          <w:rFonts w:ascii="Times New Roman;serif" w:hAnsi="Times New Roman;serif"/>
          <w:b w:val="false"/>
          <w:color w:val="000000"/>
          <w:sz w:val="24"/>
        </w:rPr>
        <w:t>. The Borrower shall duly and punctually pay Capital, Interest, Fees and all other amounts payable by the Borrower hereunder in accordance with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Existence</w:t>
      </w:r>
      <w:r>
        <w:rPr>
          <w:rFonts w:ascii="Times New Roman;serif" w:hAnsi="Times New Roman;serif"/>
          <w:b w:val="false"/>
          <w:color w:val="000000"/>
          <w:sz w:val="24"/>
        </w:rPr>
        <w:t>. The Borrower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and the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The Borrower will maintain a system of accounting established and administered in accordance with GAAP, and the Borrower (or the Servicer on its behalf) shall furnish to the Administrative Agent and each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Annual Financial Statements of the Borrower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Promptly upon completion and in no event later than ninety (90) calendar days after the close of each fiscal year of the Borrower (or, if applicable, the date on which the financial statements describe in </w:t>
      </w:r>
      <w:r>
        <w:rPr>
          <w:rFonts w:ascii="Times New Roman;serif" w:hAnsi="Times New Roman;serif"/>
          <w:b w:val="false"/>
          <w:color w:val="000000"/>
          <w:sz w:val="24"/>
          <w:u w:val="single"/>
        </w:rPr>
        <w:t>Section 7.01(c)(v)</w:t>
      </w:r>
      <w:r>
        <w:rPr>
          <w:color w:val="000000"/>
        </w:rPr>
        <w:t xml:space="preserve"> </w:t>
      </w:r>
      <w:r>
        <w:rPr>
          <w:rFonts w:ascii="Times New Roman;serif" w:hAnsi="Times New Roman;serif"/>
          <w:b w:val="false"/>
          <w:color w:val="000000"/>
          <w:sz w:val="24"/>
        </w:rPr>
        <w:t>are delivered), annual unaudited financial statements of the Borrower certified by a Financial Officer of the Borrower that they fairly present in all material respects, in accordance with GAAP, the financial condition of the Borrower as of the date indicated and the results of its operations for the periods indicated.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Information Packages and Interim Reports</w:t>
      </w:r>
      <w:r>
        <w:rPr>
          <w:rFonts w:ascii="Times New Roman;serif" w:hAnsi="Times New Roman;serif"/>
          <w:b w:val="false"/>
          <w:color w:val="000000"/>
          <w:sz w:val="24"/>
        </w:rPr>
        <w:t xml:space="preserve">. As soon as available and in any event not later than two (2) Business Days prior to each Settlement Date, an Information Package as of the most recently completed Fiscal Month;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upon the occurrence of a Specific Reporting Event and ten (10) Business Days’ prior written notice from the Administrative Agent, the Borrower shall furnish or cause to be furnished to the Administrative Agent and each Group Agent a weekly (or on a more frequent basis as indicated in the written notice from the Administrative Agent) Interim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Report with respect to the Pool Receivables with data as of the close of business on the Business Day preceding the date on which such Interim Report is delivered;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at any time after the occurrence and during the continuance of an Event of Default, the Administrative Agent may specify in such notice that such Interim Report be furnished to the Administrative Agent and each Group Agent on a more frequent basis until the Administrative Agent gives notices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Other Information</w:t>
      </w:r>
      <w:r>
        <w:rPr>
          <w:rFonts w:ascii="Times New Roman;serif" w:hAnsi="Times New Roman;serif"/>
          <w:b w:val="false"/>
          <w:i/>
          <w:color w:val="000000"/>
          <w:sz w:val="24"/>
        </w:rPr>
        <w:t xml:space="preserve">. </w:t>
      </w:r>
      <w:r>
        <w:rPr>
          <w:rFonts w:ascii="Times New Roman;serif" w:hAnsi="Times New Roman;serif"/>
          <w:b w:val="false"/>
          <w:color w:val="000000"/>
          <w:sz w:val="24"/>
        </w:rPr>
        <w:t>Such other information relating to the Borrower or the Pool Receivables (including non-financial information) as the Administrative Agent or any Group Agent may from time to time reasonably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Quarterly Financial Statements of Parent</w:t>
      </w:r>
      <w:r>
        <w:rPr>
          <w:rFonts w:ascii="Times New Roman;serif" w:hAnsi="Times New Roman;serif"/>
          <w:b w:val="false"/>
          <w:color w:val="000000"/>
          <w:sz w:val="24"/>
        </w:rPr>
        <w:t>. As soon as available and in no event later than forty five (45) calendar days following the end of each of the first three fiscal quarters in each of Parent’s fiscal years (or, if applicable, the date on which such financial statements are required to be filed with the SEC), (i) the unaudited consolidated balance sheet and statements of income of Parent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fiscal quarter in the prior fiscal year, all of which shall be certified by a Financial Officer of Parent that they fairly present in all material respects, in accordance with GAAP, the financial condition of Parent and its consolidated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fiscal quarter.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Annual Financial Statements of Parent</w:t>
      </w:r>
      <w:r>
        <w:rPr>
          <w:rFonts w:ascii="Times New Roman;serif" w:hAnsi="Times New Roman;serif"/>
          <w:b w:val="false"/>
          <w:color w:val="000000"/>
          <w:sz w:val="24"/>
        </w:rPr>
        <w:t>. Within ninety (90) calendar days after the close of each of Parent’s fiscal years (or, if applicable, the date on which such financial statements are required to be filed with the SEC), the consolidated balance sheet of Parent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a “going concern” or like qualification or exception) to the effect that such consolidated financial statements present fairly in all material respects, in accordance with GAAP, the financial condition of Parent and its consolidated Subsidiaries as of the dates indicated and the results of their operations for the periods indicated.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Other Reports and Filings</w:t>
      </w:r>
      <w:r>
        <w:rPr>
          <w:rFonts w:ascii="Times New Roman;serif" w:hAnsi="Times New Roman;serif"/>
          <w:b w:val="false"/>
          <w:color w:val="000000"/>
          <w:sz w:val="24"/>
        </w:rPr>
        <w:t xml:space="preserve">. Promptly (but in any event within ten (10) calendar days) after the filing or delivery thereof, copies of all financial information, proxy materials and reports not otherwise delivered pursuant to </w:t>
      </w:r>
      <w:r>
        <w:rPr>
          <w:rFonts w:ascii="Times New Roman;serif" w:hAnsi="Times New Roman;serif"/>
          <w:b w:val="false"/>
          <w:color w:val="000000"/>
          <w:sz w:val="24"/>
          <w:u w:val="single"/>
        </w:rPr>
        <w:t>Sections 7.01(c)(i)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above, if any, which Parent or any of its consolidated Subsidiaries shall publicly file with the SEC or deliver to holders (or any trustee, agent or other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representative therefor) of any of its material Debt pursuant to the terms of the documentation governing the same.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(vii)Notwithstanding anything herein to the contrary, any financial information, proxy statements or other material required to be delivered pursuant to this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shall be deemed to have been furnished to each of the Administrative Agent and each Group Agent on the date that such report, proxy statement or other material is posted on the SEC’s website at www.sec.gov.</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Notices</w:t>
      </w:r>
      <w:r>
        <w:rPr>
          <w:rFonts w:ascii="Times New Roman;serif" w:hAnsi="Times New Roman;serif"/>
          <w:b w:val="false"/>
          <w:color w:val="000000"/>
          <w:sz w:val="24"/>
        </w:rPr>
        <w:t>. The Borrower (or the Servicer on its behalf) will notify the Administrative Agent and each Group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Events of Default or Unmatured Events of Default</w:t>
      </w:r>
      <w:r>
        <w:rPr>
          <w:rFonts w:ascii="Times New Roman;serif" w:hAnsi="Times New Roman;serif"/>
          <w:b w:val="false"/>
          <w:color w:val="000000"/>
          <w:sz w:val="24"/>
        </w:rPr>
        <w:t>. A statement of a Financial Officer of the Borrower setting forth details of any Event of Default or Unmatured Event of Default that has occurred and is continuing and the action which the Borrower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to be made by the Borrower under this Agreement or any other Transaction Document to be true and correct in any material respect when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on any Integra Party, which with respect to any Person other than the Borrower,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Name Changes</w:t>
      </w:r>
      <w:r>
        <w:rPr>
          <w:rFonts w:ascii="Times New Roman;serif" w:hAnsi="Times New Roman;serif"/>
          <w:b w:val="false"/>
          <w:color w:val="000000"/>
          <w:sz w:val="24"/>
        </w:rPr>
        <w:t>. At least ten (10) Business Days before any change in any Originator’s or the Borrower’s name, jurisdiction of organization or any other change requiring the amendment of UCC financing statements, a notice setting forth such changes and the effective date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(i) the external accountants of any Integra Party, (ii) any accounting policy of the Borrower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Notice of Purchase and Sale Termination Event or Unmatured Purchase and Sale Termination Event</w:t>
      </w:r>
      <w:r>
        <w:rPr>
          <w:rFonts w:ascii="Times New Roman;serif" w:hAnsi="Times New Roman;serif"/>
          <w:b w:val="false"/>
          <w:color w:val="000000"/>
          <w:sz w:val="24"/>
        </w:rPr>
        <w:t>. The occurrence of a Purchase and Sale Termination Event or an Unmatured Purchase and Sale Termination Event under the Purchase and Sale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 xml:space="preserve">Material Adverse Change. Promptly after the occurrence thereof, notice of any material adverse change in the business, operations, property or financial or other condition of </w:t>
      </w:r>
      <w:r>
        <w:rPr>
          <w:rFonts w:ascii="Times New Roman;serif" w:hAnsi="Times New Roman;serif"/>
          <w:b w:val="false"/>
          <w:color w:val="000000"/>
          <w:sz w:val="24"/>
        </w:rPr>
        <w:t>any Integra Party</w:t>
      </w:r>
      <w:r>
        <w:rPr>
          <w:color w:val="000000"/>
          <w:u w:val="single"/>
        </w:rPr>
        <w:t xml:space="preserve"> </w:t>
      </w:r>
      <w:r>
        <w:rPr>
          <w:rFonts w:ascii="Times New Roman;serif" w:hAnsi="Times New Roman;serif"/>
          <w:b w:val="false"/>
          <w:color w:val="000000"/>
          <w:sz w:val="24"/>
          <w:u w:val="single"/>
        </w:rPr>
        <w:t xml:space="preserve">(including, without limitation, a change to the Credit and Collection </w:t>
      </w:r>
      <w:r>
        <w:rPr>
          <w:rFonts w:ascii="Times New Roman;serif" w:hAnsi="Times New Roman;serif"/>
          <w:b w:val="false"/>
          <w:color w:val="000000"/>
          <w:sz w:val="24"/>
        </w:rPr>
        <w:t>Procedures</w:t>
      </w:r>
      <w:r>
        <w:rPr>
          <w:rFonts w:ascii="Times New Roman;serif" w:hAnsi="Times New Roman;serif"/>
          <w:b w:val="false"/>
          <w:color w:val="000000"/>
          <w:sz w:val="24"/>
          <w:u w:val="single"/>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The Borrower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Borrower will comply with all Applicable Laws to which it may be subject if the failure to comply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The Borrower will furnish or cause to be furnished to the Administrative Agent and each Group Agent from time to time such information with respect to the Pool Receivables and the other Collateral as the Administrative Agent or any Group Agent may reasonably request. The Borrower will, (i) at the Borrower’s expense, during regular business hours with prior written notice, permit the Administrative Agent and each Group Agent or their respective agents or representatives to (A) examine and make copies of and abstracts from all books and records relating to the Pool Receivables or other Collateral, (B) visit the offices and properties of the Borrower for the purpose of examining such books and records and (C) discuss matters relating to the Pool Receivables, the other Collateral or the Borrower’s performance hereunder or under the other Transaction Documents to which it is a party with any of the officers, directors, employees or independent public accountants of the Borrower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the Borrower’s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Borrower shall be required to reimburse the Administrative Agent for only one (1) such review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in any twelve-month period, unless an Event of Default has occurred and is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The Borrower (or the Servicer on its behalf) will, and will cause each Originator to, at all times, instruct all Obligors to deliver payments on the Pool Receivables to a Collection Account or a Lock-Box. The Borrower (or the Servicer on its behalf) will, and will cause each Originator to, at all times, maintain such books and records as are necessary to identify Collections received from time to time on Pool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the Group Agents and the other Secured Parties and promptly (but in any event within two (2) Business Days after receipt) remit such funds into a Collection Account. The Borrower (or the Servicer on its behalf) will cause each Collection Account Bank to comply with the terms of each applicable Account Control Agreement. The Borrower shall not permit funds other than Collections on Pool Receivables and other Collateral to be deposited into any Collection Account. If such funds are nevertheless deposited into any Collection Account, the Borrower (or the Servicer on its behalf) shall, within two (2) Business Days, (x) identify and transfer such funds to the appropriate Person entitled to such funds and (y) instruct such Person to no longer deposit any such funds into any such Collection Account. The Borrower will not, and will not permit the Servicer, any Originator or any other Person to commingle Collections or other funds to which the Administrative Agent, any Group Agent or any other Secured Party is entitled, with any other funds. The Borrower shall only add a Collection Account (or a related Lock-Box) or a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Borrower shall only terminate a Collection Account Bank or close a Collection Account (or a related Lock-Box) with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Sales, Liens, etc.</w:t>
      </w:r>
      <w:r>
        <w:rPr>
          <w:color w:val="000000"/>
        </w:rPr>
        <w:t xml:space="preserve"> </w:t>
      </w:r>
      <w:r>
        <w:rPr>
          <w:rFonts w:ascii="Times New Roman;serif" w:hAnsi="Times New Roman;serif"/>
          <w:b w:val="false"/>
          <w:color w:val="000000"/>
          <w:sz w:val="24"/>
        </w:rPr>
        <w:t>Except as otherwise provided herein, the Borrower will not sell, assign (by operation of law or otherwise) or otherwise dispose of, or create or suffer to exist any Adverse Claim upon (including, without limitation, the filing of any financing statement) or with respect to, any Pool Receivable or other Collateral, or assign any right to receive income in respect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Extension or Amendment of Pool Receivables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otherwise permitted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the Borrower will not, and will not permit the Servicer to, alter the delinquency status or adjust the Outstanding Balance or otherwise modify the terms of any Pool Receivable in any respect, or amend, modify or waive, in any respect, any term or condition of any related Contract that could have a Material Adverse Effect. The Borrower shall at its expense, timely and fully perform and comply in all material respects with all provisions, covenants and other promises required to be observed by it under the Contracts related to the Pool Receivables, and timely and fully comply with the Credit and Collection Procedures with regard to each Pool Receivable and the related Contract.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 xml:space="preserve">Change in Credit and Collection </w:t>
      </w:r>
      <w:r>
        <w:rPr>
          <w:rFonts w:ascii="Times New Roman;serif" w:hAnsi="Times New Roman;serif"/>
          <w:b w:val="false"/>
          <w:color w:val="000000"/>
          <w:sz w:val="24"/>
        </w:rPr>
        <w:t>Procedures. The Borrower will not make any change that could be reasonably expected to have a Material Adverse Effect in the Credit and Collection Procedures without the prior written consent of the Administrative Agent and the Majority Group Agents. Promptly following any change in the Credit and Collection Procedures, the Borrower will deliver a copy of the updated Credit and Collection Procedures to the Administrative Agent and each Lender.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Borrower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Identifying of Records</w:t>
      </w:r>
      <w:r>
        <w:rPr>
          <w:rFonts w:ascii="Times New Roman;serif" w:hAnsi="Times New Roman;serif"/>
          <w:b w:val="false"/>
          <w:color w:val="000000"/>
          <w:sz w:val="24"/>
        </w:rPr>
        <w:t>. The Borrower shall: (i) identify (or cause the Servicer to identify) its master data processing records relating to Pool Receivables and related Contracts with a legend that indicates that the Pool Receivables have been pledged in accordance with this Agreement and (ii) cause each Originator so to identify its master data processing records with such a legend.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The Borrower shall not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Security Interest, Etc.</w:t>
      </w:r>
      <w:r>
        <w:rPr>
          <w:color w:val="000000"/>
        </w:rPr>
        <w:t xml:space="preserve"> </w:t>
      </w:r>
      <w:r>
        <w:rPr>
          <w:rFonts w:ascii="Times New Roman;serif" w:hAnsi="Times New Roman;serif"/>
          <w:b w:val="false"/>
          <w:color w:val="000000"/>
          <w:sz w:val="24"/>
        </w:rPr>
        <w:t xml:space="preserve">The Borrower shall (and shall cause the Servicer to), at its expense, take all action necessary or reasonably desirable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Borrower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Borrower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 to file such financing statements under the UCC without the signature of the Borrower, any Originator or the Administrative Agent where allowed by Applicable Law. Notwithstanding anything else in the Transaction Documents to the contrary, the Borrower shall not have any authority to file 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Further Assurances; Change in Name or Jurisdiction of Origination, etc.</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Borrower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Borrower hereby authorizes, and will, upon the request of the Administrative Agent, at the Borrower’s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Borrower authorizes the Administrative Agent to file financing statements, continuation statements and amendments thereto and assignments thereof, relating to the Receivables, the Related Security, the related Contracts, Collections with respect thereto and the other Collateral without the signature of the Borrower. A photocopy or other reproduction of this Agreement shall be sufficient as a financing statement where permitted by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Borrower shall at all times be organized under the laws of the State of Delaware and shall not take any action to change its jurisdiction of organization.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(iv)The Borrower will not change its name, location, identity or corporate structure unless (x) the Borrower, at its own expense, shall have taken all action necessary 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 (y) if requested by the Administrative Agent, the </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shall cause to be delivered to the Administrative Agent, an opinion, in form and substance satisfactory to the Administrative Agent as to such UCC perfection and priority matters as the Administrative Agent may request at such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Transaction Information</w:t>
      </w:r>
      <w:r>
        <w:rPr>
          <w:rFonts w:ascii="Times New Roman;serif" w:hAnsi="Times New Roman;serif"/>
          <w:b w:val="false"/>
          <w:color w:val="000000"/>
          <w:sz w:val="24"/>
        </w:rPr>
        <w:t>. None of the Borrower, any Affiliate of the Borrower or any third party with which the Borrower or any Affiliate thereof has contracted,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Sanctions/Anti-Corruption/Anti-Money Laundering/International Trade Law Compliance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Borrower shall: (A) in the event that any Collateral becomes Covered Property, promptly notify the Administrative Agent and provide to the Administrative Agent additional Collateral that is not Covered Property of at least equal value to the Collateral that became Covered Property, except to the extent prohibited by Applicable Law;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each Covered Entity, each Covered Entity’s directors and officers, and any employee, agent or Affiliate acting on behalf of each Covered Entity in connection with this Agreement; and (C) not, and not permit any of the Borrower’s agents or Affiliates acting on behalf of the Borrower in connection with this Agreement to, (I) become a Sanctioned Person or (II) repay in whole or in part any Loan hereunder with proceeds derived from investments in or transactions with any Sanctioned Jurisdiction or Sanctioned Person, or otherwise, in violation of Sanctions.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Borrower shall promptly notify the Administrative Agent in the event the Borrower learns that the Borrower or any of the Borrower’s directors or officers, or any employee, or to the knowledge of the Borrower, any of the Borrower’s agents or Affiliates acting on behalf of the Borrower in connection with this Agreement: (A) becomes a Sanctioned Person; (B) directly or indirectly (through a third party or otherwise) provides, uses, or makes available the proceeds of any Loan hereunder (1) to fund or facilitate any activities or business of, with, or for the benefit of any Sanctioned Person, (2) to fund or facilitate any activities or business of or in any Sanctioned Jurisdiction, or (3)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violates Sanctions; or (D) does business in or with, or derive any of its income, directly or indirectly, from any Sanctioned Jurisdiction or Sanctioned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Borrower’s Tax Status</w:t>
      </w:r>
      <w:r>
        <w:rPr>
          <w:rFonts w:ascii="Times New Roman;serif" w:hAnsi="Times New Roman;serif"/>
          <w:b w:val="false"/>
          <w:color w:val="000000"/>
          <w:sz w:val="24"/>
        </w:rPr>
        <w:t>. The Borrower will remain a wholly-owned subsidiary of a United States person (within the meaning of Section 7701(a)(30) of the Code) and not be subject to withholding under Section 1446 of the Code. The Borrower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The Borrower shall not, without the prior written consent of the Administrative Agent and the Majority Group Agents, permit (i) itself to merge,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divide or consolidate with or into, or convey, transfer, lease or otherwise dispose of (whether in one transaction or in a series of transactions) all or substantially all of its assets (whether now owned or hereafter acquired) to, any Person or (ii) itself to be directly owned by any Person other than an Originator or (iii) any of its issued and outstanding Capital Stock or any of its other equity interests to become subject to any Adverse Claims. The Borrower shall provide the Administrative Agent with at least ten (10) Business Days’ prior written notice before making any change in the Borrower’s name or location or making any other change in the Borrower’s identity or corporate structure that could impair or otherwise render any UCC financing statement filed in connection with this Agreement or any other Transaction Document “seriously misleading” as such term (or similar term) is used in the applicable UCC; each notice to the Administrative Agent and the Group Agents pursuant to this sentence shall set forth the applicable change and the proposed effective date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u w:val="single"/>
        </w:rPr>
        <w:t>Certain Agreements</w:t>
      </w:r>
      <w:r>
        <w:rPr>
          <w:rFonts w:ascii="Times New Roman;serif" w:hAnsi="Times New Roman;serif"/>
          <w:b w:val="false"/>
          <w:color w:val="000000"/>
          <w:sz w:val="24"/>
        </w:rPr>
        <w:t>. Without the prior written consent of the Administrative Agent and the Majority Group Agents, the Borrower will not (and will not permit any Originator or the Servicer to) amend, modify, waive, revoke or terminate any Transaction Document to which it is a party or any provision of the Borrower’s organizational documents which requires the consent of the “Independent Director” (as such term is used in the Borrower’s Certificate of Formation and Limited Liability Company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(i)Except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below, the Borrower will not: (A) purchase or </w:t>
      </w:r>
      <w:r>
        <w:rPr>
          <w:rFonts w:ascii="Times New Roman;serif" w:hAnsi="Times New Roman;serif"/>
          <w:b w:val="false"/>
          <w:color w:val="000000"/>
          <w:sz w:val="24"/>
          <w:u w:val="single"/>
        </w:rPr>
        <w:t>redeem</w:t>
      </w:r>
      <w:r>
        <w:rPr>
          <w:color w:val="000000"/>
        </w:rPr>
        <w:t xml:space="preserve"> </w:t>
      </w:r>
      <w:r>
        <w:rPr>
          <w:rFonts w:ascii="Times New Roman;serif" w:hAnsi="Times New Roman;serif"/>
          <w:b w:val="false"/>
          <w:color w:val="000000"/>
          <w:sz w:val="24"/>
        </w:rPr>
        <w:t xml:space="preserve">any of its membership interests, (B) declare or pay any dividend or set aside any funds for any such purpose, (C) prepay, purchase or redeem any Debt, (D) lend or advance any funds or (E) repay any loans or advances to, for or from any of its Affiliates (the amounts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being referred to as “</w:t>
      </w:r>
      <w:r>
        <w:rPr>
          <w:rFonts w:ascii="Times New Roman;serif" w:hAnsi="Times New Roman;serif"/>
          <w:b w:val="false"/>
          <w:color w:val="000000"/>
          <w:sz w:val="24"/>
          <w:u w:val="single"/>
        </w:rPr>
        <w:t>Restricted Payments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(ii)Subject to the limitations set forth in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below, the Borrower may make Restricted Payments so long as such Restricted Payments are made only in one or more of the following ways: (A) the Borrower may make cash payments (including prepayments) on the Subordinated Notes in accordance with their respective terms and (B) the Borrower may declare and pay dividends if, in both cases, both immediately before and immediately after giving effect thereto, the Borrower’s Net Worth is not less than the Required Capital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(iii)The Borrower may make Restricted Payments only out of the funds, if any, it receives pursuant to </w:t>
      </w:r>
      <w:r>
        <w:rPr>
          <w:rFonts w:ascii="Times New Roman;serif" w:hAnsi="Times New Roman;serif"/>
          <w:b w:val="false"/>
          <w:color w:val="000000"/>
          <w:sz w:val="24"/>
          <w:u w:val="single"/>
        </w:rPr>
        <w:t>Sections 3.01</w:t>
      </w:r>
      <w:r>
        <w:rPr>
          <w:color w:val="000000"/>
        </w:rPr>
        <w:t xml:space="preserve"> </w:t>
      </w: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not pay, make or declare any Restricted Payment (including any dividend) if, after giving effect thereto, any Event of Default or Unmatured Event of Default shall have occurred and be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u w:val="single"/>
        </w:rPr>
        <w:t>Other Business</w:t>
      </w:r>
      <w:r>
        <w:rPr>
          <w:rFonts w:ascii="Times New Roman;serif" w:hAnsi="Times New Roman;serif"/>
          <w:b w:val="false"/>
          <w:color w:val="000000"/>
          <w:sz w:val="24"/>
        </w:rPr>
        <w:t xml:space="preserve">. The Borrower will not: (i) engage in any business other than the transactions contemplated by the Transaction Documents, (ii) create, incur or permit to exist any Debt of any kind (or cause or permit to be issued for its account any letters of credit) 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bankers’ acceptances, in the aggregate in excess of fifteen thousand dollars ($15,000), other than pursuant to this Agreement or the Subordinated Notes or (iii) form any Subsidiary or make any investments in any 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u w:val="single"/>
        </w:rPr>
        <w:t>Use of Collections Available to the Borrower</w:t>
      </w:r>
      <w:r>
        <w:rPr>
          <w:rFonts w:ascii="Times New Roman;serif" w:hAnsi="Times New Roman;serif"/>
          <w:b w:val="false"/>
          <w:color w:val="000000"/>
          <w:sz w:val="24"/>
        </w:rPr>
        <w:t>. The Borrower shall apply the Collections available to the Borrower to make payments in the following order of priority: (i) the payment of its obligations under this Agreement and each of the other Transaction Documents (other than the Subordinated Notes), (ii) the payment of accrued and unpaid interest on the Subordinated Notes and (iii) other legal and valid purposes.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u w:val="single"/>
        </w:rPr>
        <w:t>Borrower’s Net Worth</w:t>
      </w:r>
      <w:r>
        <w:rPr>
          <w:rFonts w:ascii="Times New Roman;serif" w:hAnsi="Times New Roman;serif"/>
          <w:b w:val="false"/>
          <w:color w:val="000000"/>
          <w:sz w:val="24"/>
        </w:rPr>
        <w:t>. The Borrower shall not permit the Borrower’s Net Worth to be less than the Required Capital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Covenants of the Servicer</w:t>
      </w:r>
      <w:r>
        <w:rPr>
          <w:rFonts w:ascii="Times New Roman;serif" w:hAnsi="Times New Roman;serif"/>
          <w:b w:val="false"/>
          <w:color w:val="000000"/>
          <w:sz w:val="24"/>
        </w:rPr>
        <w:t>. At all times from the Closing Date until the Final Payout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Existence</w:t>
      </w:r>
      <w:r>
        <w:rPr>
          <w:rFonts w:ascii="Times New Roman;serif" w:hAnsi="Times New Roman;serif"/>
          <w:b w:val="false"/>
          <w:color w:val="000000"/>
          <w:sz w:val="24"/>
        </w:rPr>
        <w:t>. The Servicer shall keep in full force and effect its existence and rights as a limited liability company under the laws of the State of Delaware, and shall obtain and preserve its qualification to do business in each jurisdiction in which such qualification is or shall be necessary for the conduct of its business or the servicing of the Pool Receivables as required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The Servicer will maintain a system of accounting established and administered in accordance with GAAP, and the Servicer shall furnish to the Administrative Agent and each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Compliance Certificates</w:t>
      </w:r>
      <w:r>
        <w:rPr>
          <w:rFonts w:ascii="Times New Roman;serif" w:hAnsi="Times New Roman;serif"/>
          <w:b w:val="false"/>
          <w:color w:val="000000"/>
          <w:sz w:val="24"/>
        </w:rPr>
        <w:t xml:space="preserve">. (A) A compliance certificate promptly upon completion of the annual report of the Parent and in no event later than ninety (90) calendar days after the close of each fiscal year of the Parent, in form and substance substantially similar to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 xml:space="preserve">signed by a Financial Officer of the Servicer stating that no Event of Default or Unmatured Event of Default has occurred and is continuing, or if any Event of Default or Unmatured Event of Default has occurred and is continuing, stating the nature and status thereof and setting forth the current Consolidated Total Leverage Ratio and (B) within thirty (30) calendar days after the close of each fiscal quarter of the Servicer, a compliance certificate in form and substance substantially similar to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signed by a Financial Officer of the Servicer stating that no Event of Default or Unmatured Event of Default has occurred and is continuing, or if any Event of Default or Unmatured Event of Default has occurred and is continuing, stating the nature and status thereof and setting forth the current Consolidated Total Leverage Ratio.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Information Packages and Interim Reports</w:t>
      </w:r>
      <w:r>
        <w:rPr>
          <w:rFonts w:ascii="Times New Roman;serif" w:hAnsi="Times New Roman;serif"/>
          <w:b w:val="false"/>
          <w:color w:val="000000"/>
          <w:sz w:val="24"/>
        </w:rPr>
        <w:t xml:space="preserve">. As soon as available and in any event not later than two (2) Business Days prior to each Settlement Date, an Information Package as of the most recently completed Fiscal Month;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upon the occurrence of a Specific Reporting Event and ten (10) Business Days’ prior written notice from the Administrative Agent, the Servicer shall furnish or cause to be furnished to the Administrative Agent and each Group Agent a weekly (or on a more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frequent basis as indicated in the written notice from the Administrative Agent) Interim Report with respect to the Pool Receivables with data as of the close of business on the Business Day preceding the date on which such Interim Report is delivered;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at any time after the occurrence and during the continuance of an Event of Default, the Administrative Agent may specify in such notice that such Interim Report be furnished to the Administrative Agent and each Group Agent on a more frequent basis until the Administrative Agent gives notices otherwise.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xml:space="preserve">. Such other information (including non-financial information) as the Administrative Agent or any Group Agent may from time to time reasonably request relating to any of the Servicer, the Borrower, any Originator, any Obligor or the Pool Receivables.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(iv)Notwithstanding anything herein to the contrary, any financial information, proxy statements or other material required to be delivered pursuant to this Section 7.02(b) shall be deemed to have been furnished to each of the Administrative Agent and each Group Agent on the date that such report, proxy statement or other material is posted on the SEC’s website at www.sec.gov.</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Notices</w:t>
      </w:r>
      <w:r>
        <w:rPr>
          <w:rFonts w:ascii="Times New Roman;serif" w:hAnsi="Times New Roman;serif"/>
          <w:b w:val="false"/>
          <w:color w:val="000000"/>
          <w:sz w:val="24"/>
        </w:rPr>
        <w:t>. The Servicer will notify the Administrative Agent and each Group Agent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Events of Default or Unmatured Events of Default</w:t>
      </w:r>
      <w:r>
        <w:rPr>
          <w:rFonts w:ascii="Times New Roman;serif" w:hAnsi="Times New Roman;serif"/>
          <w:b w:val="false"/>
          <w:color w:val="000000"/>
          <w:sz w:val="24"/>
        </w:rPr>
        <w:t>. A statement of a Financial Officer of the Servicer setting forth details of any Event of Default or Unmatured Event of Default that has occurred and is continuing and the action which the Servicer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to be made by the Servicer under this Agreement or any other Transaction Document to be true and correct in any material respect when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which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Name Changes</w:t>
      </w:r>
      <w:r>
        <w:rPr>
          <w:rFonts w:ascii="Times New Roman;serif" w:hAnsi="Times New Roman;serif"/>
          <w:b w:val="false"/>
          <w:color w:val="000000"/>
          <w:sz w:val="24"/>
        </w:rPr>
        <w:t>. At least ten (10) Business Days before any change in any Originator’s or the Borrower’s name, jurisdiction of organization or any other change requiring the amendment of UCC financing statements, a notice setting forth such changes and the effective date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(i) the external accountants of any Integra Party, (ii) any accounting policy of the Borrower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Notice of Purchase and Sale Termination Event or Unmatured Purchase and Sale Termination Event. The occurrence of a Purchase and Sale Termination Event or an Unmatured Purchase and Sale Termination Event under the Purchase and Sale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Promptly after the occurrence thereof, notice of any</w:t>
      </w:r>
      <w:r>
        <w:rPr>
          <w:color w:val="000000"/>
        </w:rPr>
        <w:t xml:space="preserve"> </w:t>
      </w:r>
      <w:r>
        <w:rPr>
          <w:rFonts w:ascii="Times New Roman;serif" w:hAnsi="Times New Roman;serif"/>
          <w:b w:val="false"/>
          <w:color w:val="000000"/>
          <w:sz w:val="24"/>
        </w:rPr>
        <w:t xml:space="preserve">material adverse change in the business, operations, property or financial or other condition of any Integra Party </w:t>
      </w:r>
      <w:r>
        <w:rPr>
          <w:rFonts w:ascii="Times New Roman;serif" w:hAnsi="Times New Roman;serif"/>
          <w:b w:val="false"/>
          <w:color w:val="000000"/>
          <w:sz w:val="24"/>
          <w:u w:val="single"/>
        </w:rPr>
        <w:t xml:space="preserve">(including, without limitation, a change to the Credit and Collection </w:t>
      </w:r>
      <w:r>
        <w:rPr>
          <w:rFonts w:ascii="Times New Roman;serif" w:hAnsi="Times New Roman;serif"/>
          <w:b w:val="false"/>
          <w:color w:val="000000"/>
          <w:sz w:val="24"/>
        </w:rPr>
        <w:t>Procedures</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The Servicer will do all things necessary to remain duly organized, validly existing and in good standing as a domestic limited liability company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Servicer will comply with all Applicable Laws to which it may be subject if the failure to comply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The Servicer will furnish or cause to be furnished to the Administrative Agent and each Group Agent from time to time such information with respect to the Pool Receivables and the other Collateral as the Administrative Agent or any Group Agent may reasonably request. The Servicer will, (i) at the Servicer’s expense, during regular business hours with prior written notice, permit the Administrative Agent and each Group Agent or their respective agents or representatives to (A) examine and make copies of and abstracts from all books and records relating to the Pool Receivables or other Collateral, (B) visit the offices and properties of the Servicer for the purpose of examining such books and records and (C) discuss matters relating to the Pool Receivables, the other Collateral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the Servicer’s expense, upon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Servicer shall be required to reimburse the Administrative Agent for only one (1) such review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in any twelve-month period unless an Event of Default has occurred and is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The Servicer will at all times, instruct all Obligors to deliver payments on the Pool Receivables to a Collection Account or a Lock-Box. The Servicer will, at all times, maintain such books and records as are necessary to identify Collections received from time to time on Pool 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the Group Agents and the other Secured Parties and promptly (but in any event within two (2) Business Days after receipt) remit such funds into a Collection Account. The Servicer shall not permit funds other than Collections on Pool Receivables and other Collateral to be deposited into any Collection Account. If such funds are nevertheless deposited into any Collection Account, the Servicer shall, within two (2) Business Days, (x) identify and transfer such funds to the appropriate Person entitled to such funds and (y) instruct such Person to no longer deposit any such funds into any such Collection Account. The Servicer will not, and will not permit the Borrower, any Originator or any other Person to commingle Collections or other funds to which the Administrative Agent, any Group Agent or any other Secured Party is entitled, with any other funds. The Servicer shall only add a Collection Account (or a related Lock-Box) or a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with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Extension or Amendment of Pool Receivables</w:t>
      </w:r>
      <w:r>
        <w:rPr>
          <w:rFonts w:ascii="Times New Roman;serif" w:hAnsi="Times New Roman;serif"/>
          <w:b w:val="false"/>
          <w:color w:val="000000"/>
          <w:sz w:val="24"/>
        </w:rPr>
        <w:t xml:space="preserve">. Except as otherwise permitted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the Servicer will not alter the delinquency status or adjust the Outstanding Balance or otherwise modify the terms of any Pool Receivable in any respect that could have a Material Adverse Effect,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Procedures with regard to each Pool Receivable and the related Contract.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Change in Credit and Collection Procedures</w:t>
      </w:r>
      <w:r>
        <w:rPr>
          <w:rFonts w:ascii="Times New Roman;serif" w:hAnsi="Times New Roman;serif"/>
          <w:b w:val="false"/>
          <w:color w:val="000000"/>
          <w:sz w:val="24"/>
        </w:rPr>
        <w:t xml:space="preserve">. The Servicer will comply in all respects with the Credit and Collection Procedures with regard to each Pool Receivable and the related Contracts, except where such noncompliance could reasonably expected to have a Material Adverse Effect. The Servicer will not make any material change in the Credit and Collection Procedures without the prior written consent of the Administrative Agent and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Majority Group Agents. Promptly following any change in the Credit and Collection Procedures, the Servicer will deliver a copy of the updated Credit and Collection Procedures to the Administrative Agent and each Lender.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Identifying of Records</w:t>
      </w:r>
      <w:r>
        <w:rPr>
          <w:rFonts w:ascii="Times New Roman;serif" w:hAnsi="Times New Roman;serif"/>
          <w:b w:val="false"/>
          <w:color w:val="000000"/>
          <w:sz w:val="24"/>
        </w:rPr>
        <w:t>. The Servicer shall identify its master data processing records relating to Pool Receivables and related Contracts with a legend that indicates that the Pool Receivables have been pledged in accordance with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The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Security Interest, Etc.</w:t>
      </w:r>
      <w:r>
        <w:rPr>
          <w:color w:val="000000"/>
        </w:rPr>
        <w:t xml:space="preserve"> </w:t>
      </w:r>
      <w:r>
        <w:rPr>
          <w:rFonts w:ascii="Times New Roman;serif" w:hAnsi="Times New Roman;serif"/>
          <w:b w:val="false"/>
          <w:color w:val="000000"/>
          <w:sz w:val="24"/>
        </w:rPr>
        <w:t xml:space="preserve">The Servicer shall, at its expense, take all action necessary or reasonably desirable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Servicer to file such financing statements under the UCC without the signature of the Borrower, any Originator or the Administrative Agent where allowed by Applicable Law. Notwithstanding anything else in the Transaction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Further Assurances; Change in Name or Jurisdiction of Origination, etc.</w:t>
      </w:r>
      <w:r>
        <w:rPr>
          <w:color w:val="000000"/>
        </w:rPr>
        <w:t xml:space="preserve"> </w:t>
      </w:r>
      <w:r>
        <w:rPr>
          <w:rFonts w:ascii="Times New Roman;serif" w:hAnsi="Times New Roman;serif"/>
          <w:b w:val="false"/>
          <w:color w:val="000000"/>
          <w:sz w:val="24"/>
        </w:rPr>
        <w:t>The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Transaction Information</w:t>
      </w:r>
      <w:r>
        <w:rPr>
          <w:rFonts w:ascii="Times New Roman;serif" w:hAnsi="Times New Roman;serif"/>
          <w:b w:val="false"/>
          <w:color w:val="000000"/>
          <w:sz w:val="24"/>
        </w:rPr>
        <w:t>. None of the Servicer, any Affiliate of the Servicer or any third party with which the Servicer or any Affiliate thereof has contracted,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Sanctions/Anti-Corruption/Anti-Money Laundering/International Trade Law Compliance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Servicer shall: (a) in the event that any Collateral becomes Covered Property, promptly notify the Administrative Agent and provide to the Administrative Agent additional Collateral that is not Covered Property of at least equal value to the Collateral that became Covered Property, except to the extent prohibited by Applicable Law;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each Covered Entity, each Covered Entity’s directors and officers, and any employee, agent or Affiliate acting on behalf of each Covered Entity in connection with this Agreement; and (c) not, and not permit any of the Servicer’s agents or Affiliates acting on behalf of the Servicer in connection with this Agreement to, (I) become a Sanctioned Person or (II) repay in whole or in part any Loan hereunder with proceeds derived from investments in or transactions with any Sanctioned Jurisdiction or Sanctioned Person, or otherwise, in violation of Sanctions.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Servicer shall promptly notify the Administrative Agent in the event the Servicer learns that the Servicer or any of the Servicer’s directors or officers, or any employee, or to the knowledge of the Servicer, any of the Servicer’s agents or Affiliates acting on behalf of the Servicer in connection with this Agreement: (A) becomes a Sanctioned Person; (B) directly or indirectly (through a third party or otherwise) provides, uses, or makes available the proceeds of any Loan hereunder (1) to fund or facilitate any activities or business of, with, or for the benefit of any Sanctioned Person, (2) to fund or facilitate any activities or business of or in any Sanctioned Jurisdiction, or (3)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violates Sanctions; or (D) does business in or with, or derive any of its income, directly or indirectly, from any Sanctioned Jurisdiction or Sanctioned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Borrower’s Tax Status</w:t>
      </w:r>
      <w:r>
        <w:rPr>
          <w:rFonts w:ascii="Times New Roman;serif" w:hAnsi="Times New Roman;serif"/>
          <w:b w:val="false"/>
          <w:color w:val="000000"/>
          <w:sz w:val="24"/>
        </w:rPr>
        <w:t>. The Servicer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Separate Existence of the Borrower</w:t>
      </w:r>
      <w:r>
        <w:rPr>
          <w:rFonts w:ascii="Times New Roman;serif" w:hAnsi="Times New Roman;serif"/>
          <w:b w:val="false"/>
          <w:color w:val="000000"/>
          <w:sz w:val="24"/>
        </w:rPr>
        <w:t>. Each of the Borrower and the Servicer hereby acknowledges that the Secured Parties, the Group Agents and the Administrative Agent are entering into the transactions contemplated by this Agreement and the other Transaction Documents in reliance upon the Borrower’s identity as a legal entity separate from any Originator, the Servicer, the Performance Guarantor and their Affiliates. Therefore, each of the Borrower and Servicer shall take all steps specifically required by this Agreement or reasonably required by the Administrative Agent or any Group Agent to continue the Borrower’s identity as a separate legal entity and to make it apparent to third Persons that the Borrower is an entity with assets and liabilities distinct from those of the Performance Guarantor, the Originators, the Servicer and any other Person, and is not a division of the Performance Guarantor, the Originators, the Servicer, its Affiliates or any other Person. Without limiting the generality of the foregoing and in addition to and consistent with the other covenants set forth herein, each of the Borrower and the Servicer shall take such actions as shall be required in order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The Borrower will be a special purpose company whose primary activities are restricted in its Certificate of Formation or Limited Liability Company Agreement to: (i) purchasing or otherwise acquiring from the Originators, owning, holding, collecting, granting security interests or selling interests in, the Collateral, (ii) entering into agreements for the selling, servicing and financing of the Receivables Pool (including the Transaction Documents) and (iii) conducting such other activities as it deems necessary or appropriate to carry out its primary activities.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Other Business or Debt</w:t>
      </w:r>
      <w:r>
        <w:rPr>
          <w:rFonts w:ascii="Times New Roman;serif" w:hAnsi="Times New Roman;serif"/>
          <w:b w:val="false"/>
          <w:color w:val="000000"/>
          <w:sz w:val="24"/>
        </w:rPr>
        <w:t>. The Borrower shall not engage in any business or activity except as set forth in this Agreement nor, incur any indebtedness or liability other than as expressly permitted by the Transaction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Independent Director</w:t>
      </w:r>
      <w:r>
        <w:rPr>
          <w:rFonts w:ascii="Times New Roman;serif" w:hAnsi="Times New Roman;serif"/>
          <w:b w:val="false"/>
          <w:color w:val="000000"/>
          <w:sz w:val="24"/>
        </w:rPr>
        <w:t>. Not fewer than one member of the Borrower’s board of directors (the “</w:t>
      </w:r>
      <w:r>
        <w:rPr>
          <w:rFonts w:ascii="Times New Roman;serif" w:hAnsi="Times New Roman;serif"/>
          <w:b w:val="false"/>
          <w:color w:val="000000"/>
          <w:sz w:val="24"/>
          <w:u w:val="single"/>
        </w:rPr>
        <w:t>Independent Director</w:t>
      </w:r>
      <w:r>
        <w:rPr>
          <w:color w:val="000000"/>
        </w:rPr>
        <w:t>”</w:t>
      </w:r>
      <w:r>
        <w:rPr>
          <w:rFonts w:ascii="Times New Roman;serif" w:hAnsi="Times New Roman;serif"/>
          <w:b w:val="false"/>
          <w:color w:val="000000"/>
          <w:sz w:val="24"/>
        </w:rPr>
        <w:t xml:space="preserve">) shall be a natural person who (i) has never been, and shall at no time be, an equityholder, director, officer, manager, member, partner, officer, employee or associate, or any relative of the foregoing, of any member of the Parent Group (as hereinafter defined)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serif" w:hAnsi="Times New Roman;serif"/>
          <w:b w:val="false"/>
          <w:color w:val="000000"/>
          <w:sz w:val="24"/>
          <w:u w:val="single"/>
        </w:rPr>
        <w:t>clause (c)</w:t>
      </w:r>
      <w:r>
        <w:rPr>
          <w:rFonts w:ascii="Times New Roman;serif" w:hAnsi="Times New Roman;serif"/>
          <w:b w:val="false"/>
          <w:color w:val="000000"/>
          <w:sz w:val="24"/>
        </w:rPr>
        <w:t>, “</w:t>
      </w:r>
      <w:r>
        <w:rPr>
          <w:rFonts w:ascii="Times New Roman;serif" w:hAnsi="Times New Roman;serif"/>
          <w:b w:val="false"/>
          <w:color w:val="000000"/>
          <w:sz w:val="24"/>
          <w:u w:val="single"/>
        </w:rPr>
        <w:t>Parent Group</w:t>
      </w:r>
      <w:r>
        <w:rPr>
          <w:color w:val="000000"/>
        </w:rPr>
        <w:t xml:space="preserve">” </w:t>
      </w:r>
      <w:r>
        <w:rPr>
          <w:rFonts w:ascii="Times New Roman;serif" w:hAnsi="Times New Roman;serif"/>
          <w:b w:val="false"/>
          <w:color w:val="000000"/>
          <w:sz w:val="24"/>
        </w:rPr>
        <w:t xml:space="preserve">shall mean (i) the Parent, the Servicer, the Performance Guarantor and each Originator,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of this sentence, or any relative of such spouse.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Borrower shall (A) give written notice to the Administrative Agent of the election or appointment, or proposed election or appointment, of a new Independent Director of the Borrower, which notice shall be given not later than five (5)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Independent Director set forth in this </w:t>
      </w:r>
      <w:r>
        <w:rPr>
          <w:rFonts w:ascii="Times New Roman;serif" w:hAnsi="Times New Roman;serif"/>
          <w:b w:val="false"/>
          <w:color w:val="000000"/>
          <w:sz w:val="24"/>
          <w:u w:val="single"/>
        </w:rPr>
        <w:t>clause (c)</w:t>
      </w:r>
      <w:r>
        <w:rPr>
          <w:rFonts w:ascii="Times New Roman;serif" w:hAnsi="Times New Roman;serif"/>
          <w:b w:val="false"/>
          <w:color w:val="000000"/>
          <w:sz w:val="24"/>
        </w:rPr>
        <w:t>, in which case the Borrower shall provide written notice of such election or appointment within one (1) Business Day) and (B) with any such written notice, certify to the Administrative Agent that the Independent Director satis</w:t>
      </w:r>
      <w:r>
        <w:rPr>
          <w:rFonts w:ascii="Times New Roman;serif" w:hAnsi="Times New Roman;serif"/>
          <w:b w:val="false"/>
          <w:color w:val="000000"/>
          <w:sz w:val="16"/>
        </w:rPr>
        <w:t>f</w:t>
      </w:r>
      <w:r>
        <w:rPr>
          <w:rFonts w:ascii="Times New Roman;serif" w:hAnsi="Times New Roman;serif"/>
          <w:b w:val="false"/>
          <w:color w:val="000000"/>
          <w:sz w:val="24"/>
        </w:rPr>
        <w:t xml:space="preserve">ies the criteria for an Independent Director set forth in this </w:t>
      </w:r>
      <w:r>
        <w:rPr>
          <w:rFonts w:ascii="Times New Roman;serif" w:hAnsi="Times New Roman;serif"/>
          <w:b w:val="false"/>
          <w:color w:val="000000"/>
          <w:sz w:val="24"/>
          <w:u w:val="single"/>
        </w:rPr>
        <w:t>clause (c)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Borrower’s Limited Liability Company Agreement shall provide that: (A) the Borrower’s board of directors shall not approve, or take any other action to cause the filing of, a voluntary bankruptcy petition with respect to the Borrower unless the Independent Director shall approve the taking of such action in writing before the taking of such action and (B) such provision and each other provision requiring an Independent Director cannot be amended without the prior written consent of the Independent Director.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Independent Director shall not at any time serve as a trustee in bankruptcy for any Integra Party or any of their Affiliates.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xml:space="preserve">. The Borrower shall maintain its organizational documents in conformity with this Agreement, such that it does not amend, restate, supplement or otherwise modify its ability to comply with the terms and provisions of any of the Transaction Documents, including, without limitation, </w:t>
      </w:r>
      <w:r>
        <w:rPr>
          <w:rFonts w:ascii="Times New Roman;serif" w:hAnsi="Times New Roman;serif"/>
          <w:b w:val="false"/>
          <w:color w:val="000000"/>
          <w:sz w:val="24"/>
          <w:u w:val="single"/>
        </w:rPr>
        <w:t>Section 7.01(o)</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The Borrower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Compensation</w:t>
      </w:r>
      <w:r>
        <w:rPr>
          <w:rFonts w:ascii="Times New Roman;serif" w:hAnsi="Times New Roman;serif"/>
          <w:b w:val="false"/>
          <w:color w:val="000000"/>
          <w:sz w:val="24"/>
        </w:rPr>
        <w:t>. Any employee, consultant or agent of the Borrower will be compensated from the Borrower’s funds for services provided to the Borrower, and to the extent that Borrower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Borrower will not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Servicing and Costs</w:t>
      </w:r>
      <w:r>
        <w:rPr>
          <w:rFonts w:ascii="Times New Roman;serif" w:hAnsi="Times New Roman;serif"/>
          <w:b w:val="false"/>
          <w:color w:val="000000"/>
          <w:sz w:val="24"/>
        </w:rPr>
        <w:t xml:space="preserve">. The Borrower will contract with the Servicer to perform for the Borrower all operations required on a daily basis to service the Receivables Pool. The Borrower will not incur any indirect or overhead expenses for items shared with the Servicer (or any other Affiliate thereof) that are not reflected in the Servicing Fee. To the extent, if any, that the Borrower (or any Affiliate thereof) shares items of expenses not reflected in the Servicing Fee, such as legal, auditing and other professional services, such expenses will be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allocated to the extent practical on the basis of actual use or the value of services rendered, and otherwise on a basis reasonably related to the actual use or the value of services rendered.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Operating Expenses</w:t>
      </w:r>
      <w:r>
        <w:rPr>
          <w:rFonts w:ascii="Times New Roman;serif" w:hAnsi="Times New Roman;serif"/>
          <w:b w:val="false"/>
          <w:color w:val="000000"/>
          <w:sz w:val="24"/>
        </w:rPr>
        <w:t>. The Borrower’s operating expenses will not be paid by any Integra Party or any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Stationery</w:t>
      </w:r>
      <w:r>
        <w:rPr>
          <w:rFonts w:ascii="Times New Roman;serif" w:hAnsi="Times New Roman;serif"/>
          <w:b w:val="false"/>
          <w:color w:val="000000"/>
          <w:sz w:val="24"/>
        </w:rPr>
        <w:t>. The Borrower will have its own separate stationery.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Borrower’s books and records will be maintained separately from those of the Parent, each other Integra Party and any of their Affiliates and in a manner such that it will not be difficult or costly to segregate, ascertain or otherwise identify the assets and liabilities of the Borrower.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Disclosure of Transactions</w:t>
      </w:r>
      <w:r>
        <w:rPr>
          <w:rFonts w:ascii="Times New Roman;serif" w:hAnsi="Times New Roman;serif"/>
          <w:b w:val="false"/>
          <w:color w:val="000000"/>
          <w:sz w:val="24"/>
        </w:rPr>
        <w:t>. All financial statements of the Parent, each other Integra Party or any Affiliate thereof that are consolidated to include the Borrower will disclose that (i) the Borrower’s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Borrower is a separate legal entity with its own separate creditors who will be entitled, upon its liquidation, to be satisfied out of the Borrower’s assets prior to any assets or value in the Borrower becoming available to the Borrower’s equity holders and (iii) the assets of the Borrower are not available to pay creditors of the Parent, each other Integra Party or any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Segregation of Assets</w:t>
      </w:r>
      <w:r>
        <w:rPr>
          <w:rFonts w:ascii="Times New Roman;serif" w:hAnsi="Times New Roman;serif"/>
          <w:b w:val="false"/>
          <w:color w:val="000000"/>
          <w:sz w:val="24"/>
        </w:rPr>
        <w:t>. The Borrower’s assets will be maintained in a manner that facilitates their identification and segregation from those of the Parent, each other Integra Party or any Affiliates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Corporate Formalities</w:t>
      </w:r>
      <w:r>
        <w:rPr>
          <w:rFonts w:ascii="Times New Roman;serif" w:hAnsi="Times New Roman;serif"/>
          <w:b w:val="false"/>
          <w:color w:val="000000"/>
          <w:sz w:val="24"/>
        </w:rPr>
        <w:t>. The Borrower will strictly observe limited liability company formalities in its dealings with the Parent, each other Integra Party or any Affiliates thereof, and funds or other assets of the Borrower will not be commingled with those of the Parent, each other Integra Party or any Affiliates thereof except as permitted by this Agreement in connection with servicing the Pool Receivables. The Borrower shall not maintain joint bank accounts or other depository accounts to which the Parent, each other Integra Party or any Affiliate thereof (other than the Servicer solely in its capacity as such) has independent access. The Borrower is not named, and has not entered into any agreement to be named, directly or indirectly, as a direct or contingent beneficiary or loss payee on any insurance policy with respect to any loss relating to the property of the Parent, each other Integra Party or any Subsidiaries or other Affiliates thereof. The Borrower will pay to the appropriate Affiliate the marginal increase or, in the absence of such increase, the market amount of its portion of the premium payable with respect to any insurance policy that covers the Borrower and such Affiliate.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Arm’s-Length Relationships</w:t>
      </w:r>
      <w:r>
        <w:rPr>
          <w:rFonts w:ascii="Times New Roman;serif" w:hAnsi="Times New Roman;serif"/>
          <w:b w:val="false"/>
          <w:color w:val="000000"/>
          <w:sz w:val="24"/>
        </w:rPr>
        <w:t xml:space="preserve">. The Borrower will maintain arm’s-length relationships with the Parent, each other Integra Party and any Affiliates thereof. Any Person that renders or otherwise furnishes services to the Borrower will be compensated by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at market rates for such services it renders or otherwise furnishes to the Borrower. Neither the Borrower on the one hand, nor the Parent, each other Integra Party or any Affiliate thereof, on the other hand, will be or will hold itself out to be responsible for the debts of the other or the decisions or actions respecting the daily business and affairs of the other. The Parent, each Integra Party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Allocation of Overhead</w:t>
      </w:r>
      <w:r>
        <w:rPr>
          <w:rFonts w:ascii="Times New Roman;serif" w:hAnsi="Times New Roman;serif"/>
          <w:b w:val="false"/>
          <w:color w:val="000000"/>
          <w:sz w:val="24"/>
        </w:rPr>
        <w:t>. To the extent that Borrower, on the one hand, and the Parent, each other Integra Party or any Affiliate thereof, on the other hand, have offices in the same location, there shall be a fair and appropriate allocation of overhead costs between them, and the Borrower shall bear its fair share of such expenses, which may be paid through the Servicing Fee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7.04.</w:t>
      </w:r>
      <w:r>
        <w:rPr>
          <w:rFonts w:ascii="Times New Roman;serif" w:hAnsi="Times New Roman;serif"/>
          <w:b w:val="false"/>
          <w:color w:val="000000"/>
          <w:sz w:val="24"/>
          <w:u w:val="single"/>
        </w:rPr>
        <w:t>Financial Covenant</w:t>
      </w:r>
      <w:r>
        <w:rPr>
          <w:rFonts w:ascii="Times New Roman;serif" w:hAnsi="Times New Roman;serif"/>
          <w:b w:val="false"/>
          <w:color w:val="000000"/>
          <w:sz w:val="24"/>
        </w:rPr>
        <w:t xml:space="preserve">. The Borrower shall not, directly or indirectly, nor shall it permit any Integra Party or the Parent to, directly or indirectly, permit the Consolidated Total Leverage Ratio of the Parent and its consolidated Subsidiaries as of the last day of any consecutive four fiscal quarter period ending on the dates identified below to be greater than the ratio set forth below opposite such date (and so long as PNC and The Bank of Nova Scotia is each a lender under the Credit Agreement, or such other ratio for such related period as specified in the Credit Agreement from time to time):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8"/>
        <w:gridCol w:w="1920"/>
        <w:gridCol w:w="1924"/>
        <w:gridCol w:w="1217"/>
        <w:gridCol w:w="1217"/>
        <w:gridCol w:w="1729"/>
      </w:tblGrid>
      <w:tr>
        <w:trPr/>
        <w:tc>
          <w:tcPr>
            <w:tcW w:w="2198"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6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Four Fiscal Quarters Ending</w:t>
            </w:r>
          </w:p>
        </w:tc>
        <w:tc>
          <w:tcPr>
            <w:tcW w:w="416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Maximum Consolidated Total Leverage Ratio</w:t>
            </w:r>
          </w:p>
        </w:tc>
      </w:tr>
      <w:tr>
        <w:trPr/>
        <w:tc>
          <w:tcPr>
            <w:tcW w:w="60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First fiscal quarter ending after March 24,2023 through December 31, 2024</w:t>
            </w:r>
          </w:p>
        </w:tc>
        <w:tc>
          <w:tcPr>
            <w:tcW w:w="416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4.50 to 1.00</w:t>
            </w:r>
          </w:p>
        </w:tc>
      </w:tr>
      <w:tr>
        <w:trPr/>
        <w:tc>
          <w:tcPr>
            <w:tcW w:w="6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March 31, 2025 through June 30, 2026</w:t>
            </w:r>
          </w:p>
        </w:tc>
        <w:tc>
          <w:tcPr>
            <w:tcW w:w="416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5.00 to 1.00</w:t>
            </w:r>
          </w:p>
        </w:tc>
      </w:tr>
      <w:tr>
        <w:trPr/>
        <w:tc>
          <w:tcPr>
            <w:tcW w:w="6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September 30, 2026</w:t>
            </w:r>
          </w:p>
        </w:tc>
        <w:tc>
          <w:tcPr>
            <w:tcW w:w="416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 to 1.00</w:t>
            </w:r>
          </w:p>
        </w:tc>
      </w:tr>
      <w:tr>
        <w:trPr/>
        <w:tc>
          <w:tcPr>
            <w:tcW w:w="60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December 31, 2026</w:t>
            </w:r>
          </w:p>
        </w:tc>
        <w:tc>
          <w:tcPr>
            <w:tcW w:w="416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4.50 to 1.00</w:t>
            </w:r>
          </w:p>
        </w:tc>
      </w:tr>
      <w:tr>
        <w:trPr/>
        <w:tc>
          <w:tcPr>
            <w:tcW w:w="604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March 31, 2027 and the last day of each fiscal quarter thereafter</w:t>
            </w:r>
          </w:p>
        </w:tc>
        <w:tc>
          <w:tcPr>
            <w:tcW w:w="4163"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4.00 to 1.00</w:t>
            </w:r>
          </w:p>
        </w:tc>
      </w:tr>
    </w:tbl>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at the election of the Parent, up to two times during the term of this Agreement, the maximum Consolidated Total Leverage Ratio set forth in this grid above may be increased to accommodate a Permitted Acquisition (as defined in the Credit Agreement), as determined by the Parent and as designated in the Compliance Certificate (as defined in the Credit Agreement, a copy of which shall be promptly provided to the Administrative Agent hereunder) or earlier notice given by the Parent in connection with such Permitted Acquisition (as defined in the Credit Agreement) (including for determining any ratios, baskets, representations and warranties or test any Event of Default (as defined in the Credit Agreement,) or Default (as defined in the Credit Agreement) blocker pursuant to Section 1.08 of the Credit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such increase will not otherwise go into effect until the closing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such Permitted Acquisition (as defined in the Credit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such increase will not go into effect during the Covenant Relief Period (as defined in the Credit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 such increase shall only apply for a period of twelve months from and after such Permitted Acquisition and immediately upon the expiration of such twelve month period, the required maximum Consolidated Total Leverage Ratio shall revert to the level set forth above for the measurement period in which such step down occurs; (b) in no event shall the maximum Consolidated Total Leverage Ratio after giving effect to any such step-up exceed 5.00 to 1.00; and (c) the maximum amount that any Consolidated Total Leverage Ratio covenant level may step-up during any Consolidated Total Leverage Ratio measurement period is 1.00.</w:t>
      </w: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rPr>
        <w:br/>
        <w:br/>
        <w:t>ADMINISTRATION AND COLLECTION</w:t>
        <w:br/>
        <w:t>OF RECEIVABLES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Appointment of the Servicer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servicing, administering and collection of the Pool Receivables shall be conducted by the Person so designated from time to time as the Servicer in accordance with this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Until the Administrative Agent gives notice to the Servicer (in accordance with this </w:t>
      </w:r>
      <w:r>
        <w:rPr>
          <w:rFonts w:ascii="Times New Roman;serif" w:hAnsi="Times New Roman;serif"/>
          <w:b w:val="false"/>
          <w:color w:val="000000"/>
          <w:sz w:val="24"/>
          <w:u w:val="single"/>
        </w:rPr>
        <w:t>Section 8.01</w:t>
      </w:r>
      <w:r>
        <w:rPr>
          <w:rFonts w:ascii="Times New Roman;serif" w:hAnsi="Times New Roman;serif"/>
          <w:b w:val="false"/>
          <w:color w:val="000000"/>
          <w:sz w:val="24"/>
        </w:rPr>
        <w:t>) of the designation of a new Servicer following an Event of Default, Integra Sales is hereby designated as, and hereby agrees to perform the duties and obligations of, the Servicer pursuant to the terms hereof. Upon the occurrence of an Event of Default, the Administrative Agent may (with the consent of the Majority Group Agents) and shall (at the direction of the Majority Group Agents) designate as Servicer any Person (including itself) to succeed Integra Sales or any successor Servicer, on the condition in each case that any such Person so designated shall agree to perform the duties and obligations of the Servicer pursuant to the terms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the designation of a successor Servicer as set forth in </w:t>
      </w:r>
      <w:r>
        <w:rPr>
          <w:rFonts w:ascii="Times New Roman;serif" w:hAnsi="Times New Roman;serif"/>
          <w:b w:val="false"/>
          <w:color w:val="000000"/>
          <w:sz w:val="24"/>
          <w:u w:val="single"/>
        </w:rPr>
        <w:t>clause (a) above</w:t>
      </w:r>
      <w:r>
        <w:rPr>
          <w:rFonts w:ascii="Times New Roman;serif" w:hAnsi="Times New Roman;serif"/>
          <w:b w:val="false"/>
          <w:color w:val="000000"/>
          <w:sz w:val="24"/>
        </w:rPr>
        <w:t>, Integra Sales agrees that it will terminate its activities as Servicer hereunder in a manner that the Administrative Agent reasonably determines will facilitate the transition of the performance of such activities to the new Servicer, and Integra Sales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Integra Sales acknowledges that, in making its decision to execute and deliver this Agreement, the Administrative Agent and each member in each Group have relied on Integra Sales’s agreement to act as Servicer hereunder. Accordingly, Integra Sales agrees that it will not voluntarily resign as Servicer without the prior written consent of the Administrative Agent and the Majority Group Agents, except if such activity is no longer permitted by Applicable Law, as confirmed by an opinion of counsel reasonably satisfactory to the Administrative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Servicer may delegate its duties and obligations hereunder to any subservicer (each a “</w:t>
      </w:r>
      <w:r>
        <w:rPr>
          <w:rFonts w:ascii="Times New Roman;serif" w:hAnsi="Times New Roman;serif"/>
          <w:b w:val="false"/>
          <w:color w:val="000000"/>
          <w:sz w:val="24"/>
          <w:u w:val="single"/>
        </w:rPr>
        <w:t>Sub-Servicer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each such delegation: (i) such Sub-Servicer shall agree in writing to perform the delegated duties and obligations of the Servicer pursuant to the terms hereof, (ii) the Servicer shall remain liable for the performance of the duties and obligations so delegated, (iii) the Borrower, the Administrative Agent, each Lender and each Group Agent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Majority Group Agents shall have consented in writing in advance to such delegation.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so long as an Integra Party or an Affiliate of an Integra Party is the Servicer, the Servicer may assign its duties hereunder to any Affiliate without the consent of the Administrative Agent or any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Duties of the Servicer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Procedures and consistent with the past practices of the Originators. The Servicer shall set aside, for the accounts of each Group, the amount of Collections to which each such Group is entitled in accordance with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hereof. The Servicer may, in accordance with the Credit and Collection Procedures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Procedures or as expressly required under Applicable Laws or the applicable Contract;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 may take such action only upon the prior written consent of the Administrative Agent. The Borrower shall deliver to the Servicer and the Servicer shall hold for the benefit of the Administrative Agent (individually and for the benefit of each Group), in accordance with their respective interests, all records and documents (including computer tapes or disks) with respect to each Pool Receivable. Notwithstanding anything to the contrary contained herein, if an Event of Default has occurred and is continuing, the Administrative Agent may direct the Servicer to commence or settle any legal action to enforce collection of any Pool Receivable that is a Defaulted Receivable or to foreclose upon or repossess any Related Security with respect to any such Defaulted Receivable.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Servicer shall, as soon as practicable following actual receipt of collected funds, turn over to the Borrower the collections of any indebtedness that is not a Pool Receivable, less, if Integra Sales or an Affiliate thereof is not the Servicer, all reasonable and appropriate out-of-pocket costs and expenses of such Servicer of servicing, collecting and administering such collections. The Servicer, if other than Integra Sales or an Affiliate thereof, shall, as soon as practicable upon demand, deliver to the Borrower all records in its possession that evidence or relate to any indebtedness that is not a Pool Receivable, and copies of records in its possession that evidence or relate to any indebtedness that is a Pool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Servicer’s obligations hereunder shall terminate on the Final Payout Date. Promptly following the Final Payout Date, the Servicer shall deliver to the Borrower all books, records and related materials that the Borrower previously provided to the Servicer, or that have been obtained by the Servicer,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Collection Account Arrangements</w:t>
      </w:r>
      <w:r>
        <w:rPr>
          <w:rFonts w:ascii="Times New Roman;serif" w:hAnsi="Times New Roman;serif"/>
          <w:b w:val="false"/>
          <w:color w:val="000000"/>
          <w:sz w:val="24"/>
        </w:rPr>
        <w:t xml:space="preserve">. On or prior to the date set forth in </w:t>
      </w:r>
      <w:r>
        <w:rPr>
          <w:rFonts w:ascii="Times New Roman;serif" w:hAnsi="Times New Roman;serif"/>
          <w:b w:val="false"/>
          <w:color w:val="000000"/>
          <w:sz w:val="24"/>
          <w:u w:val="single"/>
        </w:rPr>
        <w:t>Section 7.01(z)(ii)</w:t>
      </w:r>
      <w:r>
        <w:rPr>
          <w:rFonts w:ascii="Times New Roman;serif" w:hAnsi="Times New Roman;serif"/>
          <w:b w:val="false"/>
          <w:color w:val="000000"/>
          <w:sz w:val="24"/>
        </w:rPr>
        <w:t>, the Borrower shall have entered into Account Control Agreements with all of the Collection Account Banks and delivered executed counterparts of each to the Administrative Agent. Upon the occurrence and during the continuance of an Event of Default, the Administrative Agent may (with the consent of the Majority Group Agents) and shall (upon the direction of the Majority Group Agents) at any time thereafter give notice to each Collection Account Bank that the Administrative Agent is exercising its rights under the Account Control Agreements to do any or all of the following: (a) to have the exclusive ownership and control of the Collection Accounts transferred to the Administrative Agent (for the benefit of the Secured Parties) and to exercise exclusive dominion and control over the funds deposited therein,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The Borrower hereby agrees that if the Administrative Agent at any time takes any action set forth in the preceding sentence, the Administrative Agent shall have exclusive control (for the benefit of the Secured Parties) of the proceeds (including Collections) of all Pool Receivables and the Borrower hereby further agrees to take any other action that the Administrative Agent may reasonably request to transfer such control. Any proceeds of Pool Receivables received by the Borrower or the Servicer thereafter shall be sent immediately to, or as otherwise instructed by,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Enforcement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following the occurrence and during the continuation of an Event of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Administrative Agent (at the Borrower’s expense) may direct the Obligors that payment of all amounts payable under any Pool Receivable is to be made directly to the Administrative Agent or its designee;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(ii)the Administrative Agent may instruct the Borrower or the Servicer to give notice of the Secured Parties’ interest in Pool Receivables to each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Obligor, which notice shall direct that payments be made directly to the Administrative Agent or its designee (on behalf of the Secured Parties), and the Borrower or the Servicer, as the case may be, shall give such notice at the expense of the Borrower or the Servicer, as the case may be;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the Borrower or the Servicer, as the case may be, fails to so notify each Obligor within two (2) Business Days following instruction by the Administrative Agent, the Administrative Agent (at the Borrower’s or the Servicer’s, as the case may be, expense) may so notify the Obligors;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Administrative Agent may notify the Collection Account Banks that the Borrower and the Servicer will no longer have any access to the Collection Accounts;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Administrative Agent may (or, at the direction of the Majority Group Agents shall) replace the Person then acting as Servicer;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(vi)the Administrative Agent may collect any amounts due from an Originator under the Purchase and Sale Agreement or the Performance Guarantor under the Performance Guaranty.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hereby authorizes the Administrative Agent (on behalf of the Secured Parties), and irrevocably appoints the Administrative Agent as its attorney-in-fact with full power of substitution and with full authority in the place and stead of the Borrower, which appointment is coupled with an interest, to take any and all steps in the name of the Borrower and on behalf of the Borrower necessary or desirable, in the reasonable determination of the Administrative Agent, after the occurrence and during the continuation of an Event of Default, to collect any and all amounts or portions thereof due under any and all Collateral, including endorsing the name of the Borrower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Default, to collect any and all amounts or portions thereof due under any and all Collateral, including endorsing the name of the Servicer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Responsibilities of the Borrower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Anything herein to the contrary notwithstanding, the Borrower shall: (i) perform all of its obligations, if any, under the Contracts related to the Pool Receivables to the same extent as if interests in such Pool Receivables had not been transferred hereunder, and the exercise by the Administrative Agent, or any other Credit Party of their respective rights hereunder shall not relieve the Borrower from such obligations and (ii) pay when due any taxes, including any sales taxes payable in connection with the Pool Receivables and their creation and satisfaction. None of the Credit Parties shall have any obligation or liability with respect to any Collateral, nor shall any of them be obligated to perform any of the obligations of the Borrower, the Servicer or any Originator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Integra Sales hereby irrevocably agrees that if at any time it shall cease to be the Servicer hereunder, it shall act (if the then-current Servicer so requests) as the data-processing agent of the Servicer and, in such capacity, Integra Sales shall conduct the data-processing functions (including but not limited to compiling and inputting data regarding the Receivables and Collections thereon and producing reports based on such data) of the administration of the Receivables and the Collections thereon in substantially the same way that Integra Sales conducted such data-processing functions while it acted as the Servicer. In connection with any such processing functions, the Borrower shall pay to Integra Sales its reasonable out-of-pocket costs and expenses from the Borrower’s own funds (subject to the priority of payments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Servicing Fee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below, the Borrower shall pay the Servicer a fee (the “</w:t>
      </w:r>
      <w:r>
        <w:rPr>
          <w:rFonts w:ascii="Times New Roman;serif" w:hAnsi="Times New Roman;serif"/>
          <w:b w:val="false"/>
          <w:color w:val="000000"/>
          <w:sz w:val="24"/>
          <w:u w:val="single"/>
        </w:rPr>
        <w:t>Servicing Fee</w:t>
      </w:r>
      <w:r>
        <w:rPr>
          <w:color w:val="000000"/>
        </w:rPr>
        <w:t>”</w:t>
      </w:r>
      <w:r>
        <w:rPr>
          <w:rFonts w:ascii="Times New Roman;serif" w:hAnsi="Times New Roman;serif"/>
          <w:b w:val="false"/>
          <w:color w:val="000000"/>
          <w:sz w:val="24"/>
        </w:rPr>
        <w:t xml:space="preserve">) equal to 1.00%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Servicing Fee Rate</w:t>
      </w:r>
      <w:r>
        <w:rPr>
          <w:color w:val="000000"/>
        </w:rPr>
        <w:t>”</w:t>
      </w:r>
      <w:r>
        <w:rPr>
          <w:rFonts w:ascii="Times New Roman;serif" w:hAnsi="Times New Roman;serif"/>
          <w:b w:val="false"/>
          <w:color w:val="000000"/>
          <w:sz w:val="24"/>
        </w:rPr>
        <w:t xml:space="preserve">) of the daily average aggregate Outstanding Balance of the Pool Receivables. Accrued Servicing Fees shall be payable from Collections to the extent of available funds in accordance with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Servicer ceases to be Integra Sales or an Affiliate thereof, the Servicing Fee shall be the greater of: (i) the amount calculated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and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an alternative amount specified by the successor Servicer not to exceed 110% of the aggregate reasonable costs and expenses incurred by such successor Servicer in connection with the performance of its obligations as Servicer hereunder.</w:t>
      </w: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rPr>
        <w:br/>
        <w:b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If any of the following events (each an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shall occur:</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any Integra Party shall fail to perform or observe any term, covenant or agreement under this Agreement or any other Transaction Document (other than any such failure which would constitute an Event of Default under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9.01(a)</w:t>
      </w:r>
      <w:r>
        <w:rPr>
          <w:rFonts w:ascii="Times New Roman;serif" w:hAnsi="Times New Roman;serif"/>
          <w:b w:val="false"/>
          <w:color w:val="000000"/>
          <w:sz w:val="24"/>
        </w:rPr>
        <w:t xml:space="preserve">), and such failure, solely to the extent capable of cure, shall continue unremedied for thirty (30) calendar days solely to the extent (A) such failure is capable of being cured (as determined by the Administrative Agent) and (B) an Integra Party provides written notice to the Administrative Agent detailing the action which it is taking in order to cure such failure, (ii) any Integra Party shall fail to make when due any payment or deposit to be made by it under this Agreement or any other Transaction Document and such failure shall continue unremedied for two (2) Business Days (unless such failure is related to an Event of Default set forth in </w:t>
      </w:r>
      <w:r>
        <w:rPr>
          <w:rFonts w:ascii="Times New Roman;serif" w:hAnsi="Times New Roman;serif"/>
          <w:b w:val="false"/>
          <w:color w:val="000000"/>
          <w:sz w:val="24"/>
          <w:u w:val="single"/>
        </w:rPr>
        <w:t>Section 9.01(h)</w:t>
      </w:r>
      <w:r>
        <w:rPr>
          <w:rFonts w:ascii="Times New Roman;serif" w:hAnsi="Times New Roman;serif"/>
          <w:b w:val="false"/>
          <w:color w:val="000000"/>
          <w:sz w:val="24"/>
        </w:rPr>
        <w:t xml:space="preserve">), (iii) Integra Sales shall resign as Servicer, and no successor Servicer reasonably satisfactory to the Administrative Agent shall have been appointed or (iv) immediately upon the breach of any covenant set forth in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representation or warranty made or deemed made by an Integra Party (or any of their respective officers) under or in connection with this Agreement or any other Transaction Document or any information or report delivered by an Integra Party pursuant to this Agreement or any other Transaction Document, shall prove to have been incorrect or untrue in any material respect (with any incorrect or untrue representation or warranty as to Sanctions being deemed automatically material) when made or deemed made or delivered, and, solely to the extent such breach is capable of being cured (as determined by the Administrative Agent), such breach shall continue unremedied for fifteen (15) calendar days following the earlier of (A) any Integra Party’s actual knowledge of such breach and (B) the Administrative Agent’s written notice to any Integra Party of such breach;</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Borrower or the Servicer shall fail to deliver an Information Package or Interim Report pursuant to this Agreement, and such failure shall remain unremedied for two (2) Business Days with respect to an Information Package or two (2) Business Days with respect to an Interim Report;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Agreement or any security interest granted pursuant to this Agreement or any other Transaction Document shall for any reason cease to create, or for any reason cease to be, a valid and enforceable first priority perfected security interest in favor of the Administrative Agent with respect to the Collateral, free and clear of any Adverse Claim;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Integra Party shall generally not pay its debts as such debts become due, or shall admit in writing its inability to pay its debts generally, or shall make a general assignment for the benefit of creditors; or any Insolvency Proceeding shall be instituted by or against any Integra Party and, in the case of any such proceeding instituted against such Person (but not instituted by such Person), either such proceeding shall remain undismissed or unstayed for a period of sixty (60) consecutive calendar days, or any of the actions sought in such proceeding (including the entry of an order for relief against, or the appointment of a receiver, trustee, custodian or other similar official for, it or for any substantial part of its property) shall occur; or any Integra Party shall take any corporate or organizational action to authorize any of the actions set forth above in this </w:t>
      </w:r>
      <w:r>
        <w:rPr>
          <w:rFonts w:ascii="Times New Roman;serif" w:hAnsi="Times New Roman;serif"/>
          <w:b w:val="false"/>
          <w:color w:val="000000"/>
          <w:sz w:val="24"/>
          <w:u w:val="single"/>
        </w:rPr>
        <w:t>Section 9.01(e)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 the average for three (3) consecutive Fiscal Months of: (A) the Default Ratio shall exceed five percent (5.00%), (B) the Delinquency Ratio shall exceed (x) during the Relief Period, twenty percent (20.00%), and (y) at all other times, seventeen and one-half percent (17.50%) or (C) the Dilution Ratio shall exceed six percent (6.00%) or (ii) the Days’ Sales Outstanding shall exceed sixty five (65) calendar days;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solely for purposes of this clause (f), Temporarily Ineligible Receivables shall be excluded from each component of the calculations used to determine compliance with the tests relating to the Default Ratio, the Delinquency Ratio, the Dilution Ratio and Days’ Sales Outstanding set forth in this clause (f);</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 Change in Control shall occur;</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 Borrowing Base Deficit shall occur, and shall not have been cured within two (2) Business Days;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 the Borrower shall fail to pay any principal of or premium or interest on any of its Debt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(ii) any other Integra Party or any of their respective Subsidiaries, individually or in the aggregate, shall fail to pay any principal of or premium or interest on any of its Debt that is outstanding in a principal amount of at least fifty million dollars (</w:t>
      </w:r>
      <w:r>
        <w:rPr>
          <w:rFonts w:ascii="Times New Roman;serif" w:hAnsi="Times New Roman;serif"/>
          <w:b/>
          <w:color w:val="000000"/>
          <w:sz w:val="24"/>
        </w:rPr>
        <w:t xml:space="preserve">$50,000,000) </w:t>
      </w:r>
      <w:r>
        <w:rPr>
          <w:rFonts w:ascii="Times New Roman;serif" w:hAnsi="Times New Roman;serif"/>
          <w:b w:val="false"/>
          <w:color w:val="000000"/>
          <w:sz w:val="24"/>
        </w:rPr>
        <w:t xml:space="preserve">in the aggregate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(iii) any other event shall occur or condition shall exist under any agreement, mortgage, indenture or instrument relating to any such Debt (as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9.01(i)</w:t>
      </w:r>
      <w:r>
        <w:rPr>
          <w:rFonts w:ascii="Times New Roman;serif" w:hAnsi="Times New Roman;serif"/>
          <w:b w:val="false"/>
          <w:color w:val="000000"/>
          <w:sz w:val="24"/>
        </w:rPr>
        <w:t xml:space="preserve">) and shall continue after the applicable grace period (not to exceed thirty (30) calendar days), if any, specified in such agreement, mortgage, indenture or instrument (whether or not such failure shall have been waived under the related agreement), if the effect of such event or condition is to give the applicable debtholders the right (whether acted upon or not) to accelerate or permit the acceleration of the maturity of such Debt (as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 xml:space="preserve">Section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9.01(i)</w:t>
      </w:r>
      <w:r>
        <w:rPr>
          <w:rFonts w:ascii="Times New Roman;serif" w:hAnsi="Times New Roman;serif"/>
          <w:b w:val="false"/>
          <w:color w:val="000000"/>
          <w:sz w:val="24"/>
        </w:rPr>
        <w:t xml:space="preserve">) or to terminate the commitment of any lender thereunder, or (iv) any such Debt (as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9.01(i)</w:t>
      </w:r>
      <w:r>
        <w:rPr>
          <w:rFonts w:ascii="Times New Roman;serif" w:hAnsi="Times New Roman;serif"/>
          <w:b w:val="false"/>
          <w:color w:val="000000"/>
          <w:sz w:val="24"/>
        </w:rPr>
        <w:t xml:space="preserve">) shall be declared to be due and payable, or required to be prepaid (other than by a regularly scheduled required prepayment), redeemed, purchased or defeased, or an offer to repay, redeem, purchase or defease such Debt shall be required to be made or the commitment of any lender thereunder terminated, in each case before the stated maturity thereof; </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the Performance Guarantor shall fail to perform any of its obligations under the Performance Guaranty;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the Borrower shall fail (x) at any time (other than for ten (10) Business Days following notice of the death or resignation of any Independent Director) to have an Independent Director who satisfies each requirement and qualification specified in </w:t>
      </w:r>
      <w:r>
        <w:rPr>
          <w:rFonts w:ascii="Times New Roman;serif" w:hAnsi="Times New Roman;serif"/>
          <w:b w:val="false"/>
          <w:color w:val="000000"/>
          <w:sz w:val="24"/>
          <w:u w:val="single"/>
        </w:rPr>
        <w:t>Section 7.03(c)</w:t>
      </w:r>
      <w:r>
        <w:rPr>
          <w:color w:val="000000"/>
        </w:rPr>
        <w:t xml:space="preserve"> </w:t>
      </w:r>
      <w:r>
        <w:rPr>
          <w:rFonts w:ascii="Times New Roman;serif" w:hAnsi="Times New Roman;serif"/>
          <w:b w:val="false"/>
          <w:color w:val="000000"/>
          <w:sz w:val="24"/>
        </w:rPr>
        <w:t xml:space="preserve">of this Agreement for Independent Directors, on the Borrower’s board of directors or (y) to timely notify the Administrative Agent of any replacement or appointment of any director that is to serve as an Independent Director on the Borrower’s board of directors as required pursuant to </w:t>
      </w:r>
      <w:r>
        <w:rPr>
          <w:rFonts w:ascii="Times New Roman;serif" w:hAnsi="Times New Roman;serif"/>
          <w:b w:val="false"/>
          <w:color w:val="000000"/>
          <w:sz w:val="24"/>
          <w:u w:val="single"/>
        </w:rPr>
        <w:t>Section 7.03(c)</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there shall have occurred any event which materially adversely impairs, the collectibility of the Pool Receivables generally or any material portion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either (i) the Internal Revenue Service shall file notice of a lien pursuant to Section 6323 of the Code with regard to any assets of the Borrower, any Originator or the Parent or (ii) the PBGC shall, or shall indicate its intention to, file notice of a lien pursuant to Section 4068 of ERISA with regard to any of the assets of the Borrower, the Servicer, any Originator or the Parent, and in either case with respect to any Originator or Parent, such lien shall not have been released within thirty (30) calendar days;</w:t>
      </w:r>
    </w:p>
    <w:p>
      <w:pPr>
        <w:pStyle w:val="TextBody"/>
        <w:bidi w:val="0"/>
        <w:spacing w:lineRule="auto" w:line="288"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(i) the occurrence of a Reportable Event with respect to a Pension Plan; (ii) the adoption of an amendment to a Pension Plan that would require the provision of security pursuant to Section 401(a)(29) of the Code; (iii) the existence with respect to any Multiemployer Plan of an “accumulated funding deficiency” (as defined in Section 431 of the Code or Section 304 of ERISA), whether or not waived; (iv) the failure to satisfy the minimum funding standard under Section 412 of the Code with respect to any Pension Plan (v) the incurrence of any liability under Title IV of ERISA with respect to the termination of any Pension Plan or the withdrawal or partial withdrawal of any of the Borrower, any Originator, the Servicer, the Parent or any of their respective ERISA Affiliates from any Multiemployer Plan; (vi) the receipt by any of the Borrower, any Originator, the Servicer, the Parent or any of their respective ERISA Affiliates from the PBGC or any plan administrator of any notice relating to the intention to terminate any Pension Plan or Multiemployer Plan or to appoint a trustee to administer any Pension Plan or Multiemployer Plan; (vii) with respect to the Borrower, any Originator, the Servicer, the Parent or any of their respective ERISA Affiliates, the imposition of Withdrawal Liability or a determination that a Multiemployer Plan is insolvent or in reorganization, within the meaning of Title IV of ERISA; or (viii) the occurrence of a prohibited transaction with respect to any of the Borrower, any Originator, the Servicer, the Parent or any of their respective ERISA Affiliates (pursuant to Section 4975 of the Code); provided that, the occurrence or existence of any event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condition described in each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through (</w:t>
      </w:r>
      <w:r>
        <w:rPr>
          <w:rFonts w:ascii="Times New Roman;serif" w:hAnsi="Times New Roman;serif"/>
          <w:b w:val="false"/>
          <w:color w:val="000000"/>
          <w:sz w:val="24"/>
          <w:u w:val="single"/>
        </w:rPr>
        <w:t>viii</w:t>
      </w:r>
      <w:r>
        <w:rPr>
          <w:rFonts w:ascii="Times New Roman;serif" w:hAnsi="Times New Roman;serif"/>
          <w:b w:val="false"/>
          <w:color w:val="000000"/>
          <w:sz w:val="24"/>
        </w:rPr>
        <w:t>) will only constitute an Event of Default if either individually or in the aggregate, it could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a Purchase and Sale Termination Event shall occur under the Purchase and Sale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the Borrower shall be required to register as an “investment company” within the meaning of the Investment Company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any material provision of this Agreement or any other Transaction Document shall cease to be in full force and effect or any Integra Party (or any of their respective Affiliates) shall so state in writing;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one or more judgments or decrees shall be entered against any Integra Party or any Affiliate of any of the foregoing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thirty (30) consecutive calendar days, and the aggregate amount of all such judgments equals or exceeds fifty million dollars ($50,000,000) (or solely with respect to the Borrower, fifteen thousand dollars ($15,000));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then, and in any such event, the Administrative Agent may (or, at the direction of the Majority Group Agents shall) by notice to the Borrower (x) declare the Termination Date to have occurred (in which case the Termination Date shall be deemed to have occurred), (y) declare the Final Maturity Date to have occurred (in which case the Final Maturity Date shall be deemed to have occurred) and (z) declare the Aggregate Capital and all other Borrower Obligations to be immediately due and payable (in which case the Aggregate Capital and all other Borrower Obligations shall be immediately due and payable);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automatically upon the occurrence of any event (without any requirement for the giving of notice) described in </w:t>
      </w:r>
      <w:r>
        <w:rPr>
          <w:rFonts w:ascii="Times New Roman;serif" w:hAnsi="Times New Roman;serif"/>
          <w:b w:val="false"/>
          <w:color w:val="000000"/>
          <w:sz w:val="24"/>
          <w:u w:val="single"/>
        </w:rPr>
        <w:t>subsection (e)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the Termination Date shall occur and the Aggregate Capital and all other Borrower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 Any proceeds from liquidation of the Collateral shall be applied in the order of priority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X</w:t>
      </w:r>
      <w:r>
        <w:rPr>
          <w:rFonts w:ascii="Times New Roman;serif" w:hAnsi="Times New Roman;serif"/>
          <w:b/>
          <w:color w:val="000000"/>
          <w:sz w:val="24"/>
        </w:rPr>
        <w:br/>
        <w:br/>
        <w:t>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 xml:space="preserve">. Each Credit Party hereby appoints and authorizes the Administrative Agent to take such action as agent on its behalf and to exercise such powers under this Agreement as are delegated to the Administrative Agent by the terms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the Borrower or any Affiliate thereof or any Credit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Administrative Agent’s Reliance, Etc</w:t>
      </w:r>
      <w:r>
        <w:rPr>
          <w:rFonts w:ascii="Times New Roman;serif" w:hAnsi="Times New Roman;serif"/>
          <w:b w:val="false"/>
          <w:color w:val="000000"/>
          <w:sz w:val="24"/>
        </w:rPr>
        <w:t xml:space="preserve">.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serif" w:hAnsi="Times New Roman;serif"/>
          <w:b w:val="false"/>
          <w:color w:val="000000"/>
          <w:sz w:val="24"/>
          <w:u w:val="single"/>
        </w:rPr>
        <w:t>Section 8.01</w:t>
      </w:r>
      <w:r>
        <w:rPr>
          <w:rFonts w:ascii="Times New Roman;serif" w:hAnsi="Times New Roman;serif"/>
          <w:b w:val="false"/>
          <w:color w:val="000000"/>
          <w:sz w:val="24"/>
        </w:rPr>
        <w:t>), in the absence of its or their own gross negligence or willful misconduct. Without limiting the generality of the foregoing, the Administrative Agent: (a) may consult with legal counsel (including counsel for any Credit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Credit Party or to inspect the property (including the books and records) of any Credit Party; (d) shall not be responsible to any Credit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10.03.</w:t>
      </w:r>
      <w:r>
        <w:rPr>
          <w:rFonts w:ascii="Times New Roman;serif" w:hAnsi="Times New Roman;serif"/>
          <w:b w:val="false"/>
          <w:color w:val="000000"/>
          <w:sz w:val="24"/>
          <w:u w:val="single"/>
        </w:rPr>
        <w:t>Administrative Agent and Affiliates</w:t>
      </w:r>
      <w:r>
        <w:rPr>
          <w:rFonts w:ascii="Times New Roman;serif" w:hAnsi="Times New Roman;serif"/>
          <w:b w:val="false"/>
          <w:color w:val="000000"/>
          <w:sz w:val="24"/>
        </w:rPr>
        <w:t>. With respect to any Credit Extension or interests therein owned by any Credit Party that is also the Administrative Agent, such Credit Party shall have the same rights and powers under this Agreement as any other Credit Party and may exercise the same as though it were not the Administrative Agent. The Administrative Agent and any of its Affiliates may generally engage in any kind of business with the Borrower or any Affiliate thereof and any Person who may do business with or own securities of the Borrower or any Affiliate thereof, all as if the Administrative Agent were not the Administrative Agent hereunder and without any duty to account therefor to any other Secured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10.04.</w:t>
      </w:r>
      <w:r>
        <w:rPr>
          <w:rFonts w:ascii="Times New Roman;serif" w:hAnsi="Times New Roman;serif"/>
          <w:b w:val="false"/>
          <w:color w:val="000000"/>
          <w:sz w:val="24"/>
          <w:u w:val="single"/>
        </w:rPr>
        <w:t>Indemnification of Administrative Agent</w:t>
      </w:r>
      <w:r>
        <w:rPr>
          <w:rFonts w:ascii="Times New Roman;serif" w:hAnsi="Times New Roman;serif"/>
          <w:b w:val="false"/>
          <w:color w:val="000000"/>
          <w:sz w:val="24"/>
        </w:rPr>
        <w:t xml:space="preserve">. Each Committed Lender agrees to indemnify the Administrative Agent (to the extent not reimbursed by the Borrower 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any Affiliate thereof), ratably according to the respective Percentage of such Committed Lender,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Committed Lender shall be liable for any portion of such liabilities, obligations, losses, damages, penalties, actions, judgments, suits, costs, expenses or disbursements resulting from the Administrative Agent’s gross negligence or willful misconduct.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10.05.</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10.06.</w:t>
      </w:r>
      <w:r>
        <w:rPr>
          <w:rFonts w:ascii="Times New Roman;serif" w:hAnsi="Times New Roman;serif"/>
          <w:b w:val="false"/>
          <w:color w:val="000000"/>
          <w:sz w:val="24"/>
          <w:u w:val="single"/>
        </w:rPr>
        <w:t>Action or Inaction by Administrative Agent</w:t>
      </w:r>
      <w:r>
        <w:rPr>
          <w:rFonts w:ascii="Times New Roman;serif" w:hAnsi="Times New Roman;serif"/>
          <w:b w:val="false"/>
          <w:color w:val="000000"/>
          <w:sz w:val="24"/>
        </w:rPr>
        <w:t>. 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Lenders, as it deems appropriate. The Administrative Agent shall in all cases be fully protected in acting, or in refraining from acting, under this Agreement or any other Transaction Document in accordance with a request or at the direction of the Group Agents or the Majority Group Agents, as the case may be, and such request or direction and any action taken or failure to act pursuant thereto shall be binding upon all Credit Parties. The Credit Parties and the Administrative Agent agree that unless any action to be taken by the Administrative Agent under a Transaction Document (i) specifically requires the advice or concurrence of all Group Agents or (ii) may be taken by the Administrative Agent alone or without any advice or concurrence of any Group Agent, then the Administrative Agent may take action based upon the advice or concurrence of the Majority Group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10.07.</w:t>
      </w:r>
      <w:r>
        <w:rPr>
          <w:rFonts w:ascii="Times New Roman;serif" w:hAnsi="Times New Roman;serif"/>
          <w:b w:val="false"/>
          <w:color w:val="000000"/>
          <w:sz w:val="24"/>
          <w:u w:val="single"/>
        </w:rPr>
        <w:t>Notice of Events of Default; Action by Administrative Agent</w:t>
      </w:r>
      <w:r>
        <w:rPr>
          <w:rFonts w:ascii="Times New Roman;serif" w:hAnsi="Times New Roman;serif"/>
          <w:b w:val="false"/>
          <w:color w:val="000000"/>
          <w:sz w:val="24"/>
        </w:rPr>
        <w:t>. The Administrative Agent shall not be deemed to have knowledge or notice of the occurrence of any Unmatured Event of Default or Event of Default unless the Administrative Agent has received notice from any Credit Party or the Borrower stating that an Unmatured Event of Default or Event of Default has occurred hereunder and describing such Unmatured Event of Default or Event of Default. If the Administrative Agent receives such a notice, it shall promptly give notice thereof to each Group Agent, whereupon each Group Agent shall promptly give notice thereof to its respective Conduit Lender(s) and Related Committed Lender(s). The Administrative Agent may (but shall not be obligated to) take such action, or refrain from taking such action, concerning an Unmatured Event of Default or Event of Default or any other matter hereunder as the Administrative Agent deems advisable and in the best interests of the Secured Parties.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10.08.</w:t>
      </w:r>
      <w:r>
        <w:rPr>
          <w:rFonts w:ascii="Times New Roman;serif" w:hAnsi="Times New Roman;serif"/>
          <w:b w:val="false"/>
          <w:color w:val="000000"/>
          <w:sz w:val="24"/>
          <w:u w:val="single"/>
        </w:rPr>
        <w:t>Non-Reliance on Administrative Agent and Other Parties</w:t>
      </w:r>
      <w:r>
        <w:rPr>
          <w:rFonts w:ascii="Times New Roman;serif" w:hAnsi="Times New Roman;serif"/>
          <w:b w:val="false"/>
          <w:color w:val="000000"/>
          <w:sz w:val="24"/>
        </w:rPr>
        <w:t>. Each Credit Party expressly acknowledges that neither the Administrative Agent nor any of its directors, officers, agents or employees has made any representations or warranties to it and that no act by the Administrative Agent hereafter taken, including any review of the affairs of the Borrower or any Affiliate thereof, shall be deemed to constitute any representation or warranty by the Administrative Agent. Each Credit Party represents and warrants to the Administrative Agent that, independently and without reliance upon the Administrative Agent or any other Credit Party and based on such documents and information as it has deemed appropriate, it has made and will continue to make its own appraisal of, and investigation into, the business, operations, property, prospects, financial and other conditions and creditworthiness of each Integra Party and the Pool Receivables and its own decision to enter into this Agreement and to take, or omit, action under any Transaction Document. Except for items expressly required to be delivered under any Transaction Document by the Administrative Agent to any Credit Party, the Administrative Agent shall not have any duty or responsibility to provide any Credit Party with any information concerning any Integra Party that comes into the possession of the Administrative Agent or any of its directors, officers, agents, employees, attorneys-in-fact or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10.09.</w:t>
      </w:r>
      <w:r>
        <w:rPr>
          <w:rFonts w:ascii="Times New Roman;serif" w:hAnsi="Times New Roman;serif"/>
          <w:b w:val="false"/>
          <w:color w:val="000000"/>
          <w:sz w:val="24"/>
          <w:u w:val="single"/>
        </w:rPr>
        <w:t>Successor Administrative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may, upon at least thirty (30) calendar days’ notice to the Borrower, the Servicer and each Group Agent, resign as Administrative Agent. Except as provided below, such resignation shall not become effective until a successor Administrative Agent is appointed by the Majority Group Agents as a successor Administrative Agent and has accepted such appointment. If no successor Administrative Agent shall have been so appointed by the Majority Group Agents, within thirty (30) calendar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Majority Group Agents within sixty (60) calendar days after the departing Administrative Agent’s giving of notice of resignation, the departing Administrative Agent may, on behalf of the Secured Parties, petition a court of competent jurisdiction to appoint a successor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shall inure to its benefit as to any actions taken or omitted to be taken by it while it was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10.10.</w:t>
      </w:r>
      <w:r>
        <w:rPr>
          <w:rFonts w:ascii="Times New Roman;serif" w:hAnsi="Times New Roman;serif"/>
          <w:b w:val="false"/>
          <w:color w:val="000000"/>
          <w:sz w:val="24"/>
          <w:u w:val="single"/>
        </w:rPr>
        <w:t>Structuring Agent</w:t>
      </w:r>
      <w:r>
        <w:rPr>
          <w:rFonts w:ascii="Times New Roman;serif" w:hAnsi="Times New Roman;serif"/>
          <w:b w:val="false"/>
          <w:color w:val="000000"/>
          <w:sz w:val="24"/>
        </w:rPr>
        <w:t xml:space="preserve">. Each of the parties hereto hereby acknowledges and agrees that the Structuring Agent shall not have any right, power, obligation, liability, responsibility or duty under this Agreement, other than the Structuring Agent’s right to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receive fees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and expenses (if any) pursuant to </w:t>
      </w:r>
      <w:r>
        <w:rPr>
          <w:rFonts w:ascii="Times New Roman;serif" w:hAnsi="Times New Roman;serif"/>
          <w:b w:val="false"/>
          <w:color w:val="000000"/>
          <w:sz w:val="24"/>
          <w:u w:val="single"/>
        </w:rPr>
        <w:t>Section 13.04</w:t>
      </w:r>
      <w:r>
        <w:rPr>
          <w:rFonts w:ascii="Times New Roman;serif" w:hAnsi="Times New Roman;serif"/>
          <w:b w:val="false"/>
          <w:color w:val="000000"/>
          <w:sz w:val="24"/>
        </w:rPr>
        <w:t>. Each Credit Party acknowledges that it has not relied, and will not rely, on the Structuring Agent in deciding to enter into this Agreement and to take, or omit to take, any action under any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10.11.</w:t>
      </w:r>
      <w:r>
        <w:rPr>
          <w:rFonts w:ascii="Times New Roman;serif" w:hAnsi="Times New Roman;serif"/>
          <w:b w:val="false"/>
          <w:color w:val="000000"/>
          <w:sz w:val="24"/>
          <w:u w:val="single"/>
        </w:rPr>
        <w:t>Erroneous Payment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 and (ii)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(b)Without limiting immediately preceding clause (a), each Lender hereby further agrees that if it receives an Erroneous Payment from the Administrative Agent (or any of its Affiliates) (i) that is in an amount different than (other than a de minimis difference), or on a different date from, that specified in a notice of payment sent by the Administrative Agent (or any of its Affiliates) with respect to such Erroneous Payment (an “</w:t>
      </w:r>
      <w:r>
        <w:rPr>
          <w:rFonts w:ascii="Times New Roman;serif" w:hAnsi="Times New Roman;serif"/>
          <w:b w:val="false"/>
          <w:color w:val="000000"/>
          <w:sz w:val="24"/>
          <w:u w:val="single"/>
        </w:rPr>
        <w:t>Erroneous Payment Notice</w:t>
      </w:r>
      <w:r>
        <w:rPr>
          <w:color w:val="000000"/>
        </w:rPr>
        <w:t>”</w:t>
      </w:r>
      <w:r>
        <w:rPr>
          <w:rFonts w:ascii="Times New Roman;serif" w:hAnsi="Times New Roman;serif"/>
          <w:b w:val="false"/>
          <w:color w:val="000000"/>
          <w:sz w:val="24"/>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Erroneous Payment (or portion thereof) that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(c)The Borrower and the Servicer hereby agree that (i) in the event an Erroneous Payment (or portion thereof) is not recovered from any Lender that has received such Erroneous Payment (or portion thereof) for any reason, the Administrative Agent shall be subrogated to all the rights of such Lender with respect to such amount and (ii) an Erroneous Payment shall not pay, prepay, repay, discharge or otherwise satisfy any Obligations owed by the Borrower or the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(d)Each party’s obligations under this </w:t>
      </w:r>
      <w:r>
        <w:rPr>
          <w:rFonts w:ascii="Times New Roman;serif" w:hAnsi="Times New Roman;serif"/>
          <w:b w:val="false"/>
          <w:color w:val="000000"/>
          <w:sz w:val="24"/>
          <w:u w:val="single"/>
        </w:rPr>
        <w:t>Section 10.11</w:t>
      </w:r>
      <w:r>
        <w:rPr>
          <w:color w:val="000000"/>
        </w:rPr>
        <w:t xml:space="preserve"> </w:t>
      </w:r>
      <w:r>
        <w:rPr>
          <w:rFonts w:ascii="Times New Roman;serif" w:hAnsi="Times New Roman;serif"/>
          <w:b w:val="false"/>
          <w:color w:val="000000"/>
          <w:sz w:val="24"/>
        </w:rPr>
        <w:t>shall survive the resignation or replacement of the Administrative Agent or any transfer of rights or obligations by, or the replacement of, a Lender, the termination of the Commitments or the repayment, satisfaction or discharge of all Borrower Obligations (or any portion thereof) and the Servicer’s obligations (or any portion thereof) under any Transaction Document.</w:t>
      </w:r>
    </w:p>
    <w:p>
      <w:pPr>
        <w:pStyle w:val="TextBody"/>
        <w:bidi w:val="0"/>
        <w:spacing w:lineRule="auto" w:line="240" w:before="0" w:after="240"/>
        <w:jc w:val="center"/>
        <w:rPr/>
      </w:pPr>
      <w:r>
        <w:rPr>
          <w:rFonts w:ascii="Times New Roman;serif" w:hAnsi="Times New Roman;serif"/>
          <w:b/>
          <w:color w:val="000000"/>
          <w:sz w:val="24"/>
        </w:rPr>
        <w:t>ARTICLE XI</w:t>
      </w:r>
      <w:r>
        <w:rPr>
          <w:rFonts w:ascii="Times New Roman;serif" w:hAnsi="Times New Roman;serif"/>
          <w:b/>
          <w:color w:val="000000"/>
          <w:sz w:val="24"/>
        </w:rPr>
        <w:br/>
        <w:br/>
        <w:t>THE GROUP AGENTS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 Each Credit Party that belongs to a Group hereby appoints and authorizes the Group Agent for such Group to take such action as agent on its behalf and to exercise such powers under this Agreement as are delegated to such Group Agent by the terms hereof, together with such powers as are reasonably incidental thereto. No Group Agent shall have any duties other than those expressly set forth in the Transaction Documents, and no implied obligations or liabilities shall be read into any Transaction Document, or otherwise exist, against any Group Agent. No Group Agent assumes, nor shall it be deemed to have assumed, any obligation to, or relationship of trust or agency with the Borrower or any Affiliate thereof, any Lender except for any obligations expressly set forth herein. Notwithstanding any provision of this Agreement or any other Transaction Document, in no event shall any Group Agent ever be required to take any action which exposes such Group Agent to personal liability or which is contrary to any provision of any Transaction Document or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Group Agent’s Reliance, Etc</w:t>
      </w:r>
      <w:r>
        <w:rPr>
          <w:rFonts w:ascii="Times New Roman;serif" w:hAnsi="Times New Roman;serif"/>
          <w:b w:val="false"/>
          <w:color w:val="000000"/>
          <w:sz w:val="24"/>
        </w:rPr>
        <w:t xml:space="preserve">. No Group Agent nor any of its directors, officers, agents or employees shall be liable for any action taken or omitted to be taken by it or them as a Group Agent under or in connection with this Agreement or any other Transaction Documents in the absence of its or their own gross negligence or willful misconduct. Without limiting the generality of the foregoing, a Group Agent: (a) may consult with legal counsel (including counsel for the Administrative Agent, the Borrower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or any other Transaction Document; (c) shall not have any duty to ascertain or to inquire as to the performance or observance of any of the terms, covenants or conditions of this Agreement or any other Transaction Document on the part of the Borrower or any Affiliate thereof or any other Person or to inspect the property (including the books and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records) of the Borrower or any Affiliate thereof; (d) shall not be responsible to any Credit Party for the due execution, legality, validity, enforceability, genuineness, sufficiency or value of this Agreement, any other Transaction Documents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11.03.</w:t>
      </w:r>
      <w:r>
        <w:rPr>
          <w:rFonts w:ascii="Times New Roman;serif" w:hAnsi="Times New Roman;serif"/>
          <w:b w:val="false"/>
          <w:color w:val="000000"/>
          <w:sz w:val="24"/>
          <w:u w:val="single"/>
        </w:rPr>
        <w:t>Group Agent and Affiliates</w:t>
      </w:r>
      <w:r>
        <w:rPr>
          <w:rFonts w:ascii="Times New Roman;serif" w:hAnsi="Times New Roman;serif"/>
          <w:b w:val="false"/>
          <w:color w:val="000000"/>
          <w:sz w:val="24"/>
        </w:rPr>
        <w:t>. With respect to any Credit Extension or interests therein owned by any Credit Party that is also a Group Agent, such Credit Party shall have the same rights and powers under this Agreement as any other Lender and may exercise the same as though it were not a Group Agent. A Group Agent and any of its Affiliates may generally engage in any kind of business with the Borrower or any Affiliate thereof and any Person who may do business with or own securities of the Borrower or any Affiliate thereof or any of their respective Affiliates, all as if such Group Agent were not a Group Agent hereunder and without any duty to account therefor to any other Secured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11.04.</w:t>
      </w:r>
      <w:r>
        <w:rPr>
          <w:rFonts w:ascii="Times New Roman;serif" w:hAnsi="Times New Roman;serif"/>
          <w:b w:val="false"/>
          <w:color w:val="000000"/>
          <w:sz w:val="24"/>
          <w:u w:val="single"/>
        </w:rPr>
        <w:t>Indemnification of Group Agents</w:t>
      </w:r>
      <w:r>
        <w:rPr>
          <w:rFonts w:ascii="Times New Roman;serif" w:hAnsi="Times New Roman;serif"/>
          <w:b w:val="false"/>
          <w:color w:val="000000"/>
          <w:sz w:val="24"/>
        </w:rPr>
        <w:t xml:space="preserve">. Each Committed Lender in any Group agrees to indemnify the Group Agent for such Group (to the extent not reimbursed by the Borrower or any Affiliate thereof), ratably according to the proportion of the Percentage of such Committed Lender to the aggregate Percentages of all Committed Lenders in such Group, from and against any and all liabilities, obligations, losses, damages, penalties, actions, judgments, suits, costs, expenses or disbursements of any kind or nature whatsoever which may be imposed on, incurred by, or asserted against such Group Agent in any way relating to or arising out of this Agreement or any other Transaction Document or any action taken or omitted by such Group Agent under this Agreement or any other Transaction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Committed Lender shall be liable for any portion of such liabilities, obligations, losses, damages, penalties, actions, judgments, suits, costs, expenses or disbursements resulting from such Group Agent’s gross negligence or willful misconduct.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11.05.</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Each Group Agent may execute any of its duties through agents or attorneys-in-fact and shall be entitled to advice of counsel concerning all matters pertaining to such duties. No Group Agent shall be responsible for the negligence or misconduct of any agents or attorneys-in-fact selected by it with reasonable care.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11.06.</w:t>
      </w:r>
      <w:r>
        <w:rPr>
          <w:rFonts w:ascii="Times New Roman;serif" w:hAnsi="Times New Roman;serif"/>
          <w:b w:val="false"/>
          <w:color w:val="000000"/>
          <w:sz w:val="24"/>
          <w:u w:val="single"/>
        </w:rPr>
        <w:t>Notice of Events of Default</w:t>
      </w:r>
      <w:r>
        <w:rPr>
          <w:rFonts w:ascii="Times New Roman;serif" w:hAnsi="Times New Roman;serif"/>
          <w:b w:val="false"/>
          <w:color w:val="000000"/>
          <w:sz w:val="24"/>
        </w:rPr>
        <w:t xml:space="preserve">. No Group Agent shall be deemed to have knowledge or notice of the occurrence of any Unmatured Event of Default or Event of Default unless such Group Agent has received notice from the Administrative Agent, any other Group Agent, any other Credit Party, the Servicer or the Borrower stating that an Unmatured Event of Default or Event of Default has occurred hereunder and describing such Unmatured Event of Default or Event of Default. If a Group Agent receives such a notice, it shall promptly give notice thereof to the Credit Parties in its Group and to the Administrative Agent (but only if such notice received by such Group Agent was not sent by the Administrative Agent). A Group Agent may take such action concerning an Unmatured Event of Default or Event of Default as may be directed by Committed Lenders in its Group representing a majority of the Commitments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such Group (subject to the other provisions of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but until such Group Agent receives such directions, such Group Agent may (but shall not be obligated to) take such action, or refrain from taking such action, as such Group Agent deems advisable and in the best interests of the Conduit Lenders and Committed Lenders in its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11.07.</w:t>
      </w:r>
      <w:r>
        <w:rPr>
          <w:rFonts w:ascii="Times New Roman;serif" w:hAnsi="Times New Roman;serif"/>
          <w:b w:val="false"/>
          <w:color w:val="000000"/>
          <w:sz w:val="24"/>
          <w:u w:val="single"/>
        </w:rPr>
        <w:t>Non-Reliance on Group Agent and Other Parties</w:t>
      </w:r>
      <w:r>
        <w:rPr>
          <w:rFonts w:ascii="Times New Roman;serif" w:hAnsi="Times New Roman;serif"/>
          <w:b w:val="false"/>
          <w:color w:val="000000"/>
          <w:sz w:val="24"/>
        </w:rPr>
        <w:t>. Each Credit Party expressly acknowledges that neither the Group Agent for its Group nor any of such Group Agent’s directors, officers, agents or employees has made any representations or warranties to it and that no act by such Group Agent hereafter taken, including any review of the affairs of the Borrower or any Affiliate thereof, shall be deemed to constitute any representation or warranty by such Group Agent. Each Credit Party represents and warrants to the Group Agent for its Group that, independently and without reliance upon such Group Agent, any other Group Agent, the Administrative Agent or any other Credit Party and based on such documents and information as it has deemed appropriate, it has made and will continue to make its own appraisal of, and investigation into, the business, operations, property, prospects, financial and other conditions and creditworthiness of the Borrower or any Affiliate thereof and the Receivables and its own decision to enter into this Agreement and to take, or omit, action under any Transaction Document. Except for items expressly required to be delivered under any Transaction Document by a Group Agent to any Credit Party in its Group, no Group Agent shall have any duty or responsibility to provide any Credit Party in its Group with any information concerning the Borrower or any Affiliate thereof that comes into the possession of such Group Agent or any of its directors, officers, agents, employees, attorneys-in-fact or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11.08.</w:t>
      </w:r>
      <w:r>
        <w:rPr>
          <w:rFonts w:ascii="Times New Roman;serif" w:hAnsi="Times New Roman;serif"/>
          <w:b w:val="false"/>
          <w:color w:val="000000"/>
          <w:sz w:val="24"/>
          <w:u w:val="single"/>
        </w:rPr>
        <w:t>Successor Group Agent</w:t>
      </w:r>
      <w:r>
        <w:rPr>
          <w:rFonts w:ascii="Times New Roman;serif" w:hAnsi="Times New Roman;serif"/>
          <w:b w:val="false"/>
          <w:color w:val="000000"/>
          <w:sz w:val="24"/>
        </w:rPr>
        <w:t xml:space="preserve">. Any Group Agent may, upon at least thirty (30) days’ notice to the Administrative Agent, the Borrower, the Servicer and the Credit Parties in its Group, resign as Group Agent for its Group. Such resignation shall not become effective until a successor Group Agent is appointed by the Lender(s) in such Group. Upon such acceptance of its appointment as Group Agent for such Group hereunder by a successor Group Agent, such successor Group Agent shall succeed to and become vested with all the rights and duties of the resigning Group Agent, and the resigning Group Agent shall be discharged from its duties and obligations under the Transaction Documents. After any resigning Group Agent’s resignation hereunder, the provisions of this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XII</w:t>
      </w:r>
      <w:r>
        <w:rPr>
          <w:color w:val="000000"/>
        </w:rPr>
        <w:t xml:space="preserve"> </w:t>
      </w:r>
      <w:r>
        <w:rPr>
          <w:rFonts w:ascii="Times New Roman;serif" w:hAnsi="Times New Roman;serif"/>
          <w:b w:val="false"/>
          <w:color w:val="000000"/>
          <w:sz w:val="24"/>
        </w:rPr>
        <w:t>shall inure to its benefit as to any actions taken or omitted to be taken by it while it was a Group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11.09.</w:t>
      </w:r>
      <w:r>
        <w:rPr>
          <w:rFonts w:ascii="Times New Roman;serif" w:hAnsi="Times New Roman;serif"/>
          <w:b w:val="false"/>
          <w:color w:val="000000"/>
          <w:sz w:val="24"/>
          <w:u w:val="single"/>
        </w:rPr>
        <w:t>Reliance on Group Agent</w:t>
      </w:r>
      <w:r>
        <w:rPr>
          <w:rFonts w:ascii="Times New Roman;serif" w:hAnsi="Times New Roman;serif"/>
          <w:b w:val="false"/>
          <w:color w:val="000000"/>
          <w:sz w:val="24"/>
        </w:rPr>
        <w:t>. Unless otherwise advised in writing by a Group Agent or by any Credit Party in such Group Agent’s Group, each party to this Agreement may assume that (i) such Group Agent is acting for the benefit and on behalf of each of the Credit Parties in its Group, as well as for the benefit of each assignee or other transferee from any such Person and (ii) each action taken by such Group Agent has been duly authorized and approved by all necessary action on the part of the Credit Parties in its Group.</w:t>
      </w:r>
    </w:p>
    <w:p>
      <w:pPr>
        <w:pStyle w:val="TextBody"/>
        <w:bidi w:val="0"/>
        <w:spacing w:lineRule="auto" w:line="240" w:before="0" w:after="240"/>
        <w:jc w:val="center"/>
        <w:rPr/>
      </w:pPr>
      <w:r>
        <w:rPr>
          <w:rFonts w:ascii="Times New Roman;serif" w:hAnsi="Times New Roman;serif"/>
          <w:b/>
          <w:color w:val="000000"/>
          <w:sz w:val="24"/>
        </w:rPr>
        <w:t>ARTICLE XII</w:t>
      </w:r>
      <w:r>
        <w:rPr>
          <w:rFonts w:ascii="Times New Roman;serif" w:hAnsi="Times New Roman;serif"/>
          <w:b/>
          <w:color w:val="000000"/>
          <w:sz w:val="24"/>
        </w:rPr>
        <w:br/>
        <w:br/>
        <w:t>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12.01.</w:t>
      </w:r>
      <w:r>
        <w:rPr>
          <w:rFonts w:ascii="Times New Roman;serif" w:hAnsi="Times New Roman;serif"/>
          <w:b w:val="false"/>
          <w:color w:val="000000"/>
          <w:sz w:val="24"/>
          <w:u w:val="single"/>
        </w:rPr>
        <w:t>Indemnities by the Borrower</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Without limiting any other rights that the Administrative Agent, the Credit Parties, the Affected Persons and their respective assigns, officers, directors, agents and employees (each, a “</w:t>
      </w:r>
      <w:r>
        <w:rPr>
          <w:rFonts w:ascii="Times New Roman;serif" w:hAnsi="Times New Roman;serif"/>
          <w:b w:val="false"/>
          <w:color w:val="000000"/>
          <w:sz w:val="24"/>
          <w:u w:val="single"/>
        </w:rPr>
        <w:t>Borrower Indemnified Party</w:t>
      </w:r>
      <w:r>
        <w:rPr>
          <w:color w:val="000000"/>
        </w:rPr>
        <w:t>”</w:t>
      </w:r>
      <w:r>
        <w:rPr>
          <w:rFonts w:ascii="Times New Roman;serif" w:hAnsi="Times New Roman;serif"/>
          <w:b w:val="false"/>
          <w:color w:val="000000"/>
          <w:sz w:val="24"/>
        </w:rPr>
        <w:t>) may have hereunder or under Applicable Law, the Borrower hereby agrees to indemnify each Borrower Indemnified Party from and against any and all claims, expenses, damages, losses and liabilities suffered or sustained (including Attorney Costs) (all of the foregoing being collectively referred to as “</w:t>
      </w:r>
      <w:r>
        <w:rPr>
          <w:rFonts w:ascii="Times New Roman;serif" w:hAnsi="Times New Roman;serif"/>
          <w:b w:val="false"/>
          <w:color w:val="000000"/>
          <w:sz w:val="24"/>
          <w:u w:val="single"/>
        </w:rPr>
        <w:t>Borrower Indemnified Amounts</w:t>
      </w:r>
      <w:r>
        <w:rPr>
          <w:color w:val="000000"/>
        </w:rPr>
        <w:t>”</w:t>
      </w:r>
      <w:r>
        <w:rPr>
          <w:rFonts w:ascii="Times New Roman;serif" w:hAnsi="Times New Roman;serif"/>
          <w:b w:val="false"/>
          <w:color w:val="000000"/>
          <w:sz w:val="24"/>
        </w:rPr>
        <w:t xml:space="preserve">) arising out of, relating to or in connection this Agreement or any other Transaction Document or the use of proceeds of the Credit Extensions or the security interest in respect of any Pool Receivable or any other Collateral;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(x) Borrower Indemnified Amounts to the extent a final non-appealable judgment of a court of competent jurisdiction holds that such Borrower Indemnified Amounts resulted solely from the gross negligence, bad faith, willful misconduct by the Borrower Indemnified Party seeking indemnification, (y) Borrower Indemnified Amounts to the extent a final non-appealable judgment of a court of competent jurisdiction holds that such Borrower Indemnified Amounts resulted solely from a material breach of a Transaction Document by the Borrower Indemnified Party seeking indemnification and (z) Taxes that are covered by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Without limiting or being limited by the foregoing, the Borrower shall pay on demand (it being understood that if any portion of such payment obligation is made from Collections, such payment will be made at the time and in the order of priority set forth in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to each Borrower Indemnified Party any and all amounts necessary to indemnify such Borrower Indemnified Party from and against any and all Borrower Indemnified Amounts relating to or resulting from any of the following (but excluding Borrower Indemnified Amounts and Taxes described in </w:t>
      </w:r>
      <w:r>
        <w:rPr>
          <w:rFonts w:ascii="Times New Roman;serif" w:hAnsi="Times New Roman;serif"/>
          <w:b w:val="false"/>
          <w:color w:val="000000"/>
          <w:sz w:val="24"/>
          <w:u w:val="single"/>
        </w:rPr>
        <w:t>clauses (x)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Pool Receivable which the Borrower or the Servicer includes as an Eligible Receivable as part of the Net Receivables Pool Balance but which is not an Eligible Receivable at such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representation, warranty or statement made or deemed made by the Borrower (or any of its respective officers) under or in connection with this Agreement, any of the other Transaction Documents, any Information Package, Interim Report or any other information or report delivered by or on behalf of the Borrower pursuant hereto which shall have been untrue or incorrect when made or deemed made;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failure by the Borrower to comply with any Applicable Law with respect to any Pool Receivable or the related Contract; or the failure of any Pool Receivable or the related Contract to conform to any such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failure to vest in the Administrative Agent a first priority perfected security interest in all or any portion of the Collateral, in each case free and clear of any Adverse Claim;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Collateral and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Collections in respect thereof, whether at the time of any Credit Extension or at any subsequent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(vi)any dispute, claim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(vii)any failure of the Borrower to perform any of its duties or obligations in accordance with the provisions hereof and of each other Transaction Document related to Pool Receivables or to timely and fully comply with the Credit and Collection Procedures in regard to each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(viii)any products liability, environmental or other claim arising out of or in connection with any Pool Receivable or other merchandise, goods or services which are the subject of or related to any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commingling of Collections of Pool Receivables at any time with other funds;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(x)any investigation, litigation or proceeding (actual or threatened) related to this Agreement or any other Transaction Document or the use of proceeds of any Credit Extensions or in respect of any Pool Receivable or other Collateral or any related Contract;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(xi)any failure of the Borrower to comply with its covenants, obligations and agreements contained in this Agreement or any other Transaction Document;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(xii)any offset, setoff, adjustment, or other non-cash reduction of any Pool Receivable (including Deemed Collections) not arising from the bankruptcy or insolvency, lack of creditworthiness or other financial default or inability to pay of the related Obligor any undisputed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(xiii)any claim brought by any Person other than a Borrower Indemnified Party arising from any activity by the Borrower or any Affiliate of the Borrower in servicing, administering or collecting any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(xiv)the failure by the Borrower to pay when due any taxes, including, without limitation, sales, excise or personal property taxes;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(xv)any failure of a Collection Account Bank to comply with the terms of the applicable Account Control Agreement, the termination by a Collection Account Bank prior to the appointment of a successor collection account bank or any amounts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payable by the Administrative Agent to a Collection Account Bank under any Account Control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(xvii)any action taken by the Administrative Agent as attorney-in-fact for the Borrower, any Originator or the Servicer pursuant to this Agreement or any other Transaction Document;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(xviii)the use of proceeds of any Credit Extension;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(xix)any reduction in Capital as a result of the distribution of Collections if all or a portion of such distributions shall thereafter be rescinded or otherwise must be returned for any reason;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(xx)any failure by any Originator to provide an Obligor with an invoice evidencing indebtedness related to a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(xxi)payment, prepayment, conversion or renewal of any Loan to which a Term SOFR Option or Daily SOFR Option applies on a day other than the last day of the corresponding Interest Period (whether or not any such payment or prepayment is mandatory, voluntary or automatic and whether or not any such payment or prepayment is then due);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(xxii)any assignment of a Loan under the Term SOFR Option or the Daily SOFR Rate Option on a day other than the last day of the Interest Period therefor as a result of a request by the Borrower pursuant to </w:t>
      </w:r>
      <w:r>
        <w:rPr>
          <w:rFonts w:ascii="Times New Roman;serif" w:hAnsi="Times New Roman;serif"/>
          <w:b w:val="false"/>
          <w:color w:val="000000"/>
          <w:sz w:val="24"/>
          <w:u w:val="single"/>
        </w:rPr>
        <w:t>Section 4.01(f)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in this Agreement, solely for purposes of the Borrower’s indemnification obligations in </w:t>
      </w:r>
      <w:r>
        <w:rPr>
          <w:rFonts w:ascii="Times New Roman;serif" w:hAnsi="Times New Roman;serif"/>
          <w:b w:val="false"/>
          <w:color w:val="000000"/>
          <w:sz w:val="24"/>
          <w:u w:val="single"/>
        </w:rPr>
        <w:t>clauses (ii)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(xi)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Article XII</w:t>
      </w:r>
      <w:r>
        <w:rPr>
          <w:rFonts w:ascii="Times New Roman;serif" w:hAnsi="Times New Roman;serif"/>
          <w:b w:val="false"/>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for any reason the foregoing indemnification is unavailable to any Borrower Indemnified Party or insufficient to hold it harmless, then the Borrower shall contribute to such Borrower Indemnified Party the amount paid or payable by such Borrower Indemnified Party as a result of such loss, claim, damage or liability in such proportion as is appropriate to reflect the relative economic interests of the Borrower and its Affiliates on the one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hand and such Borrower Indemnified Party on the other hand in the matters contemplated by this Agreement as well as the relative fault of the Borrower and its Affiliates and such Borrower Indemnified Party with respect to such loss, claim, damage or liability and any other relevant equitable considerations. The reimbursement, indemnity and contribution obligations of the Borrower under this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shall be in addition to any liability which the Borrower may otherwise have, shall extend upon the same terms and conditions to each Borrower Indemnified Party, and shall be binding upon and inure to the benefit of any successors, assigns, heirs and personal representatives of the Borrower and the Borrower Indemnified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indemnification or contribution under this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12.02.</w:t>
      </w:r>
      <w:r>
        <w:rPr>
          <w:rFonts w:ascii="Times New Roman;serif" w:hAnsi="Times New Roman;serif"/>
          <w:b w:val="false"/>
          <w:color w:val="000000"/>
          <w:sz w:val="24"/>
          <w:u w:val="single"/>
        </w:rPr>
        <w:t>Indemnification by the Servicer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Servicer hereby agrees to indemnify and hold harmless the Borrower, the Administrative Agent, the Credit Parties, the Affected Persons and their respective assigns, officers, directors, agents and employees (each, a “</w:t>
      </w:r>
      <w:r>
        <w:rPr>
          <w:rFonts w:ascii="Times New Roman;serif" w:hAnsi="Times New Roman;serif"/>
          <w:b w:val="false"/>
          <w:color w:val="000000"/>
          <w:sz w:val="24"/>
          <w:u w:val="single"/>
        </w:rPr>
        <w:t>Servicer Indemnified Party</w:t>
      </w:r>
      <w:r>
        <w:rPr>
          <w:color w:val="000000"/>
        </w:rPr>
        <w:t>”</w:t>
      </w:r>
      <w:r>
        <w:rPr>
          <w:rFonts w:ascii="Times New Roman;serif" w:hAnsi="Times New Roman;serif"/>
          <w:b w:val="false"/>
          <w:color w:val="000000"/>
          <w:sz w:val="24"/>
        </w:rPr>
        <w:t>), from and against any and all claims, expenses, damages, losses and liabilities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serif" w:hAnsi="Times New Roman;serif"/>
          <w:b w:val="false"/>
          <w:color w:val="000000"/>
          <w:sz w:val="24"/>
          <w:u w:val="single"/>
        </w:rPr>
        <w:t>Servicer Indemnified Amounts</w:t>
      </w:r>
      <w:r>
        <w:rPr>
          <w:color w:val="000000"/>
        </w:rPr>
        <w:t>”</w:t>
      </w:r>
      <w:r>
        <w:rPr>
          <w:rFonts w:ascii="Times New Roman;serif" w:hAnsi="Times New Roman;serif"/>
          <w:b w:val="false"/>
          <w:color w:val="000000"/>
          <w:sz w:val="24"/>
        </w:rPr>
        <w:t xml:space="preserve">); excluding (w) Servicer Indemnified Amounts to the extent a final non-appealable judgment of a court of competent jurisdiction holds that such Servicer Indemnified Amounts resulted solely from the gross negligence, bad faith or willful misconduct by the Servicer Indemnified Party seeking indemnification, (x) Servicer Indemnified Amounts to the extent a final non-appealable judgment of a court of competent jurisdiction holds that such Servicer Indemnified Amounts resulted solely from a material breach of a Transaction Document by the Servicer Indemnified Party seeking indemnification, (y) Taxes that are covered by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and (z)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serif" w:hAnsi="Times New Roman;serif"/>
          <w:b w:val="false"/>
          <w:color w:val="000000"/>
          <w:sz w:val="24"/>
          <w:u w:val="single"/>
        </w:rPr>
        <w:t>clauses (z)</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representation, warranty or statement made or deemed made by the Servicer (or any of its respective officers) under or in connection with this Agreement, any of the other Transaction Documents, any Information Package, Interim Report or any other information or report delivered by or on behalf of the Servicer pursuant hereto which shall have been untrue or incorrect when made or deemed made;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failure by the Servicer to comply with any Applicable Law with respect to any Pool Receivable or the related Contract; or the failure of any Pool Receivable or the related Contract to conform to any such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commingling of Collections of Pool Receivables at any time with other funds;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(iv)any failure of the Servicer to comply with its covenants, obligations and agreements contained in this Agreement or any other Transaction Document (including, without limitation, the failure or delay by the Servicer to provide, or cause the applicable Originator to provide, any Obligor with an invoice or other evidence of Indebtedness related to a Pool Receivable).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for any reason the foregoing indemnification is unavailable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w:t>
      </w:r>
      <w:r>
        <w:rPr>
          <w:rFonts w:ascii="Times New Roman;serif" w:hAnsi="Times New Roman;serif"/>
          <w:b w:val="false"/>
          <w:color w:val="000000"/>
          <w:sz w:val="24"/>
          <w:u w:val="single"/>
        </w:rPr>
        <w:t>Section 12.02</w:t>
      </w:r>
      <w:r>
        <w:rPr>
          <w:color w:val="000000"/>
        </w:rPr>
        <w:t xml:space="preserve"> </w:t>
      </w:r>
      <w:r>
        <w:rPr>
          <w:rFonts w:ascii="Times New Roman;serif" w:hAnsi="Times New Roman;serif"/>
          <w:b w:val="false"/>
          <w:color w:val="000000"/>
          <w:sz w:val="24"/>
        </w:rPr>
        <w:t>shall be in addition to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indemnification or contribution under this </w:t>
      </w:r>
      <w:r>
        <w:rPr>
          <w:rFonts w:ascii="Times New Roman;serif" w:hAnsi="Times New Roman;serif"/>
          <w:b w:val="false"/>
          <w:color w:val="000000"/>
          <w:sz w:val="24"/>
          <w:u w:val="single"/>
        </w:rPr>
        <w:t>Section 12.02</w:t>
      </w:r>
      <w:r>
        <w:rPr>
          <w:color w:val="000000"/>
        </w:rPr>
        <w:t xml:space="preserve"> </w:t>
      </w:r>
      <w:r>
        <w:rPr>
          <w:rFonts w:ascii="Times New Roman;serif" w:hAnsi="Times New Roman;serif"/>
          <w:b w:val="false"/>
          <w:color w:val="000000"/>
          <w:sz w:val="24"/>
        </w:rPr>
        <w:t>shall survive the termination of this Agreement.</w:t>
      </w:r>
    </w:p>
    <w:p>
      <w:pPr>
        <w:pStyle w:val="TextBody"/>
        <w:bidi w:val="0"/>
        <w:spacing w:lineRule="auto" w:line="240" w:before="0" w:after="240"/>
        <w:jc w:val="center"/>
        <w:rPr/>
      </w:pPr>
      <w:r>
        <w:rPr>
          <w:rFonts w:ascii="Times New Roman;serif" w:hAnsi="Times New Roman;serif"/>
          <w:b/>
          <w:color w:val="000000"/>
          <w:sz w:val="24"/>
        </w:rPr>
        <w:t>ARTICLE XIII</w:t>
      </w:r>
      <w:r>
        <w:rPr>
          <w:rFonts w:ascii="Times New Roman;serif" w:hAnsi="Times New Roman;serif"/>
          <w:b/>
          <w:color w:val="000000"/>
          <w:sz w:val="24"/>
        </w:rPr>
        <w:br/>
        <w:b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13.01.</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 failure on the part of any Credit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Borrower or any Affiliate thereof shall be effective unless in a writing signed by the Administrative Agent and the Majority Group Agents (and, in the case of any amendment, also signed by the Borrower), and then such amendment, waiver or consent shall be effective only in the specific instance and for the specific purpose for which given;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no amendment, waiver or consent shall, unless in writing and signed by the Servicer, affect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9"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rights or duties of the Servicer under this Agreement; (B) no amendment, waiver or consent shall, unless in writing and signed by the Administrative Agent and each Group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change (directly or indirectly) the definitions of, Borrowing Base Deficit, Defaulted Receivable, Delinquent Receivable, Eligible Receivable, Facility Limit, Final Maturity Date, Net Receivables Pool Balance, Adjusted Net Receivables Pool Balance or Total Reserves contained in this Agreement, or increase the then existing Concentration Percentage for any Obligor or change the calculation of the Borrowing Base;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reduce the amount of Capital or Interest or any Fee that is payable on account of any Loan or with respect to any other Credit Extension or delay any scheduled date for payment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change any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release all or a material portion of the Collateral from the Administrative Agent’s security interest created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release the Performance Guarantor from any of its obligations under the Performance Guaranty or terminate the Performance Guaranty;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change any of the provisions of this </w:t>
      </w:r>
      <w:r>
        <w:rPr>
          <w:rFonts w:ascii="Times New Roman;serif" w:hAnsi="Times New Roman;serif"/>
          <w:b w:val="false"/>
          <w:color w:val="000000"/>
          <w:sz w:val="24"/>
          <w:u w:val="single"/>
        </w:rPr>
        <w:t>Section 13.01</w:t>
      </w:r>
      <w:r>
        <w:rPr>
          <w:color w:val="000000"/>
        </w:rPr>
        <w:t xml:space="preserve"> </w:t>
      </w:r>
      <w:r>
        <w:rPr>
          <w:rFonts w:ascii="Times New Roman;serif" w:hAnsi="Times New Roman;serif"/>
          <w:b w:val="false"/>
          <w:color w:val="000000"/>
          <w:sz w:val="24"/>
        </w:rPr>
        <w:t>or the definition of “Majority Group Agents”;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change the order of priority in which Collections are applied pursuant to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the foregoing, (i) no amendment, waiver or consent shall increase any Committed Lender’s Commitment hereunder without the consent of such Committed Lender and (ii) no amendment, waiver or consent shall reduce any Fees payable by the Borrower to any member of any Group or delay the dates on which any such Fees are payable, in either case, without the consent of the Group Agent for such Group and (iii) no consent with respect to any amendment, waiver or other modification of this Agreement shall be required of any Defaulting Lender, except with respect to any amendment, waiver or other modification referred to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(vii)</w:t>
      </w:r>
      <w:r>
        <w:rPr>
          <w:color w:val="000000"/>
        </w:rPr>
        <w:t xml:space="preserve"> </w:t>
      </w:r>
      <w:r>
        <w:rPr>
          <w:rFonts w:ascii="Times New Roman;serif" w:hAnsi="Times New Roman;serif"/>
          <w:b w:val="false"/>
          <w:color w:val="000000"/>
          <w:sz w:val="24"/>
        </w:rPr>
        <w:t>above and then only in the event such Defaulting Lender shall be directly affected by such amendment, waiver or other modification.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13.02.</w:t>
      </w:r>
      <w:r>
        <w:rPr>
          <w:rFonts w:ascii="Times New Roman;serif" w:hAnsi="Times New Roman;serif"/>
          <w:b w:val="false"/>
          <w:color w:val="000000"/>
          <w:sz w:val="24"/>
          <w:u w:val="single"/>
        </w:rPr>
        <w:t>Notices, Etc</w:t>
      </w:r>
      <w:r>
        <w:rPr>
          <w:rFonts w:ascii="Times New Roman;serif" w:hAnsi="Times New Roman;serif"/>
          <w:b w:val="false"/>
          <w:color w:val="000000"/>
          <w:sz w:val="24"/>
        </w:rPr>
        <w:t xml:space="preserve">. All notices and other communications hereunder shall, unless otherwise stated herein, be in writing (which shall include facsimile communication) and faxed or delivered, to each party hereto, at its address set forth under its name on </w:t>
      </w:r>
      <w:r>
        <w:rPr>
          <w:rFonts w:ascii="Times New Roman;serif" w:hAnsi="Times New Roman;serif"/>
          <w:b w:val="false"/>
          <w:color w:val="000000"/>
          <w:sz w:val="24"/>
          <w:u w:val="single"/>
        </w:rPr>
        <w:t>Schedule III</w:t>
      </w:r>
      <w:r>
        <w:rPr>
          <w:color w:val="000000"/>
        </w:rPr>
        <w:t xml:space="preserve"> </w:t>
      </w:r>
      <w:r>
        <w:rPr>
          <w:rFonts w:ascii="Times New Roman;serif" w:hAnsi="Times New Roman;serif"/>
          <w:b w:val="false"/>
          <w:color w:val="000000"/>
          <w:sz w:val="24"/>
        </w:rPr>
        <w:t>hereto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13.03.</w:t>
      </w:r>
      <w:r>
        <w:rPr>
          <w:rFonts w:ascii="Times New Roman;serif" w:hAnsi="Times New Roman;serif"/>
          <w:b w:val="false"/>
          <w:color w:val="000000"/>
          <w:sz w:val="24"/>
          <w:u w:val="single"/>
        </w:rPr>
        <w:t>Assignability; Addition of Lenders; Removal of Lenders</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Assignment by Conduit Lenders</w:t>
      </w:r>
      <w:r>
        <w:rPr>
          <w:rFonts w:ascii="Times New Roman;serif" w:hAnsi="Times New Roman;serif"/>
          <w:b w:val="false"/>
          <w:color w:val="000000"/>
          <w:sz w:val="24"/>
        </w:rPr>
        <w:t xml:space="preserve">. This Agreement and the rights of each Conduit Lender hereunder (including each Loan made by it hereunder) shall be assignable by such Conduit Lender and its successors and permitted assigns (i) to any Program Support Provider of such Conduit Lender without prior notice to or consent from the Borrower or any other party, or any other condition or restriction of any kind, (ii) to any other Lender with prior notice to the Borrower but without consent from the Borrower or (iii) with the prior written consent of the Borrower (such consent not to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consent shall not be required if an Event of Default or Unmatured Event of Default has occurred and is continuing), to any other Eligible Assignee. Each assignor of a Loan or any interest therein may, in connection with the assignment or participation, disclose to the assignee or Participant any information relating to the Borrower and its Affiliates, including the Receivables, furnished to such assignor by or on behalf of the Borrower and its Affiliates or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prior to any such disclosure, the assignee or Participant agrees to preserve the confidentiality of any confidential information relating to the Borrower and its Affiliates received by it from any of the foregoing entities in a manner consistent with </w:t>
      </w:r>
      <w:r>
        <w:rPr>
          <w:rFonts w:ascii="Times New Roman;serif" w:hAnsi="Times New Roman;serif"/>
          <w:b w:val="false"/>
          <w:color w:val="000000"/>
          <w:sz w:val="24"/>
          <w:u w:val="single"/>
        </w:rPr>
        <w:t>Section 13.06(b)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Assignment by Committed Lenders</w:t>
      </w:r>
      <w:r>
        <w:rPr>
          <w:rFonts w:ascii="Times New Roman;serif" w:hAnsi="Times New Roman;serif"/>
          <w:b w:val="false"/>
          <w:color w:val="000000"/>
          <w:sz w:val="24"/>
        </w:rPr>
        <w:t xml:space="preserve">. Each Committed Lender may assign to any Eligible Assignee or to any other Committed Lender all or a portion of its rights and obligations under this Agreement (including, without limitation, all or a portion of its Commitment and any Loan or interests therein owned by 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(i)except for an assignment by a Committed Lender to either an Affiliate of such Committed Lender or any other Committed Lender, each such assignment shall require the prior written consent of the Borrower (such consent not to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consent shall not be required if an Event of Default or an Unmatured Event of Default has occurred and is continuing);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(ii)each such assignment shall be of a constant, and not a varying, percentage of all rights and obligations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amount being assigned pursuant to each such assignment (determined as of the date of the Assignment and Acceptance Agreement with respect to such assignment) shall in no event be less than the lesser of (x) five million dollars ($5,000,000) and (y) all of the assigning Committed Lender’s Commitment;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parties to each such assignment shall execute and deliver to the Administrative Agent, for its acceptance and recording in the Register, an Assignment and Acceptance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a Committed Lender hereunder and (y) the assigning Committed Lender shall, to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Committed Lender’s rights and obligations under this Agreement, such Committed Lender shall cease to be a party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Register</w:t>
      </w:r>
      <w:r>
        <w:rPr>
          <w:rFonts w:ascii="Times New Roman;serif" w:hAnsi="Times New Roman;serif"/>
          <w:b w:val="false"/>
          <w:color w:val="000000"/>
          <w:sz w:val="24"/>
        </w:rPr>
        <w:t xml:space="preserve">. The Administrative Agent shall, acting solely for this purpose as an agent of the Borrower, maintain at its address referred to on </w:t>
      </w:r>
      <w:r>
        <w:rPr>
          <w:rFonts w:ascii="Times New Roman;serif" w:hAnsi="Times New Roman;serif"/>
          <w:b w:val="false"/>
          <w:color w:val="000000"/>
          <w:sz w:val="24"/>
          <w:u w:val="single"/>
        </w:rPr>
        <w:t>Schedule III</w:t>
      </w:r>
      <w:r>
        <w:rPr>
          <w:color w:val="000000"/>
        </w:rPr>
        <w:t xml:space="preserve"> </w:t>
      </w:r>
      <w:r>
        <w:rPr>
          <w:rFonts w:ascii="Times New Roman;serif" w:hAnsi="Times New Roman;serif"/>
          <w:b w:val="false"/>
          <w:color w:val="000000"/>
          <w:sz w:val="24"/>
        </w:rPr>
        <w:t>of this Agreement (or such other address of the Administrative Agent notified by the Administrative Agent to the other parties hereto) a copy of each Assignment and Acceptance Agreement delivered to and accepted by it and a register for the recordation of the names and addresses of the Committed Lenders and the Conduit Lenders, the Commitment of each Committed Lender and the aggregate outstanding Capital (and stated interest) of the Loans of each Conduit Lender and Committed Lender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and binding for all purposes, absent manifest error, and the Borrower, the Servicer, the Administrative Agent, the Group Agents, and the other Credit Parties may treat each Person whose name is recorded in the Register as a Committed Lender or Conduit Lender, as the case may be, under this Agreement for all purposes of this Agreement. The Register shall be available for inspection by the Borrower, the Servicer, any Group Agent, any Conduit Lender or any Committed Lender at any reasonable time and from time to time upon reasonable prior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Procedure</w:t>
      </w:r>
      <w:r>
        <w:rPr>
          <w:rFonts w:ascii="Times New Roman;serif" w:hAnsi="Times New Roman;serif"/>
          <w:b w:val="false"/>
          <w:color w:val="000000"/>
          <w:sz w:val="24"/>
        </w:rPr>
        <w:t>. Upon its receipt of an Assignment and Acceptance Agreement executed and delivered by an assigning Committed Lender and an Eligible Assignee or assignee Committed Lender, the Administrative Agent shall, if such Assignment and Acceptance Agreement has been duly completed, (i) accept such Assignment and Acceptance Agreement, (ii) record the information contained therein in the Register and (iii) give prompt notice thereof to the Borrower and the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Participations</w:t>
      </w:r>
      <w:r>
        <w:rPr>
          <w:rFonts w:ascii="Times New Roman;serif" w:hAnsi="Times New Roman;serif"/>
          <w:b w:val="false"/>
          <w:color w:val="000000"/>
          <w:sz w:val="24"/>
        </w:rPr>
        <w:t>. Each Committed Lender may sell participations to one or more Eligible Assignees (each,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or to all or a portion of its rights and/or obligations under this Agreement (including, without limitation, all or a portion of its Commitment and the interests in the Loans owned by 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Committed Lender’s obligations under this Agreement (including, without limitation, its Commitment to the Borrower hereunder) shall remain unchanged,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(ii)such Committed Lender shall remain solely responsible to the other parties to this Agreement for the performance of such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Administrative Agent, the Group Agents, the Conduit Lenders, the other Committed Lenders, the Borrower and the Servicer shall have the right to continue to deal solely and directly with such Committed Lender in connection with such Committed Lender’s rights and obligations under this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Participant Register. Each Committed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“Participant Register”); provided that no Committed Lender shall have any obligation to disclose all or any portion of the Participant Register (including the identity of any Participant or any information relating to a Participant’s interest in any Commitments, Loans or its other obligations under any this Agreement)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Committed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Assignments by Agents</w:t>
      </w:r>
      <w:r>
        <w:rPr>
          <w:rFonts w:ascii="Times New Roman;serif" w:hAnsi="Times New Roman;serif"/>
          <w:b w:val="false"/>
          <w:color w:val="000000"/>
          <w:sz w:val="24"/>
        </w:rPr>
        <w:t xml:space="preserve">. This Agreement and the rights and obligations of the Administrative Agent and each Group Agent herein shall be assignable by the Administrative Agent or such Group Agent, as the case may be, and its successors and assigns;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an assignment to a Person that is not an Affiliate of the Administrative Agent or such Group Agent, so long as no Event of Default or Unmatured Event of Default has occurred and is continuing, such assignment shall require the Borrower’s consent (not to be unreasonably withheld, conditioned or delayed).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Assignments by the Borrower or the Servicer</w:t>
      </w:r>
      <w:r>
        <w:rPr>
          <w:rFonts w:ascii="Times New Roman;serif" w:hAnsi="Times New Roman;serif"/>
          <w:b w:val="false"/>
          <w:color w:val="000000"/>
          <w:sz w:val="24"/>
        </w:rPr>
        <w:t xml:space="preserve">. Neither the Borrower nor, except as provided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the Servicer may assign any of its respective rights or obligations hereunder or any interest herein without the prior written consent of the Administrative Agent and each Group Agent (such consent to be provided or withheld in the sole discretion of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Addition of Lenders or Groups</w:t>
      </w:r>
      <w:r>
        <w:rPr>
          <w:rFonts w:ascii="Times New Roman;serif" w:hAnsi="Times New Roman;serif"/>
          <w:b w:val="false"/>
          <w:color w:val="000000"/>
          <w:sz w:val="24"/>
        </w:rPr>
        <w:t xml:space="preserve">. The Borrower may, with written consent of the Administrative Agent and the Majority Group Agents, add additional Persons as Lenders (by creating a new Group) or cause an existing Lender to increase its Commitment;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Commitment of any existing Lender may only be increased with the prior written consent of such Lender. Each new Lender (or Group) shall become a party hereto, by executing and delivering to the Administrative Agent and the Borrower, an assumption agreement (each, an “</w:t>
      </w:r>
      <w:r>
        <w:rPr>
          <w:rFonts w:ascii="Times New Roman;serif" w:hAnsi="Times New Roman;serif"/>
          <w:b w:val="false"/>
          <w:color w:val="000000"/>
          <w:sz w:val="24"/>
          <w:u w:val="single"/>
        </w:rPr>
        <w:t>Assumption Agreement</w:t>
      </w:r>
      <w:r>
        <w:rPr>
          <w:color w:val="000000"/>
        </w:rPr>
        <w:t>”</w:t>
      </w:r>
      <w:r>
        <w:rPr>
          <w:rFonts w:ascii="Times New Roman;serif" w:hAnsi="Times New Roman;serif"/>
          <w:b w:val="false"/>
          <w:color w:val="000000"/>
          <w:sz w:val="24"/>
        </w:rPr>
        <w:t xml:space="preserve">)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(which Assumption Agreement shall, in the case of any new Lender, be executed by each Person in such new Lender’s Group).</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Removal of Lenders</w:t>
      </w:r>
      <w:r>
        <w:rPr>
          <w:rFonts w:ascii="Times New Roman;serif" w:hAnsi="Times New Roman;serif"/>
          <w:b w:val="false"/>
          <w:color w:val="000000"/>
          <w:sz w:val="24"/>
        </w:rPr>
        <w:t xml:space="preserve">. If (i) any Lender requests compensation under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or if the Borrower is required to pay any additional amount to any Lender or any Official Body for the account of any Lender pursuant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(iv) any Lender is a Defaulting Lender, or (v) any other circumstance exists hereunder that gives the Borrower the right to replace a Lender as a party hereto, then the Borrower may, at its sole expense and effort,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upon notice to such Lender and the Administrative Agent, require such Lender to assign and delegate, without recourse (in accordance with and subject to the restrictions contained in, and consents required by, this </w:t>
      </w:r>
      <w:r>
        <w:rPr>
          <w:rFonts w:ascii="Times New Roman;serif" w:hAnsi="Times New Roman;serif"/>
          <w:b w:val="false"/>
          <w:color w:val="000000"/>
          <w:sz w:val="24"/>
          <w:u w:val="single"/>
        </w:rPr>
        <w:t>Section 13.03</w:t>
      </w:r>
      <w:r>
        <w:rPr>
          <w:rFonts w:ascii="Times New Roman;serif" w:hAnsi="Times New Roman;serif"/>
          <w:b w:val="false"/>
          <w:color w:val="000000"/>
          <w:sz w:val="24"/>
        </w:rPr>
        <w:t xml:space="preserve">), all of its interests, rights (other than its existing rights to payments pursuant to </w:t>
      </w:r>
      <w:r>
        <w:rPr>
          <w:rFonts w:ascii="Times New Roman;serif" w:hAnsi="Times New Roman;serif"/>
          <w:b w:val="false"/>
          <w:color w:val="000000"/>
          <w:sz w:val="24"/>
          <w:u w:val="single"/>
        </w:rPr>
        <w:t>Sections 4.01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4.03</w:t>
      </w:r>
      <w:r>
        <w:rPr>
          <w:rFonts w:ascii="Times New Roman;serif" w:hAnsi="Times New Roman;serif"/>
          <w:b w:val="false"/>
          <w:color w:val="000000"/>
          <w:sz w:val="24"/>
        </w:rPr>
        <w:t xml:space="preserve">) and obligations under this Agreement and the related Transaction Documents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Lender shall have received payment of an amount equal to 100% of the outstanding Capital, accrued interest thereon, accrued fees and all other amounts payable to it hereunder and under the other Transaction Documents from the assignee (to the extent of such outstanding Capital and accrued interest and fees);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(ii)in the case of any such assignment resulting from a claim for compensation under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 such assignment will result in a reduction in such compensation or payments thereafter;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(iii)such assignment does not conflict with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Pledge to a Federal Reserve Bank</w:t>
      </w:r>
      <w:r>
        <w:rPr>
          <w:rFonts w:ascii="Times New Roman;serif" w:hAnsi="Times New Roman;serif"/>
          <w:b w:val="false"/>
          <w:color w:val="000000"/>
          <w:sz w:val="24"/>
        </w:rPr>
        <w:t xml:space="preserve">. Notwithstanding anything to the contrary set forth herein, (i) any Lender, Program Support Provider or any of their respective Affiliates may at any time pledge or grant a security interest in all or any portion of its interest in, to and under this Agreement (including, without limitation, rights to payment of Capital and Interest) and any other Transaction Document to secure its obligations to a Federal Reserve Bank, without notice to or the consent of the Borrower, the Servicer, any Affiliate thereof or any Credit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that no such pledge shall relieve such assignor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Pledge to a Security Trustee</w:t>
      </w:r>
      <w:r>
        <w:rPr>
          <w:rFonts w:ascii="Times New Roman;serif" w:hAnsi="Times New Roman;serif"/>
          <w:b w:val="false"/>
          <w:color w:val="000000"/>
          <w:sz w:val="24"/>
        </w:rPr>
        <w:t xml:space="preserve">. Notwithstanding anything to the contrary set forth herein, (i) any Lender, Program Support Provider or any of their respective Affiliates may at any time pledge or grant a security interest in all or any portion of its interest in, to and under this Agreement (including, without limitation, rights to payment of Capital and Interest) and any other Transaction Document to a security trustee in connection with the funding by such Person of Loans, without notice to or the consent of the Borrower, the Servicer, any Affiliate thereof or any Credit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that no such pledge shall relieve such assignor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13.04.</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xml:space="preserve">. In addition to the rights of indemnification granted under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 xml:space="preserve">hereof, the Borrower agrees to pay on demand all reasonable and documented out-of-pocket costs and expenses in connection with the preparation, negotiation, execution, delivery and administration of this Agreement, any Program Support Agreement (or any supplement or amendment thereof) related to this Agreement and the other Transaction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Documents (together with all amendments, restatements, supplements, consents and waivers, if any, from time to time hereto and thereto), including, without limitation, (i) the reasonable Attorney Costs for the Administrative Agent, the Structuring Agent and the other Credit Parties and any of their respective Affiliates with respect thereto and with respect to advising the Administrative Agent, the Structuring Agent and the other Credit Parties and their respective Affiliates as to their rights and remedies under this Agreement and the other Transaction Documents and (ii) reasonable accountants’, auditors’ and consultants’ fees and expenses for the Administrative Agent, the Structuring Agent and the other Credit Parties and any of their respective Affiliates and the fees and charges of any nationally recognized statistical rating agency incurred in connection with the administration and maintenance of this Agreement or advising the Administrative Agent or any other Credit Party as to their rights and remedies under this Agreement or as to any actual or reasonably claimed breach of this Agreement or any other Transaction Document. In addition, the Borrower agrees to pay on demand all reasonable out-of-pocket costs and expenses (including reasonable Attorney Costs), of the Administrative Agent, the Structuring Agent and the other Credit Parties and their respective Affiliates, incurred in connection with the enforcement of any of their respective rights or remedies under the provisions of this Agreement and the other Transaction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13.05.</w:t>
      </w:r>
      <w:r>
        <w:rPr>
          <w:rFonts w:ascii="Times New Roman;serif" w:hAnsi="Times New Roman;serif"/>
          <w:b w:val="false"/>
          <w:color w:val="000000"/>
          <w:sz w:val="24"/>
          <w:u w:val="single"/>
        </w:rPr>
        <w:t>No Proceedings; Limitation on Payments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Borrower, the Administrative Agent, the Servicer, each Group Agent, each Lender and each assignee of a Loan or any interest agrees that it will not institute against, or join any other Person in instituting against, any Conduit Lender any Insolvency Proceeding so long as any Notes or other senior indebtedness issued by such Conduit Lender shall be outstanding or there shall not have elapsed one year plus one day since the last day on which any such Notes or other senior indebtedness shall have been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the Servicer, each Group Agent, each Lender and each assignee of a Loan or any interest therein, hereby covenants and agrees that it will not institute against, or join any other Person in instituting against, the Borrower any Insolvency Proceeding until one year and one day after the Final Payout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Administrative Agent may take any such action in its sole discretion following the occurrence of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 provisions contained in this Agreement to the contrary, a Conduit Lender shall not, and shall be under no obligation to, pay any amount, if any, payable by it pursuant to this Agreement or any other Transaction Document unless (i) such Conduit Lender has received funds which may be used to make such payment and which funds are not required to repay such Conduit Lender’s Notes when due and (ii) after giving effect to such payment, either (x) such Conduit Lender could issue Notes to refinance all of its outstanding Notes (assuming such outstanding Notes matured at such time) in accordance with the program documents governing such Conduit Lender’s securitization program or (y) all of such Conduit Lender’s Notes are paid in full. Any amount which any Conduit Lender does not pay pursuant to the operation of the preceding sentence shall not constitute a claim (as defined in Section 101 of the Bankruptcy Code) against or company obligation of such Conduit Lender for any such insufficiency unless and until such Conduit Lender satisfies the provisions of </w:t>
      </w:r>
      <w:r>
        <w:rPr>
          <w:rFonts w:ascii="Times New Roman;serif" w:hAnsi="Times New Roman;serif"/>
          <w:b w:val="false"/>
          <w:color w:val="000000"/>
          <w:sz w:val="24"/>
          <w:u w:val="single"/>
        </w:rPr>
        <w:t>clauses (i)</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The provisions of this </w:t>
      </w:r>
      <w:r>
        <w:rPr>
          <w:rFonts w:ascii="Times New Roman;serif" w:hAnsi="Times New Roman;serif"/>
          <w:b w:val="false"/>
          <w:color w:val="000000"/>
          <w:sz w:val="24"/>
          <w:u w:val="single"/>
        </w:rPr>
        <w:t>Section 13.05</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13.06.</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of the Borrower and the Servicer covenants and agrees to hold in confidence, and not disclose to any Person, the terms of this Agreement or any Fee Letter (including any fees payable in connection with this Agreement, such Fee Letter or any other Transaction Document or the identity of the Administrative Agent or any other Credit Party), except as the Administrative Agent and each Group Agent may have consented to in writing prior to any proposed disclosure;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it may disclose such information (i) to its Advisors and Representatives, (ii) to the extent such information has become available to the public other than as a result of a disclosure by or through the Borrower, the Servicer or their Advisors and Representatives or (iii) to the extent it should be (A) required by Applicable Law, or in connection with any legal or regulatory proceeding or (B) requested by any Official Body to disclose such information;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case of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 xml:space="preserve">above, the Borrower and the Servicer will use reasonable efforts to maintain confidentiality and will (unless otherwise prohibited by Applicable Law) notify the Administrative Agent and the affected Credit Party of its intention to make any such disclosure prior to making such disclosure. Each of the Borrower and the Servicer agrees to be responsible for any breach of this </w:t>
      </w:r>
      <w:r>
        <w:rPr>
          <w:rFonts w:ascii="Times New Roman;serif" w:hAnsi="Times New Roman;serif"/>
          <w:b w:val="false"/>
          <w:color w:val="000000"/>
          <w:sz w:val="24"/>
          <w:u w:val="single"/>
        </w:rPr>
        <w:t>Section 13.06</w:t>
      </w:r>
      <w:r>
        <w:rPr>
          <w:color w:val="000000"/>
        </w:rPr>
        <w:t xml:space="preserve"> </w:t>
      </w:r>
      <w:r>
        <w:rPr>
          <w:rFonts w:ascii="Times New Roman;serif" w:hAnsi="Times New Roman;serif"/>
          <w:b w:val="false"/>
          <w:color w:val="000000"/>
          <w:sz w:val="24"/>
        </w:rPr>
        <w:t xml:space="preserve">by its Representatives and Advisors and agrees that its Representatives and Advisors will be advised by it of the confidential nature of such information and shall agree to comply with this Section. Notwithstanding the foregoing, it is expressly agreed that each of the Borrower, the Servicer and their respective Affiliates may publish a press release or otherwise publicly announce the existence and principal amount of the Commitments under this Agreement and the transactions contemplated hereby;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Administrative Agent shall be provided a reasonable opportunity to review such press release or other public announcement prior to its release and provide comment thereon;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no such press release shall name or otherwise identify the Administrative Agent, any other Credit Party or any of their respective Affiliates without such Person’s prior written consent (such consent not to be unreasonably withheld, conditioned or delayed). Notwithstanding the foregoing, the Borrower consents to the publication by the Administrative Agent or any other Credit Party of a tombstone or similar advertising material relating to the financing transactions contemplated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the Administrative Agent and each other Credit Party, severally and with respect to itself only, agrees to hold in confidence, and not disclose to any Person, any confidential and proprietary information concerning the Borrower, the Servicer and their respective Affiliates and their businesses or the terms of this Agreement (including any fees payable in connection with this Agreement or the other Transaction Documents), except as the Borrower or the Servicer may have consented to in writing prior to any proposed disclosure;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or any related Program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Support Provider, (iv) to any nationally recognized statistical rating organization in connection with obtaining or maintaining the rating of any Conduit Lender’s Notes or as contemplated by 17 CFR 240.17g-5(a)(3), (v) at the request of a bank examiner or other regulatory authority or in connection with an examination of any of the Administrative Agent, any Group Agent or any Lender or their respective Affiliates or Program Support Providers or (vi) to the extent it should be (A) required by Applicable Law, or in connection with any legal or regulatory proceeding or (B) requested by any Official Body to disclose such information;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the case of </w:t>
      </w:r>
      <w:r>
        <w:rPr>
          <w:rFonts w:ascii="Times New Roman;serif" w:hAnsi="Times New Roman;serif"/>
          <w:b w:val="false"/>
          <w:color w:val="000000"/>
          <w:sz w:val="24"/>
          <w:u w:val="single"/>
        </w:rPr>
        <w:t>clause (vi)</w:t>
      </w:r>
      <w:r>
        <w:rPr>
          <w:color w:val="000000"/>
        </w:rPr>
        <w:t xml:space="preserve"> </w:t>
      </w:r>
      <w:r>
        <w:rPr>
          <w:rFonts w:ascii="Times New Roman;serif" w:hAnsi="Times New Roman;serif"/>
          <w:b w:val="false"/>
          <w:color w:val="000000"/>
          <w:sz w:val="24"/>
        </w:rPr>
        <w:t xml:space="preserve">above, the Administrative Agent, each Group Agent and each Lender will use reasonable efforts to maintain confidentiality and will (unless otherwise prohibited by Applicable Law) notify the Borrower and the Servicer of its making any such disclosure as promptly as reasonably practicable thereafter. Each of the Administrative Agent, each Group Agent and each Lender, severally and with respect to itself only, agrees to be responsible for any breach of this </w:t>
      </w:r>
      <w:r>
        <w:rPr>
          <w:rFonts w:ascii="Times New Roman;serif" w:hAnsi="Times New Roman;serif"/>
          <w:b w:val="false"/>
          <w:color w:val="000000"/>
          <w:sz w:val="24"/>
          <w:u w:val="single"/>
        </w:rPr>
        <w:t>Section 13.06</w:t>
      </w:r>
      <w:r>
        <w:rPr>
          <w:color w:val="000000"/>
        </w:rPr>
        <w:t xml:space="preserve"> </w:t>
      </w:r>
      <w:r>
        <w:rPr>
          <w:rFonts w:ascii="Times New Roman;serif" w:hAnsi="Times New Roman;serif"/>
          <w:b w:val="false"/>
          <w:color w:val="000000"/>
          <w:sz w:val="24"/>
        </w:rPr>
        <w:t>by its Representatives, Advisors and Program Support Providers and agrees that its Representatives, Advisors and Program Support Providers will be advised by it of the confidential nature of such information and shall agree to comply with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As used in this Section, (i) “</w:t>
      </w:r>
      <w:r>
        <w:rPr>
          <w:rFonts w:ascii="Times New Roman;serif" w:hAnsi="Times New Roman;serif"/>
          <w:b w:val="false"/>
          <w:color w:val="000000"/>
          <w:sz w:val="24"/>
          <w:u w:val="single"/>
        </w:rPr>
        <w:t>Advisors</w:t>
      </w:r>
      <w:r>
        <w:rPr>
          <w:color w:val="000000"/>
        </w:rPr>
        <w:t xml:space="preserve">” </w:t>
      </w:r>
      <w:r>
        <w:rPr>
          <w:rFonts w:ascii="Times New Roman;serif" w:hAnsi="Times New Roman;serif"/>
          <w:b w:val="false"/>
          <w:color w:val="000000"/>
          <w:sz w:val="24"/>
        </w:rPr>
        <w:t>means, with respect to any Person, such Person’s accountants, attorneys and other confidential advisors and (ii) “</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 xml:space="preserve">means, with respect to any Person, such Person’s Affiliates, and its and their Subsidiaries, directors, managers, officers, employees, members, investors, financing sources, insurers, professional advisors, representatives and agents;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Persons shall not be deemed to Representatives of a Person unless (and solely to the extent that) confidential information is furnished to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LENDER IN THE COLLATERAL IS GOVERNED BY THE LAWS OF A JURISDICTION OTHER THAN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13.08.</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xml:space="preserve">. This Agreement may be executed in any number of counterparts, each of which when so executed shall be deemed to be an original and all of which when taken together shall constitute one and the same agreement. Delivery of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 executed counterpart hereof by facsimile or other electronic means shall be equally effective as delivery of an originally executed counterpart.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13.09.</w:t>
      </w:r>
      <w:r>
        <w:rPr>
          <w:rFonts w:ascii="Times New Roman;serif" w:hAnsi="Times New Roman;serif"/>
          <w:b w:val="false"/>
          <w:color w:val="000000"/>
          <w:sz w:val="24"/>
          <w:u w:val="single"/>
        </w:rPr>
        <w:t>Integration; Binding Effect; Survival of Termination</w:t>
      </w:r>
      <w:r>
        <w:rPr>
          <w:rFonts w:ascii="Times New Roman;serif" w:hAnsi="Times New Roman;serif"/>
          <w:b w:val="false"/>
          <w:color w:val="000000"/>
          <w:sz w:val="24"/>
        </w:rPr>
        <w:t xml:space="preserve">.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provisions of </w:t>
      </w:r>
      <w:r>
        <w:rPr>
          <w:rFonts w:ascii="Times New Roman;serif" w:hAnsi="Times New Roman;serif"/>
          <w:b w:val="false"/>
          <w:color w:val="000000"/>
          <w:sz w:val="24"/>
          <w:u w:val="single"/>
        </w:rPr>
        <w:t>Sections 4.01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13.04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13.05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13.06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13.09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13.11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13.13</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13.10.</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PARTY HERETO HEREBY IRREVOCABLY SUBMITS TO (I) WITH RESPECT TO THE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AGREEMENT OR ANY OTHER TRANSACTION DOCUMENT, AND EACH PARTY HERETO HEREBY IRREVOCABLY AGREES THAT ALL CLAIMS IN RESPECT OF SUCH ACTION OR PROCEEDING (I) IF BROUGHT BY THE BORROWER, THE SERVICER OR ANY AFFILIATE THEREOF, SHALL BE HEARD AND DETERMINED, AND (II) IF BROUGHT BY ANY OTHER PARTY TO THIS AGREEMENT OR ANY OTHER TRANSACTION DOCUMENT, MAY BE HEARD AND DETERMINED, IN EACH CASE, IN SUCH NEW YORK STATE COURT OR, TO THE EXTENT PERMITTED BY LAW, IN SUCH FEDERAL COURT. NOTHING IN THIS </w:t>
      </w:r>
      <w:r>
        <w:rPr>
          <w:rFonts w:ascii="Times New Roman;serif" w:hAnsi="Times New Roman;serif"/>
          <w:b w:val="false"/>
          <w:color w:val="000000"/>
          <w:sz w:val="24"/>
          <w:u w:val="single"/>
        </w:rPr>
        <w:t>SECTION 13.10</w:t>
      </w:r>
      <w:r>
        <w:rPr>
          <w:color w:val="000000"/>
        </w:rPr>
        <w:t xml:space="preserve"> </w:t>
      </w:r>
      <w:r>
        <w:rPr>
          <w:rFonts w:ascii="Times New Roman;serif" w:hAnsi="Times New Roman;serif"/>
          <w:b w:val="false"/>
          <w:color w:val="000000"/>
          <w:sz w:val="24"/>
        </w:rPr>
        <w:t>SHALL AFFECT THE RIGHT OF THE ADMINISTRATIVE AGENT OR ANY OTHER CREDIT PARTY TO BRING ANY ACTION OR PROCEEDING AGAINST THE BORROWER OR THE SERVICER OR ANY OF THEIR RESPECTIVE PROPERTY IN THE COURTS OF OTHER JURISDICTIONS. EACH OF THE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 xml:space="preserve">EACH OF THE BORROWER AND THE SERVICER CONSENTS TO THE SERVICE OF ANY AND ALL PROCESS IN ANY SUCH ACTION OR PROCEEDING BY THE MAILING OF COPIES OF SUCH PROCESS TO IT AT ITS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 xml:space="preserve">ADDRESS SPECIFIED IN </w:t>
      </w:r>
      <w:r>
        <w:rPr>
          <w:rFonts w:ascii="Times New Roman;serif" w:hAnsi="Times New Roman;serif"/>
          <w:b/>
          <w:color w:val="000000"/>
          <w:sz w:val="24"/>
          <w:u w:val="single"/>
        </w:rPr>
        <w:t>SECTION 13.02</w:t>
      </w:r>
      <w:r>
        <w:rPr>
          <w:rFonts w:ascii="Times New Roman;serif" w:hAnsi="Times New Roman;serif"/>
          <w:b/>
          <w:color w:val="000000"/>
          <w:sz w:val="24"/>
        </w:rPr>
        <w:t xml:space="preserve">. NOTHING IN THIS </w:t>
      </w:r>
      <w:r>
        <w:rPr>
          <w:rFonts w:ascii="Times New Roman;serif" w:hAnsi="Times New Roman;serif"/>
          <w:b/>
          <w:color w:val="000000"/>
          <w:sz w:val="24"/>
          <w:u w:val="single"/>
        </w:rPr>
        <w:t>SECTION 13.10</w:t>
      </w:r>
      <w:r>
        <w:rPr>
          <w:color w:val="000000"/>
        </w:rPr>
        <w:t xml:space="preserve"> </w:t>
      </w:r>
      <w:r>
        <w:rPr>
          <w:rFonts w:ascii="Times New Roman;serif" w:hAnsi="Times New Roman;serif"/>
          <w:b/>
          <w:color w:val="000000"/>
          <w:sz w:val="24"/>
        </w:rPr>
        <w:t>SHALL AFFECT THE RIGHT OF THE ADMINISTRATIVE AGENT OR ANY OTHER CREDIT PARTY TO SERVE LEGAL PROCESS IN ANY OTHER MANNER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13.11.</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13.12.</w:t>
      </w:r>
      <w:r>
        <w:rPr>
          <w:rFonts w:ascii="Times New Roman;serif" w:hAnsi="Times New Roman;serif"/>
          <w:b w:val="false"/>
          <w:color w:val="000000"/>
          <w:sz w:val="24"/>
          <w:u w:val="single"/>
        </w:rPr>
        <w:t>Ratable Payments</w:t>
      </w:r>
      <w:r>
        <w:rPr>
          <w:rFonts w:ascii="Times New Roman;serif" w:hAnsi="Times New Roman;serif"/>
          <w:b w:val="false"/>
          <w:color w:val="000000"/>
          <w:sz w:val="24"/>
        </w:rPr>
        <w:t xml:space="preserve">. If any Credit Party, whether by setoff or otherwise, has payment made to it with respect to any Borrower Obligations in a greater proportion than that received by any other Credit Party entitled to receive a ratable share of such Borrower Obligations, such Credit Party agrees, promptly upon demand, to purchase for cash without recourse or warranty a portion of such Borrower Obligations held by the other Credit Parties so that after such purchase each Credit Party will hold its ratable proportion of such Borrower Obligations;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all or any portion of such excess amount is thereafter recovered from such Credit Party, such purchase shall be rescinded and the purchase price restored to the extent of such recovery, but without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13.13.</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 claim may be made by the Borrower or any Affiliate thereof or any other Person against any Credit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Borrower and the Servicer hereby waives, releases, and agrees not to sue upon any claim for any such damages, whether or not accrued and whether or not known or suspected to exist in its favor. None of the Credit Parties and their respective Affiliates shall have any liability to the Borrower or any Affiliate thereof or any other Person asserting claims on behalf of or in right of the Borrower or any Affiliate thereof in connection with or as a result of this Agreement or any other Transaction Document or the transactions contemplated hereby or thereby, except to the extent that any losses, claims, damages, liabilities or expenses incurred by the Borrower or any Affiliate thereof result from the breach of contract, gross negligence or willful misconduct of such Credit Party in performing its duties and obligations hereunder and under the other Transaction Documents to which it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obligations of the Administrative Agent and each of the other Credit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13.14.</w:t>
      </w:r>
      <w:r>
        <w:rPr>
          <w:rFonts w:ascii="Times New Roman;serif" w:hAnsi="Times New Roman;serif"/>
          <w:b w:val="false"/>
          <w:color w:val="000000"/>
          <w:sz w:val="24"/>
          <w:u w:val="single"/>
        </w:rPr>
        <w:t>Intent of the Parties</w:t>
      </w:r>
      <w:r>
        <w:rPr>
          <w:rFonts w:ascii="Times New Roman;serif" w:hAnsi="Times New Roman;serif"/>
          <w:b w:val="false"/>
          <w:color w:val="000000"/>
          <w:sz w:val="24"/>
        </w:rPr>
        <w:t>. The Borrower has structured this Agreement with the intention that the Loans and the obligations of the Borrower hereunder will be treated under United States federal, and applicable state, local and foreign tax law as debt (the “</w:t>
      </w:r>
      <w:r>
        <w:rPr>
          <w:rFonts w:ascii="Times New Roman;serif" w:hAnsi="Times New Roman;serif"/>
          <w:b w:val="false"/>
          <w:color w:val="000000"/>
          <w:sz w:val="24"/>
          <w:u w:val="single"/>
        </w:rPr>
        <w:t>Intended Tax Treatment</w:t>
      </w:r>
      <w:r>
        <w:rPr>
          <w:color w:val="000000"/>
        </w:rPr>
        <w:t>”</w:t>
      </w:r>
      <w:r>
        <w:rPr>
          <w:rFonts w:ascii="Times New Roman;serif" w:hAnsi="Times New Roman;serif"/>
          <w:b w:val="false"/>
          <w:color w:val="000000"/>
          <w:sz w:val="24"/>
        </w:rPr>
        <w:t>). The Borrower, the Servicer, the Administrative Agent and the other Credit Parties agree to file no tax return, or take any action, inconsistent with the Intended Tax Treatment unless required by law. Each assignee and each Participant acquiring an interest in a Credit Extension, by its acceptance of such assignment or participation, agrees to comply with the immediately preceding sentence.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13.15.</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of the Administrative Agent and each of the other Credit Parties hereby notifies the Borrower and the Servicer that pursuant to the requirements of the USA PATRIOT Act, Title III of Pub. L. 107-56 (signed into law October 26, 2001) (the “</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the Administrative Agent and the other Credit Parties may be required to obtain, verify and record information that identifies any Integra Party, which information includes the name, address, tax identification number and other information regarding any Integra Party that will allow the Administrative Agent and the other Credit Parties to identify such Integra Party in accordance with the PATRIOT Act. This notice is given in accordance with the requirements of the PATRIOT Act. Each of the Borrower and the Servicer agrees to provide the Administrative Agent and each other Credit Parties such information and documentation as may reasonably be requested by the Administrative Agent or any Credit Party, from time to time, for purposes of compliance by the Administrative Agent or such Credit Party with Applicable Laws (including without limitation the PATRIOT Act and other “know your customer” and anti-money laundering rules and regulations) and any policy or procedure implemented by the Administrative Agent or such Credit Party to comply therewith.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13.16.</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Each Credit Party is hereby authorized (in addition to any other rights it may have), at any time during the continuance of an Event of Default, to setoff, appropriate and apply (without presentment, demand, protest or other notice which are hereby expressly waived) any deposits and any other indebtedness held or owing by such Credit Party (including by any branches or agencies of such Credit Party) to, or for the account of, the Borrower or the Servicer against amounts owing by the Borrower or the Servicer hereunder (even if contingent or unmatured);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Credit Party shall notify the Borrower or the Servicer, as applicable, promptly following such setoff.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13.17.</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13.18.</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xml:space="preserve">.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 such inconsistency or ambiguity shall not be interpreted against any party because of such party’s involvement in the drafting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13.19.</w:t>
      </w:r>
      <w:r>
        <w:rPr>
          <w:rFonts w:ascii="Times New Roman;serif" w:hAnsi="Times New Roman;serif"/>
          <w:b w:val="false"/>
          <w:color w:val="000000"/>
          <w:sz w:val="24"/>
          <w:u w:val="single"/>
        </w:rPr>
        <w:t>Captions and Cross References</w:t>
      </w:r>
      <w:r>
        <w:rPr>
          <w:rFonts w:ascii="Times New Roman;serif" w:hAnsi="Times New Roman;serif"/>
          <w:b w:val="false"/>
          <w:color w:val="000000"/>
          <w:sz w:val="24"/>
        </w:rPr>
        <w:t>.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 Pages Follow]</w:t>
      </w:r>
    </w:p>
    <w:p>
      <w:pPr>
        <w:pStyle w:val="TextBody"/>
        <w:bidi w:val="0"/>
        <w:spacing w:before="0" w:after="9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lineRule="auto" w:line="288" w:before="0" w:after="0"/>
        <w:jc w:val="both"/>
        <w:rPr/>
      </w:pPr>
      <w:r>
        <w:rPr>
          <w:rFonts w:ascii="Times New Roman;serif" w:hAnsi="Times New Roman;serif"/>
          <w:b/>
          <w:color w:val="000000"/>
          <w:sz w:val="24"/>
        </w:rPr>
        <w:t>INTEGRA RECEIVABLES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Borrower</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0"/>
        <w:jc w:val="both"/>
        <w:rPr/>
      </w:pPr>
      <w:r>
        <w:rPr>
          <w:rFonts w:ascii="Times New Roman;serif" w:hAnsi="Times New Roman;serif"/>
          <w:b/>
          <w:color w:val="000000"/>
          <w:sz w:val="24"/>
        </w:rPr>
        <w:t>INTEGRA LIFESCIENCES SALES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 xml:space="preserve">as the Servicer </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36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before="0" w:after="600"/>
        <w:jc w:val="both"/>
        <w:rPr/>
      </w:pPr>
      <w:r>
        <w:rPr/>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29920"/>
                <wp:effectExtent l="0" t="0" r="0" b="0"/>
                <wp:wrapNone/>
                <wp:docPr id="192" name="Frame1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Administrative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Group Agent for the PNC Group</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 Committed Lender</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29920"/>
                <wp:effectExtent l="0" t="0" r="0" b="0"/>
                <wp:wrapNone/>
                <wp:docPr id="193" name="Frame1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ACCEPTED AND ACKNOWLEDGED SOLELY WITH RESPECT TO SECTION 10.10 HEREOF:</w:t>
      </w:r>
    </w:p>
    <w:p>
      <w:pPr>
        <w:pStyle w:val="TextBody"/>
        <w:bidi w:val="0"/>
        <w:spacing w:lineRule="auto" w:line="288" w:before="0" w:after="0"/>
        <w:jc w:val="left"/>
        <w:rPr/>
      </w:pPr>
      <w:r>
        <w:rPr>
          <w:rFonts w:ascii="Times New Roman;serif" w:hAnsi="Times New Roman;serif"/>
          <w:b/>
          <w:color w:val="000000"/>
          <w:sz w:val="24"/>
        </w:rPr>
        <w:t>PNC CAPITAL MARKETS LLC</w:t>
      </w:r>
      <w:r>
        <w:rPr>
          <w:rFonts w:ascii="Times New Roman;serif" w:hAnsi="Times New Roman;serif"/>
          <w:b w:val="false"/>
          <w:color w:val="000000"/>
          <w:sz w:val="24"/>
        </w:rPr>
        <w:t>,</w:t>
      </w:r>
    </w:p>
    <w:p>
      <w:pPr>
        <w:pStyle w:val="TextBody"/>
        <w:bidi w:val="0"/>
        <w:spacing w:lineRule="auto" w:line="288" w:before="0" w:after="600"/>
        <w:jc w:val="left"/>
        <w:rPr>
          <w:rFonts w:ascii="Times New Roman;serif" w:hAnsi="Times New Roman;serif"/>
          <w:b w:val="false"/>
          <w:color w:val="000000"/>
          <w:sz w:val="24"/>
        </w:rPr>
      </w:pPr>
      <w:r>
        <w:rPr>
          <w:rFonts w:ascii="Times New Roman;serif" w:hAnsi="Times New Roman;serif"/>
          <w:b w:val="false"/>
          <w:color w:val="000000"/>
          <w:sz w:val="24"/>
        </w:rPr>
        <w:t>as the Structuring Agent</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rPr>
        <w:br/>
        <w:t xml:space="preserve">Name: </w:t>
      </w:r>
      <w:r>
        <w:rPr>
          <w:color w:val="000000"/>
          <w:u w:val="single"/>
        </w:rPr>
        <w:t>                    </w:t>
      </w:r>
      <w:r>
        <w:rPr>
          <w:rFonts w:ascii="Times New Roman;serif" w:hAnsi="Times New Roman;serif"/>
          <w:b w:val="false"/>
          <w:color w:val="000000"/>
          <w:sz w:val="24"/>
        </w:rPr>
        <w:br/>
        <w:t xml:space="preserve">Title: </w:t>
      </w:r>
      <w:r>
        <w:rPr>
          <w:color w:val="000000"/>
          <w:u w:val="single"/>
        </w:rPr>
        <w:t>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29920"/>
                <wp:effectExtent l="0" t="0" r="0" b="0"/>
                <wp:wrapNone/>
                <wp:docPr id="194" name="Frame1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29920"/>
                <wp:effectExtent l="0" t="0" r="0" b="0"/>
                <wp:wrapNone/>
                <wp:docPr id="195" name="Frame1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Financing Agreement (Integra)</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Loan Request</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29920"/>
                <wp:effectExtent l="0" t="0" r="0" b="0"/>
                <wp:wrapNone/>
                <wp:docPr id="196" name="Frame1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43" w:type="dxa"/>
                              <w:jc w:val="left"/>
                              <w:tblInd w:w="0" w:type="dxa"/>
                              <w:tblLayout w:type="fixed"/>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43" w:type="dxa"/>
                        <w:jc w:val="left"/>
                        <w:tblInd w:w="0" w:type="dxa"/>
                        <w:tblLayout w:type="fixed"/>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Reduction Notice</w:t>
      </w:r>
    </w:p>
    <w:p>
      <w:pPr>
        <w:pStyle w:val="TextBody"/>
        <w:bidi w:val="0"/>
        <w:spacing w:lineRule="auto" w:line="288" w:before="0" w:after="144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1200"/>
        <w:jc w:val="left"/>
        <w:rPr/>
      </w:pPr>
      <w:r>
        <w:rPr/>
      </w:r>
    </w:p>
    <w:p>
      <w:pPr>
        <w:pStyle w:val="TextBody"/>
        <w:bidi w:val="0"/>
        <w:spacing w:before="0" w:after="1200"/>
        <w:ind w:left="0" w:right="0" w:firstLine="484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Assignment and Acceptance Agreement</w:t>
      </w:r>
    </w:p>
    <w:p>
      <w:pPr>
        <w:pStyle w:val="TextBody"/>
        <w:bidi w:val="0"/>
        <w:spacing w:lineRule="auto" w:line="288" w:before="0" w:after="60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Assumption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9"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Credit and Collection Procedures</w:t>
      </w:r>
    </w:p>
    <w:p>
      <w:pPr>
        <w:pStyle w:val="TextBody"/>
        <w:bidi w:val="0"/>
        <w:spacing w:lineRule="auto" w:line="288" w:before="0" w:after="36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200"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Information Package</w:t>
      </w:r>
    </w:p>
    <w:p>
      <w:pPr>
        <w:pStyle w:val="TextBody"/>
        <w:bidi w:val="0"/>
        <w:spacing w:lineRule="auto" w:line="288" w:before="0" w:after="48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Compliance Certificate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I TO COMPLIANCE CERTIFICATE</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14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H</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Closing Memorandum</w:t>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H-1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H-1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Form of Interim Report</w:t>
      </w:r>
    </w:p>
    <w:p>
      <w:pPr>
        <w:pStyle w:val="TextBody"/>
        <w:bidi w:val="0"/>
        <w:spacing w:lineRule="auto" w:line="288" w:before="0" w:after="48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960"/>
        <w:jc w:val="center"/>
        <w:rPr/>
      </w:pPr>
      <w:r>
        <w:rPr/>
      </w:r>
    </w:p>
    <w:p>
      <w:pPr>
        <w:pStyle w:val="TextBody"/>
        <w:bidi w:val="0"/>
        <w:spacing w:before="0" w:after="9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Commitments</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Lock-Boxes, Collection Accounts and Collection Account Banks</w:t>
      </w:r>
    </w:p>
    <w:p>
      <w:pPr>
        <w:pStyle w:val="TextBody"/>
        <w:bidi w:val="0"/>
        <w:spacing w:lineRule="auto" w:line="288" w:before="0" w:after="36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III</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Notice Addresses</w:t>
      </w:r>
    </w:p>
    <w:p>
      <w:pPr>
        <w:pStyle w:val="TextBody"/>
        <w:bidi w:val="0"/>
        <w:spacing w:lineRule="auto" w:line="288" w:before="0" w:after="0"/>
        <w:jc w:val="both"/>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IV</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Excluded Obligors and Originators</w:t>
      </w:r>
    </w:p>
    <w:p>
      <w:pPr>
        <w:pStyle w:val="TextBody"/>
        <w:bidi w:val="0"/>
        <w:spacing w:before="0" w:after="360"/>
        <w:jc w:val="left"/>
        <w:rPr/>
      </w:pPr>
      <w:r>
        <w:rPr/>
      </w:r>
    </w:p>
    <w:p>
      <w:pPr>
        <w:pStyle w:val="TextBody"/>
        <w:bidi w:val="0"/>
        <w:spacing w:lineRule="auto" w:line="288" w:before="0" w:after="36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IART-2026.03.31-EX-10.4</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IV-1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348.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IV-1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AMENDMENT NO. 1 TO PURCHASE AND SALE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1 TO PURCHASE AND SALE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April 10, 2026, is entered into by and among INTEGRA RECEIVABLES LLC (“</w:t>
      </w:r>
      <w:r>
        <w:rPr>
          <w:rFonts w:ascii="Times New Roman;serif" w:hAnsi="Times New Roman;serif"/>
          <w:b w:val="false"/>
          <w:color w:val="000000"/>
          <w:sz w:val="24"/>
          <w:u w:val="single"/>
        </w:rPr>
        <w:t>Integra</w:t>
      </w:r>
      <w:r>
        <w:rPr>
          <w:color w:val="000000"/>
        </w:rPr>
        <w:t>”</w:t>
      </w:r>
      <w:r>
        <w:rPr>
          <w:rFonts w:ascii="Times New Roman;serif" w:hAnsi="Times New Roman;serif"/>
          <w:b w:val="false"/>
          <w:color w:val="000000"/>
          <w:sz w:val="24"/>
        </w:rPr>
        <w:t>), as buyer under the Purchase and Sale Agreement (as defined below) (in such capacity, together with its successors and permitted assigns in such capacity, 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INTEGRA LIFESCIENCES SALES LLC, as initial servicer under the Purchase and Sale Agreement (in such capacity, together with its successors and permitted assigns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and as an originator under the Purchase and Sale Agreement (in such capacity, together with its successors and permitted assigns in such capacity, an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INTEGRA LIFESCIENCES CORPORATION, as an originator under the Purchase and Sale Agreement (in such capacity, together with its successors and permitted assigns in such capacity, an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and acknowledged and agreed to by PNC BANK, NATIONAL ASSOCIATION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 as administrative agent under the Receivables Financing Agreement (as defined below) (in such capacity, together with its successors and permitted assigns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Integra, as borrower (in such capacity, together with its successors and permitted assigns in such capacity,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Servicer, the Persons from time to time party thereto as Lenders and as Group Agents, the Administrative Agent, and, solely with respect to Section 10.10 thereof, the Structuring Agent, entered into the Receivables Financing Agreement as of December 21, 2018 (as amended, restated, supplemented or otherwise modified from time to time prior to the date hereof, the “</w:t>
      </w:r>
      <w:r>
        <w:rPr>
          <w:rFonts w:ascii="Times New Roman;serif" w:hAnsi="Times New Roman;serif"/>
          <w:b w:val="false"/>
          <w:color w:val="000000"/>
          <w:sz w:val="24"/>
          <w:u w:val="single"/>
        </w:rPr>
        <w:t>Receivables Financing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Buyer, the Servicer and the Originators entered into the Purchase and Sale Agreement as of December 21, 2018 (the “</w:t>
      </w:r>
      <w:r>
        <w:rPr>
          <w:rFonts w:ascii="Times New Roman;serif" w:hAnsi="Times New Roman;serif"/>
          <w:b w:val="false"/>
          <w:color w:val="000000"/>
          <w:sz w:val="24"/>
          <w:u w:val="single"/>
        </w:rPr>
        <w:t>Original Purchase and Sale Agreement</w:t>
      </w:r>
      <w:r>
        <w:rPr>
          <w:color w:val="000000"/>
        </w:rPr>
        <w:t>”</w:t>
      </w:r>
      <w:r>
        <w:rPr>
          <w:rFonts w:ascii="Times New Roman;serif" w:hAnsi="Times New Roman;serif"/>
          <w:b w:val="false"/>
          <w:color w:val="000000"/>
          <w:sz w:val="24"/>
        </w:rPr>
        <w:t>, and as amended hereby and as may be further amended, restated, supplemented or otherwise modified from time to time, the “</w:t>
      </w:r>
      <w:r>
        <w:rPr>
          <w:rFonts w:ascii="Times New Roman;serif" w:hAnsi="Times New Roman;serif"/>
          <w:b w:val="false"/>
          <w:color w:val="000000"/>
          <w:sz w:val="24"/>
          <w:u w:val="single"/>
        </w:rPr>
        <w:t>Purchase and Sale Agreement</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hereto wish to amend the Original Purchase and Sale Agreement pursuant to the terms and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which are hereby acknowledged, the parties hereto hereby agree as follows:</w:t>
      </w:r>
    </w:p>
    <w:p>
      <w:pPr>
        <w:pStyle w:val="TextBody"/>
        <w:bidi w:val="0"/>
        <w:spacing w:lineRule="auto" w:line="288" w:before="0" w:after="240"/>
        <w:ind w:left="0" w:right="0" w:firstLine="720"/>
        <w:jc w:val="both"/>
        <w:rPr/>
      </w:pPr>
      <w:bookmarkStart w:id="1" w:name="i1d77634d075f42c5a9ba34c90db2bf83"/>
      <w:bookmarkEnd w:id="1"/>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in this Amendment shall have the meanings assigned to them in the Original Purchase and Sale Agreement.</w:t>
      </w:r>
    </w:p>
    <w:p>
      <w:pPr>
        <w:pStyle w:val="TextBody"/>
        <w:bidi w:val="0"/>
        <w:spacing w:lineRule="auto" w:line="288" w:before="0" w:after="240"/>
        <w:ind w:left="0" w:right="0" w:firstLine="720"/>
        <w:jc w:val="both"/>
        <w:rPr/>
      </w:pPr>
      <w:bookmarkStart w:id="2" w:name="i774d2b8dc8294648b079478b0477f269"/>
      <w:bookmarkEnd w:id="2"/>
      <w:r>
        <w:rPr>
          <w:rFonts w:ascii="Times New Roman;serif" w:hAnsi="Times New Roman;serif"/>
          <w:b w:val="false"/>
          <w:color w:val="000000"/>
          <w:sz w:val="24"/>
        </w:rPr>
        <w:t>SECTION 2.</w:t>
      </w:r>
      <w:r>
        <w:rPr>
          <w:rFonts w:ascii="Times New Roman;serif" w:hAnsi="Times New Roman;serif"/>
          <w:b w:val="false"/>
          <w:color w:val="000000"/>
          <w:sz w:val="24"/>
          <w:u w:val="single"/>
        </w:rPr>
        <w:t>Amendments to Original Purchase and Sale Agreement</w:t>
      </w:r>
      <w:r>
        <w:rPr>
          <w:rFonts w:ascii="Times New Roman;serif" w:hAnsi="Times New Roman;serif"/>
          <w:b w:val="false"/>
          <w:color w:val="000000"/>
          <w:sz w:val="24"/>
        </w:rPr>
        <w:t xml:space="preserve">. Effective as of the date hereof and subject to the satisfaction of the conditions precedent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hereof, the Original Purchase and Sale Agreement is hereby amended to add or delete such text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may be necessary to conform the Original Purchase and Sale Agreement to the agreement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3" w:name="ib8f0e7a83dcd41bc81cd4fc6dcbe9a16"/>
      <w:bookmarkEnd w:id="3"/>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Warranties and Enforceability</w:t>
      </w:r>
      <w:r>
        <w:rPr>
          <w:rFonts w:ascii="Times New Roman;serif" w:hAnsi="Times New Roman;serif"/>
          <w:b w:val="false"/>
          <w:color w:val="000000"/>
          <w:sz w:val="24"/>
        </w:rPr>
        <w:t>. Each of the Originators hereby represents and warrants to the Buyer as of the date hereof with respect to itself, as follows:</w:t>
      </w:r>
    </w:p>
    <w:p>
      <w:pPr>
        <w:pStyle w:val="TextBody"/>
        <w:bidi w:val="0"/>
        <w:spacing w:lineRule="auto" w:line="288" w:before="0" w:after="240"/>
        <w:ind w:left="0" w:right="0" w:firstLine="720"/>
        <w:jc w:val="both"/>
        <w:rPr/>
      </w:pPr>
      <w:bookmarkStart w:id="4" w:name="i8639fac8ac344bc4a625ae48405953d2"/>
      <w:bookmarkEnd w:id="4"/>
      <w:r>
        <w:rPr>
          <w:rFonts w:ascii="Times New Roman;serif" w:hAnsi="Times New Roman;serif"/>
          <w:b w:val="false"/>
          <w:color w:val="000000"/>
          <w:sz w:val="24"/>
        </w:rPr>
        <w:t>(a)</w:t>
      </w:r>
      <w:r>
        <w:rPr>
          <w:rFonts w:ascii="Times New Roman;serif" w:hAnsi="Times New Roman;serif"/>
          <w:b w:val="false"/>
          <w:color w:val="000000"/>
          <w:sz w:val="24"/>
        </w:rPr>
        <w:t>the representations and warranties of it contained in Article V of the Purchase and Sale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pStyle w:val="TextBody"/>
        <w:bidi w:val="0"/>
        <w:spacing w:lineRule="auto" w:line="288" w:before="0" w:after="240"/>
        <w:ind w:left="0" w:right="0" w:firstLine="720"/>
        <w:jc w:val="both"/>
        <w:rPr/>
      </w:pPr>
      <w:bookmarkStart w:id="5" w:name="i7e93355a3b60498187f7e9c22f7b2544"/>
      <w:bookmarkEnd w:id="5"/>
      <w:r>
        <w:rPr>
          <w:rFonts w:ascii="Times New Roman;serif" w:hAnsi="Times New Roman;serif"/>
          <w:b w:val="false"/>
          <w:color w:val="000000"/>
          <w:sz w:val="24"/>
        </w:rPr>
        <w:t>(b)</w:t>
      </w:r>
      <w:r>
        <w:rPr>
          <w:rFonts w:ascii="Times New Roman;serif" w:hAnsi="Times New Roman;serif"/>
          <w:b w:val="false"/>
          <w:color w:val="000000"/>
          <w:sz w:val="24"/>
        </w:rPr>
        <w:t>(i) the execution and delivery by it of this Amendment, and the performance of its obligations under this Amendment and the Purchase and Sale Agreement are within its organizational powers and have been duly authorized by all necessary action on its part and (ii) this Amendment and the Purchase and Sale Agreement are its valid and legally binding obligations, enforceable in accordance with their respective terms.</w:t>
      </w:r>
    </w:p>
    <w:p>
      <w:pPr>
        <w:pStyle w:val="TextBody"/>
        <w:bidi w:val="0"/>
        <w:spacing w:lineRule="auto" w:line="288" w:before="0" w:after="240"/>
        <w:ind w:left="0" w:right="0" w:firstLine="720"/>
        <w:jc w:val="both"/>
        <w:rPr/>
      </w:pPr>
      <w:bookmarkStart w:id="6" w:name="ia8a3cf42313745e5b87759701df7c606"/>
      <w:bookmarkEnd w:id="6"/>
      <w:r>
        <w:rPr>
          <w:rFonts w:ascii="Times New Roman;serif" w:hAnsi="Times New Roman;serif"/>
          <w:b w:val="false"/>
          <w:color w:val="000000"/>
          <w:sz w:val="24"/>
        </w:rPr>
        <w:t>SECTION 4.</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The effectiveness of this Amendment is subject to the satisfaction of all of the following conditions precedent:</w:t>
      </w:r>
    </w:p>
    <w:p>
      <w:pPr>
        <w:pStyle w:val="TextBody"/>
        <w:bidi w:val="0"/>
        <w:spacing w:lineRule="auto" w:line="288" w:before="0" w:after="240"/>
        <w:ind w:left="0" w:right="0" w:firstLine="720"/>
        <w:jc w:val="both"/>
        <w:rPr/>
      </w:pPr>
      <w:bookmarkStart w:id="7" w:name="i7f0d9f57875e4b1aa9fc3ca2eee4739b"/>
      <w:bookmarkEnd w:id="7"/>
      <w:r>
        <w:rPr>
          <w:rFonts w:ascii="Times New Roman;serif" w:hAnsi="Times New Roman;serif"/>
          <w:b w:val="false"/>
          <w:color w:val="000000"/>
          <w:sz w:val="24"/>
        </w:rPr>
        <w:t>(a)</w:t>
      </w:r>
      <w:r>
        <w:rPr>
          <w:rFonts w:ascii="Times New Roman;serif" w:hAnsi="Times New Roman;serif"/>
          <w:b w:val="false"/>
          <w:color w:val="000000"/>
          <w:sz w:val="24"/>
        </w:rPr>
        <w:t>The Administrative Agent shall have received fully executed counterparts of this Amendment and other deliverables listed on the closing memorandum attached as Exhibit B to the Amendment No. 8 to Receivables Financing Agreement, dated as of April [3], 2026, among the Borrower, the Servicer, the Lenders, the Group Agents and the Administrative Agent, in each case, in form and substance acceptable to the Administrative Agent (collectively, the “</w:t>
      </w:r>
      <w:r>
        <w:rPr>
          <w:rFonts w:ascii="Times New Roman;serif" w:hAnsi="Times New Roman;serif"/>
          <w:b w:val="false"/>
          <w:color w:val="000000"/>
          <w:sz w:val="24"/>
          <w:u w:val="single"/>
        </w:rPr>
        <w:t>Amendment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8" w:name="i5f4f033b63434ec6ac41cd97cabfd5d0"/>
      <w:bookmarkEnd w:id="8"/>
      <w:r>
        <w:rPr>
          <w:rFonts w:ascii="Times New Roman;serif" w:hAnsi="Times New Roman;serif"/>
          <w:b w:val="false"/>
          <w:color w:val="000000"/>
          <w:sz w:val="24"/>
        </w:rPr>
        <w:t>(b)</w:t>
      </w:r>
      <w:r>
        <w:rPr>
          <w:rFonts w:ascii="Times New Roman;serif" w:hAnsi="Times New Roman;serif"/>
          <w:b w:val="false"/>
          <w:color w:val="000000"/>
          <w:sz w:val="24"/>
        </w:rPr>
        <w:t>(i) The Administrative Agent, the Lenders and the Group Agents (or the Structuring Agent on behalf of PNC, if applicable), in each case, shall have received all fees and other amounts due and payable to it under the Transaction Documents and in connection with the Amendment Documents on or prior to the date hereof, including, to the extent invoiced, payment or reimbursement of all fees and expenses (including reasonable and documented out-of-pocket fees, charges and disbursements of counsel) required to be paid or reimbursed on or prior to the date hereof. To the extent such fees and other amounts have not yet been invoiced, the Buyer agrees to remit payment to the applicable party promptly upon receipt of such invoice.</w:t>
      </w:r>
    </w:p>
    <w:p>
      <w:pPr>
        <w:pStyle w:val="TextBody"/>
        <w:bidi w:val="0"/>
        <w:spacing w:lineRule="auto" w:line="288" w:before="0" w:after="240"/>
        <w:ind w:left="0" w:right="0" w:firstLine="720"/>
        <w:jc w:val="both"/>
        <w:rPr/>
      </w:pPr>
      <w:bookmarkStart w:id="9" w:name="i89b11b3fda3a4a0fb28b6a508f1b5209"/>
      <w:bookmarkEnd w:id="9"/>
      <w:r>
        <w:rPr>
          <w:rFonts w:ascii="Times New Roman;serif" w:hAnsi="Times New Roman;serif"/>
          <w:b w:val="false"/>
          <w:color w:val="000000"/>
          <w:sz w:val="24"/>
        </w:rPr>
        <w:t>(c)</w:t>
      </w:r>
      <w:r>
        <w:rPr>
          <w:rFonts w:ascii="Times New Roman;serif" w:hAnsi="Times New Roman;serif"/>
          <w:b w:val="false"/>
          <w:color w:val="000000"/>
          <w:sz w:val="24"/>
        </w:rPr>
        <w:t>No Purchase and Sale Termination Event or Unmatured Purchase and Sale Termination Event, as set forth in Section 8.1 of the Purchase and Sale Agreement, shall have occurred and be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0" w:name="idbf89cb56c7f45b3816a4bde15875c55"/>
      <w:bookmarkEnd w:id="10"/>
      <w:r>
        <w:rPr>
          <w:rFonts w:ascii="Times New Roman;serif" w:hAnsi="Times New Roman;serif"/>
          <w:b w:val="false"/>
          <w:color w:val="000000"/>
          <w:sz w:val="24"/>
        </w:rPr>
        <w:t>SECTION 5.</w:t>
      </w:r>
      <w:r>
        <w:rPr>
          <w:rFonts w:ascii="Times New Roman;serif" w:hAnsi="Times New Roman;serif"/>
          <w:b w:val="false"/>
          <w:color w:val="000000"/>
          <w:sz w:val="24"/>
          <w:u w:val="single"/>
        </w:rPr>
        <w:t>Amendment</w:t>
      </w:r>
      <w:r>
        <w:rPr>
          <w:rFonts w:ascii="Times New Roman;serif" w:hAnsi="Times New Roman;serif"/>
          <w:b w:val="false"/>
          <w:color w:val="000000"/>
          <w:sz w:val="24"/>
        </w:rPr>
        <w:t>. The Buyer, the Servicer and the Originators hereby agree that the provisions and effectiveness of this Amendment shall apply to the Original Purchase and Sale Agreement as of the date hereof. Except as amended by this Amendment, the Original Purchase and Sale Agreement remains unchanged and in full force and effect. This Amendment is a Transaction Document.</w:t>
      </w:r>
    </w:p>
    <w:p>
      <w:pPr>
        <w:pStyle w:val="TextBody"/>
        <w:bidi w:val="0"/>
        <w:spacing w:lineRule="auto" w:line="288" w:before="0" w:after="240"/>
        <w:ind w:left="0" w:right="0" w:firstLine="720"/>
        <w:jc w:val="both"/>
        <w:rPr/>
      </w:pPr>
      <w:bookmarkStart w:id="11" w:name="i561606f13eff4aeda20016a156cdf03c"/>
      <w:bookmarkEnd w:id="11"/>
      <w:r>
        <w:rPr>
          <w:rFonts w:ascii="Times New Roman;serif" w:hAnsi="Times New Roman;serif"/>
          <w:b w:val="false"/>
          <w:color w:val="000000"/>
          <w:sz w:val="24"/>
        </w:rPr>
        <w:t>SECTION 6.</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bidi w:val="0"/>
        <w:spacing w:lineRule="auto" w:line="288" w:before="0" w:after="240"/>
        <w:ind w:left="0" w:right="0" w:firstLine="720"/>
        <w:jc w:val="both"/>
        <w:rPr/>
      </w:pPr>
      <w:bookmarkStart w:id="12" w:name="i81f90f07630949bb9ce7a758f676871c"/>
      <w:bookmarkEnd w:id="12"/>
      <w:r>
        <w:rPr>
          <w:rFonts w:ascii="Times New Roman;serif" w:hAnsi="Times New Roman;serif"/>
          <w:b w:val="false"/>
          <w:color w:val="000000"/>
          <w:sz w:val="24"/>
        </w:rPr>
        <w:t>SECTION 7.</w:t>
      </w:r>
      <w:r>
        <w:rPr>
          <w:rFonts w:ascii="Times New Roman;serif" w:hAnsi="Times New Roman;serif"/>
          <w:b w:val="false"/>
          <w:color w:val="000000"/>
          <w:sz w:val="24"/>
          <w:u w:val="single"/>
        </w:rPr>
        <w:t>Captions</w:t>
      </w:r>
      <w:r>
        <w:rPr>
          <w:rFonts w:ascii="Times New Roman;serif" w:hAnsi="Times New Roman;serif"/>
          <w:b w:val="false"/>
          <w:color w:val="000000"/>
          <w:sz w:val="24"/>
        </w:rPr>
        <w:t>. The headings of the Sections of this Amendment are provided solely for convenience of reference and shall not modify, define, expand or limit any of the terms or provisions of this Amendment.</w:t>
      </w:r>
    </w:p>
    <w:p>
      <w:pPr>
        <w:pStyle w:val="TextBody"/>
        <w:bidi w:val="0"/>
        <w:spacing w:lineRule="auto" w:line="288" w:before="0" w:after="240"/>
        <w:ind w:left="0" w:right="0" w:firstLine="720"/>
        <w:jc w:val="both"/>
        <w:rPr/>
      </w:pPr>
      <w:bookmarkStart w:id="13" w:name="i0a92ca6864894cf99e4f68bbedbada13"/>
      <w:bookmarkEnd w:id="13"/>
      <w:r>
        <w:rPr>
          <w:rFonts w:ascii="Times New Roman;serif" w:hAnsi="Times New Roman;serif"/>
          <w:b w:val="false"/>
          <w:color w:val="000000"/>
          <w:sz w:val="24"/>
        </w:rPr>
        <w:t>SECTION 8.</w:t>
      </w:r>
      <w:r>
        <w:rPr>
          <w:rFonts w:ascii="Times New Roman;serif" w:hAnsi="Times New Roman;serif"/>
          <w:b w:val="false"/>
          <w:color w:val="000000"/>
          <w:sz w:val="24"/>
          <w:u w:val="single"/>
        </w:rPr>
        <w:t>Successors and permitted assigns</w:t>
      </w:r>
      <w:r>
        <w:rPr>
          <w:rFonts w:ascii="Times New Roman;serif" w:hAnsi="Times New Roman;serif"/>
          <w:b w:val="false"/>
          <w:color w:val="000000"/>
          <w:sz w:val="24"/>
        </w:rPr>
        <w:t>. The terms of this Amendment shall be binding upon, and shall inure to the benefit of, the Buyer, the Servicer and the Originators and their respective successors and permitted assigns.</w:t>
      </w:r>
    </w:p>
    <w:p>
      <w:pPr>
        <w:pStyle w:val="TextBody"/>
        <w:bidi w:val="0"/>
        <w:spacing w:lineRule="auto" w:line="288" w:before="0" w:after="240"/>
        <w:ind w:left="0" w:right="0" w:firstLine="720"/>
        <w:jc w:val="both"/>
        <w:rPr/>
      </w:pPr>
      <w:bookmarkStart w:id="14" w:name="idaacfe041e3845569a3a544b3fab0b6e"/>
      <w:bookmarkEnd w:id="14"/>
      <w:r>
        <w:rPr>
          <w:rFonts w:ascii="Times New Roman;serif" w:hAnsi="Times New Roman;serif"/>
          <w:b w:val="false"/>
          <w:color w:val="000000"/>
          <w:sz w:val="24"/>
        </w:rPr>
        <w:t>SECTION 9.</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bookmarkStart w:id="15" w:name="i2e80054e6b40414086731f6d5560be66"/>
      <w:bookmarkEnd w:id="15"/>
      <w:r>
        <w:rPr>
          <w:rFonts w:ascii="Times New Roman;serif" w:hAnsi="Times New Roman;serif"/>
          <w:b w:val="false"/>
          <w:color w:val="000000"/>
          <w:sz w:val="24"/>
        </w:rPr>
        <w:t>SECTION 10.</w:t>
      </w:r>
      <w:r>
        <w:rPr>
          <w:rFonts w:ascii="Times New Roman;serif" w:hAnsi="Times New Roman;serif"/>
          <w:b w:val="false"/>
          <w:color w:val="000000"/>
          <w:sz w:val="24"/>
          <w:u w:val="single"/>
        </w:rPr>
        <w:t>Governing Law and Jurisdiction</w:t>
      </w:r>
      <w:r>
        <w:rPr>
          <w:rFonts w:ascii="Times New Roman;serif" w:hAnsi="Times New Roman;serif"/>
          <w:b w:val="false"/>
          <w:color w:val="000000"/>
          <w:sz w:val="24"/>
        </w:rPr>
        <w:t>. The provisions of the Original Purchase and Sale Agreement with respect to governing law, jurisdiction, and agent for service of process are incorporated in this Amendment by reference as if such provisions were set forth herein.</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by their duly authorized officers as of the date first above written.</w:t>
      </w:r>
    </w:p>
    <w:p>
      <w:pPr>
        <w:pStyle w:val="TextBody"/>
        <w:bidi w:val="0"/>
        <w:spacing w:lineRule="auto" w:line="288" w:before="0" w:after="0"/>
        <w:jc w:val="both"/>
        <w:rPr/>
      </w:pPr>
      <w:r>
        <w:rPr>
          <w:rFonts w:ascii="Times New Roman;serif" w:hAnsi="Times New Roman;serif"/>
          <w:b/>
          <w:color w:val="000000"/>
          <w:sz w:val="24"/>
        </w:rPr>
        <w:t>INTEGRA RECEIVABLES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Buyer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Swiss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Timothy Swiss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Treasurer                </w:t>
      </w:r>
    </w:p>
    <w:p>
      <w:pPr>
        <w:pStyle w:val="TextBody"/>
        <w:bidi w:val="0"/>
        <w:spacing w:lineRule="auto" w:line="288" w:before="0" w:after="0"/>
        <w:jc w:val="both"/>
        <w:rPr/>
      </w:pPr>
      <w:r>
        <w:rPr>
          <w:rFonts w:ascii="Times New Roman;serif" w:hAnsi="Times New Roman;serif"/>
          <w:b/>
          <w:color w:val="000000"/>
          <w:sz w:val="24"/>
        </w:rPr>
        <w:t>INTEGRA LIFESCIENCES SALES LLC</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the Servicer and as an Originator</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By: Integra LifeSciences Corporation, its sole member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Swiss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Timothy Swiss            </w:t>
      </w:r>
    </w:p>
    <w:p>
      <w:pPr>
        <w:pStyle w:val="TextBody"/>
        <w:bidi w:val="0"/>
        <w:spacing w:lineRule="auto" w:line="288" w:before="0" w:after="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Vice President, Treasurer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INTEGRA LIFESCIENCES CORPORATION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an Originator</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Timothy Swiss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Timothy Swiss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Vice President, Treasurer        </w:t>
      </w:r>
    </w:p>
    <w:p>
      <w:pPr>
        <w:pStyle w:val="TextBody"/>
        <w:bidi w:val="0"/>
        <w:spacing w:before="0" w:after="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51155"/>
                <wp:effectExtent l="0" t="0" r="0" b="0"/>
                <wp:wrapNone/>
                <wp:docPr id="213" name="Frame2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1 to PSA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1 to PSA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xbxContent>
                </v:textbox>
                <w10:wrap type="none"/>
              </v:rect>
            </w:pict>
          </mc:Fallback>
        </mc:AlternateConten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Acknowledged and agreed to by, as of the date first written above:</w:t>
      </w:r>
    </w:p>
    <w:p>
      <w:pPr>
        <w:pStyle w:val="TextBody"/>
        <w:bidi w:val="0"/>
        <w:spacing w:lineRule="auto" w:line="288" w:before="0" w:after="0"/>
        <w:jc w:val="both"/>
        <w:rPr/>
      </w:pPr>
      <w:r>
        <w:rPr>
          <w:rFonts w:ascii="Times New Roman;serif" w:hAnsi="Times New Roman;serif"/>
          <w:b/>
          <w:color w:val="000000"/>
          <w:sz w:val="24"/>
        </w:rPr>
        <w:t>PNC BANK, NATIONAL ASSOCIATION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Administrative Agent</w:t>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Blaney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Christopher Blaney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xml:space="preserve">     </w:t>
      </w:r>
      <w:r>
        <w:rPr>
          <w:rFonts w:ascii="Times New Roman;serif" w:hAnsi="Times New Roman;serif"/>
          <w:b w:val="false"/>
          <w:color w:val="000000"/>
          <w:sz w:val="24"/>
          <w:u w:val="single"/>
        </w:rPr>
        <w:t>Senior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51155"/>
                <wp:effectExtent l="0" t="0" r="0" b="0"/>
                <wp:wrapNone/>
                <wp:docPr id="214" name="Frame2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1 to PSA (Integra)</w:t>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Amendment No. 1 to PSA (Integra)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360"/>
        <w:jc w:val="right"/>
        <w:rPr>
          <w:rFonts w:ascii="Times New Roman;serif" w:hAnsi="Times New Roman;serif"/>
          <w:b/>
          <w:color w:val="000000"/>
          <w:sz w:val="24"/>
        </w:rPr>
      </w:pPr>
      <w:r>
        <w:rPr>
          <w:rFonts w:ascii="Times New Roman;serif" w:hAnsi="Times New Roman;serif"/>
          <w:b/>
          <w:color w:val="000000"/>
          <w:sz w:val="24"/>
        </w:rPr>
        <w:t>Conformed Purchase and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TO AMENDMENT NO. 1</w:t>
      </w:r>
    </w:p>
    <w:p>
      <w:pPr>
        <w:pStyle w:val="TextBody"/>
        <w:bidi w:val="0"/>
        <w:spacing w:before="280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PURCHASE AND SALE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December 21, 2018</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0" w:after="240"/>
        <w:jc w:val="center"/>
        <w:rPr/>
      </w:pPr>
      <w:r>
        <w:rPr>
          <w:rFonts w:ascii="Times New Roman;serif" w:hAnsi="Times New Roman;serif"/>
          <w:b/>
          <w:color w:val="000000"/>
          <w:sz w:val="24"/>
        </w:rPr>
        <w:t>VARIOUS ENTITIES LISTED ON SCHEDULE I HERETO</w:t>
      </w:r>
      <w:r>
        <w:rPr>
          <w:rFonts w:ascii="Times New Roman;serif" w:hAnsi="Times New Roman;serif"/>
          <w:b w:val="false"/>
          <w:color w:val="000000"/>
          <w:sz w:val="24"/>
        </w:rPr>
        <w:t>,</w:t>
        <w:br/>
        <w:t>as Originators,</w:t>
      </w:r>
    </w:p>
    <w:p>
      <w:pPr>
        <w:pStyle w:val="TextBody"/>
        <w:bidi w:val="0"/>
        <w:spacing w:lineRule="auto" w:line="288" w:before="0" w:after="240"/>
        <w:jc w:val="center"/>
        <w:rPr/>
      </w:pPr>
      <w:r>
        <w:rPr>
          <w:rFonts w:ascii="Times New Roman;serif" w:hAnsi="Times New Roman;serif"/>
          <w:b/>
          <w:color w:val="000000"/>
          <w:sz w:val="24"/>
        </w:rPr>
        <w:t>INTEGRA LIFESCIENCES SALES LLC</w:t>
      </w:r>
      <w:r>
        <w:rPr>
          <w:rFonts w:ascii="Times New Roman;serif" w:hAnsi="Times New Roman;serif"/>
          <w:b w:val="false"/>
          <w:color w:val="000000"/>
          <w:sz w:val="24"/>
        </w:rPr>
        <w:t>,</w:t>
        <w:br/>
        <w:t>as Servicer,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pPr>
      <w:r>
        <w:rPr>
          <w:rFonts w:ascii="Times New Roman;serif" w:hAnsi="Times New Roman;serif"/>
          <w:b/>
          <w:color w:val="000000"/>
          <w:sz w:val="24"/>
        </w:rPr>
        <w:t>INTEGRA RECEIVABLES LLC</w:t>
      </w:r>
      <w:r>
        <w:rPr>
          <w:rFonts w:ascii="Times New Roman;serif" w:hAnsi="Times New Roman;serif"/>
          <w:b w:val="false"/>
          <w:color w:val="000000"/>
          <w:sz w:val="24"/>
        </w:rPr>
        <w:t>,</w:t>
        <w:br/>
        <w:t>as Buyer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50520"/>
                <wp:effectExtent l="0" t="0" r="0" b="0"/>
                <wp:wrapNone/>
                <wp:docPr id="216" name="Frame2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Clause    Subject Matter    Page</w:t>
      </w:r>
    </w:p>
    <w:tbl>
      <w:tblPr>
        <w:tblW w:w="10205" w:type="dxa"/>
        <w:jc w:val="left"/>
        <w:tblInd w:w="0" w:type="dxa"/>
        <w:tblLayout w:type="fixed"/>
        <w:tblCellMar>
          <w:top w:w="28" w:type="dxa"/>
          <w:left w:w="28" w:type="dxa"/>
          <w:bottom w:w="28" w:type="dxa"/>
          <w:right w:w="28" w:type="dxa"/>
        </w:tblCellMar>
      </w:tblPr>
      <w:tblGrid>
        <w:gridCol w:w="3646"/>
        <w:gridCol w:w="3079"/>
        <w:gridCol w:w="3087"/>
        <w:gridCol w:w="114"/>
        <w:gridCol w:w="114"/>
        <w:gridCol w:w="165"/>
      </w:tblGrid>
      <w:tr>
        <w:trPr/>
        <w:tc>
          <w:tcPr>
            <w:tcW w:w="3646"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2b7967c5ed492c995a99702ae66d7e">
              <w:r>
                <w:rPr>
                  <w:rStyle w:val="InternetLink"/>
                  <w:rFonts w:ascii="Times New Roman;serif" w:hAnsi="Times New Roman;serif"/>
                  <w:b w:val="false"/>
                  <w:strike w:val="false"/>
                  <w:dstrike w:val="false"/>
                  <w:color w:val="000000"/>
                  <w:sz w:val="24"/>
                  <w:u w:val="none"/>
                  <w:effect w:val="none"/>
                </w:rPr>
                <w:t>ARTICLE I    </w:t>
                <w:br/>
                <w:t>AGREEMENT TO PURCHASE AND SELL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2b7967c5ed492c995a99702ae66d7e">
              <w:r>
                <w:rPr>
                  <w:rStyle w:val="InternetLink"/>
                  <w:rFonts w:ascii="Times New Roman;serif" w:hAnsi="Times New Roman;serif"/>
                  <w:b w:val="false"/>
                  <w:strike w:val="false"/>
                  <w:dstrike w:val="false"/>
                  <w:color w:val="000000"/>
                  <w:sz w:val="24"/>
                  <w:u w:val="none"/>
                  <w:effect w:val="none"/>
                </w:rPr>
                <w:t>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bb7fd3e5e74ebca99bebe299acae60">
              <w:r>
                <w:rPr>
                  <w:rStyle w:val="InternetLink"/>
                  <w:rFonts w:ascii="Times New Roman;serif" w:hAnsi="Times New Roman;serif"/>
                  <w:b w:val="false"/>
                  <w:strike w:val="false"/>
                  <w:dstrike w:val="false"/>
                  <w:color w:val="000000"/>
                  <w:sz w:val="24"/>
                  <w:u w:val="none"/>
                  <w:effect w:val="none"/>
                </w:rPr>
                <w:t>SECTION 1.1    Agreement To Purchase and Sell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bb7fd3e5e74ebca99bebe299acae60">
              <w:r>
                <w:rPr>
                  <w:rStyle w:val="InternetLink"/>
                  <w:rFonts w:ascii="Times New Roman;serif" w:hAnsi="Times New Roman;serif"/>
                  <w:b w:val="false"/>
                  <w:strike w:val="false"/>
                  <w:dstrike w:val="false"/>
                  <w:color w:val="000000"/>
                  <w:sz w:val="24"/>
                  <w:u w:val="none"/>
                  <w:effect w:val="none"/>
                </w:rPr>
                <w:t>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d586e3e4494ded8235a178044ca980">
              <w:r>
                <w:rPr>
                  <w:rStyle w:val="InternetLink"/>
                  <w:rFonts w:ascii="Times New Roman;serif" w:hAnsi="Times New Roman;serif"/>
                  <w:b w:val="false"/>
                  <w:strike w:val="false"/>
                  <w:dstrike w:val="false"/>
                  <w:color w:val="000000"/>
                  <w:sz w:val="24"/>
                  <w:u w:val="none"/>
                  <w:effect w:val="none"/>
                </w:rPr>
                <w:t>SECTION 1.2    Timing of Purchases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d586e3e4494ded8235a178044ca980">
              <w:r>
                <w:rPr>
                  <w:rStyle w:val="InternetLink"/>
                  <w:rFonts w:ascii="Times New Roman;serif" w:hAnsi="Times New Roman;serif"/>
                  <w:b w:val="false"/>
                  <w:strike w:val="false"/>
                  <w:dstrike w:val="false"/>
                  <w:color w:val="000000"/>
                  <w:sz w:val="24"/>
                  <w:u w:val="none"/>
                  <w:effect w:val="none"/>
                </w:rPr>
                <w:t>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c5e36b768e42099fd4c1ea6367c73a">
              <w:r>
                <w:rPr>
                  <w:rStyle w:val="InternetLink"/>
                  <w:rFonts w:ascii="Times New Roman;serif" w:hAnsi="Times New Roman;serif"/>
                  <w:b w:val="false"/>
                  <w:strike w:val="false"/>
                  <w:dstrike w:val="false"/>
                  <w:color w:val="000000"/>
                  <w:sz w:val="24"/>
                  <w:u w:val="none"/>
                  <w:effect w:val="none"/>
                </w:rPr>
                <w:t>SECTION 1.3    Consideration for Purchases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c5e36b768e42099fd4c1ea6367c73a">
              <w:r>
                <w:rPr>
                  <w:rStyle w:val="InternetLink"/>
                  <w:rFonts w:ascii="Times New Roman;serif" w:hAnsi="Times New Roman;serif"/>
                  <w:b w:val="false"/>
                  <w:strike w:val="false"/>
                  <w:dstrike w:val="false"/>
                  <w:color w:val="000000"/>
                  <w:sz w:val="24"/>
                  <w:u w:val="none"/>
                  <w:effect w:val="none"/>
                </w:rPr>
                <w:t>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ee934c42f941078c63771201ff095b">
              <w:r>
                <w:rPr>
                  <w:rStyle w:val="InternetLink"/>
                  <w:rFonts w:ascii="Times New Roman;serif" w:hAnsi="Times New Roman;serif"/>
                  <w:b w:val="false"/>
                  <w:strike w:val="false"/>
                  <w:dstrike w:val="false"/>
                  <w:color w:val="000000"/>
                  <w:sz w:val="24"/>
                  <w:u w:val="none"/>
                  <w:effect w:val="none"/>
                </w:rPr>
                <w:t>SECTION 1.4    Contributions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ee934c42f941078c63771201ff095b">
              <w:r>
                <w:rPr>
                  <w:rStyle w:val="InternetLink"/>
                  <w:rFonts w:ascii="Times New Roman;serif" w:hAnsi="Times New Roman;serif"/>
                  <w:b w:val="false"/>
                  <w:strike w:val="false"/>
                  <w:dstrike w:val="false"/>
                  <w:color w:val="000000"/>
                  <w:sz w:val="24"/>
                  <w:u w:val="none"/>
                  <w:effect w:val="non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0ffd88144334aa386d3462b60e0a483">
              <w:r>
                <w:rPr>
                  <w:rStyle w:val="InternetLink"/>
                  <w:rFonts w:ascii="Times New Roman;serif" w:hAnsi="Times New Roman;serif"/>
                  <w:b w:val="false"/>
                  <w:strike w:val="false"/>
                  <w:dstrike w:val="false"/>
                  <w:color w:val="000000"/>
                  <w:sz w:val="24"/>
                  <w:u w:val="none"/>
                  <w:effect w:val="none"/>
                </w:rPr>
                <w:t>SECTION 1.5    Purchase and Sale Termination Date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ffd88144334aa386d3462b60e0a483">
              <w:r>
                <w:rPr>
                  <w:rStyle w:val="InternetLink"/>
                  <w:rFonts w:ascii="Times New Roman;serif" w:hAnsi="Times New Roman;serif"/>
                  <w:b w:val="false"/>
                  <w:strike w:val="false"/>
                  <w:dstrike w:val="false"/>
                  <w:color w:val="000000"/>
                  <w:sz w:val="24"/>
                  <w:u w:val="none"/>
                  <w:effect w:val="non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4b29d26f804c358fc7f6248f8bb471">
              <w:r>
                <w:rPr>
                  <w:rStyle w:val="InternetLink"/>
                  <w:rFonts w:ascii="Times New Roman;serif" w:hAnsi="Times New Roman;serif"/>
                  <w:b w:val="false"/>
                  <w:strike w:val="false"/>
                  <w:dstrike w:val="false"/>
                  <w:color w:val="000000"/>
                  <w:sz w:val="24"/>
                  <w:u w:val="none"/>
                  <w:effect w:val="none"/>
                </w:rPr>
                <w:t>SECTION 1.6    Intention of the Parties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4b29d26f804c358fc7f6248f8bb471">
              <w:r>
                <w:rPr>
                  <w:rStyle w:val="InternetLink"/>
                  <w:rFonts w:ascii="Times New Roman;serif" w:hAnsi="Times New Roman;serif"/>
                  <w:b w:val="false"/>
                  <w:strike w:val="false"/>
                  <w:dstrike w:val="false"/>
                  <w:color w:val="000000"/>
                  <w:sz w:val="24"/>
                  <w:u w:val="none"/>
                  <w:effect w:val="non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f162bc68f747bea5acd5ad7cbf8c61">
              <w:r>
                <w:rPr>
                  <w:rStyle w:val="InternetLink"/>
                  <w:rFonts w:ascii="Times New Roman;serif" w:hAnsi="Times New Roman;serif"/>
                  <w:b w:val="false"/>
                  <w:strike w:val="false"/>
                  <w:dstrike w:val="false"/>
                  <w:color w:val="000000"/>
                  <w:sz w:val="24"/>
                  <w:u w:val="none"/>
                  <w:effect w:val="none"/>
                </w:rPr>
                <w:t>ARTICLE II    </w:t>
                <w:br/>
                <w:t>PURCHASE REPORT; CALCULATION OF PURCHASE PRICE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f162bc68f747bea5acd5ad7cbf8c61">
              <w:r>
                <w:rPr>
                  <w:rStyle w:val="InternetLink"/>
                  <w:rFonts w:ascii="Times New Roman;serif" w:hAnsi="Times New Roman;serif"/>
                  <w:b w:val="false"/>
                  <w:strike w:val="false"/>
                  <w:dstrike w:val="false"/>
                  <w:color w:val="000000"/>
                  <w:sz w:val="24"/>
                  <w:u w:val="none"/>
                  <w:effect w:val="non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6e3f4ac46474d9860f68759efd1fc">
              <w:r>
                <w:rPr>
                  <w:rStyle w:val="InternetLink"/>
                  <w:rFonts w:ascii="Times New Roman;serif" w:hAnsi="Times New Roman;serif"/>
                  <w:b w:val="false"/>
                  <w:strike w:val="false"/>
                  <w:dstrike w:val="false"/>
                  <w:color w:val="000000"/>
                  <w:sz w:val="24"/>
                  <w:u w:val="none"/>
                  <w:effect w:val="none"/>
                </w:rPr>
                <w:t>SECTION 2.1    Purchase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6e3f4ac46474d9860f68759efd1fc">
              <w:r>
                <w:rPr>
                  <w:rStyle w:val="InternetLink"/>
                  <w:rFonts w:ascii="Times New Roman;serif" w:hAnsi="Times New Roman;serif"/>
                  <w:b w:val="false"/>
                  <w:strike w:val="false"/>
                  <w:dstrike w:val="false"/>
                  <w:color w:val="000000"/>
                  <w:sz w:val="24"/>
                  <w:u w:val="none"/>
                  <w:effect w:val="non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d611b6093045a5bcc5d1c5db48837d">
              <w:r>
                <w:rPr>
                  <w:rStyle w:val="InternetLink"/>
                  <w:rFonts w:ascii="Times New Roman;serif" w:hAnsi="Times New Roman;serif"/>
                  <w:b w:val="false"/>
                  <w:strike w:val="false"/>
                  <w:dstrike w:val="false"/>
                  <w:color w:val="000000"/>
                  <w:sz w:val="24"/>
                  <w:u w:val="none"/>
                  <w:effect w:val="none"/>
                </w:rPr>
                <w:t>SECTION 2.2    Calculation of Purchase Price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d611b6093045a5bcc5d1c5db48837d">
              <w:r>
                <w:rPr>
                  <w:rStyle w:val="InternetLink"/>
                  <w:rFonts w:ascii="Times New Roman;serif" w:hAnsi="Times New Roman;serif"/>
                  <w:b w:val="false"/>
                  <w:strike w:val="false"/>
                  <w:dstrike w:val="false"/>
                  <w:color w:val="000000"/>
                  <w:sz w:val="24"/>
                  <w:u w:val="none"/>
                  <w:effect w:val="non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ccb9de706e43a1a3474143422214d2">
              <w:r>
                <w:rPr>
                  <w:rStyle w:val="InternetLink"/>
                  <w:rFonts w:ascii="Times New Roman;serif" w:hAnsi="Times New Roman;serif"/>
                  <w:b w:val="false"/>
                  <w:strike w:val="false"/>
                  <w:dstrike w:val="false"/>
                  <w:color w:val="000000"/>
                  <w:sz w:val="24"/>
                  <w:u w:val="none"/>
                  <w:effect w:val="none"/>
                </w:rPr>
                <w:t>ARTICLE III    </w:t>
                <w:br/>
                <w:t>PAYMENT OF PURCHASE PRICE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ccb9de706e43a1a3474143422214d2">
              <w:r>
                <w:rPr>
                  <w:rStyle w:val="InternetLink"/>
                  <w:rFonts w:ascii="Times New Roman;serif" w:hAnsi="Times New Roman;serif"/>
                  <w:b w:val="false"/>
                  <w:strike w:val="false"/>
                  <w:dstrike w:val="false"/>
                  <w:color w:val="000000"/>
                  <w:sz w:val="24"/>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d89dbb6cc944f8ea961a728207600e7">
              <w:r>
                <w:rPr>
                  <w:rStyle w:val="InternetLink"/>
                  <w:rFonts w:ascii="Times New Roman;serif" w:hAnsi="Times New Roman;serif"/>
                  <w:b w:val="false"/>
                  <w:strike w:val="false"/>
                  <w:dstrike w:val="false"/>
                  <w:color w:val="000000"/>
                  <w:sz w:val="24"/>
                  <w:u w:val="none"/>
                  <w:effect w:val="none"/>
                </w:rPr>
                <w:t>SECTION 3.1    Initial Purchase Price Payment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89dbb6cc944f8ea961a728207600e7">
              <w:r>
                <w:rPr>
                  <w:rStyle w:val="InternetLink"/>
                  <w:rFonts w:ascii="Times New Roman;serif" w:hAnsi="Times New Roman;serif"/>
                  <w:b w:val="false"/>
                  <w:strike w:val="false"/>
                  <w:dstrike w:val="false"/>
                  <w:color w:val="000000"/>
                  <w:sz w:val="24"/>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8de5f6357f41bc8c8be90d0c602c88">
              <w:r>
                <w:rPr>
                  <w:rStyle w:val="InternetLink"/>
                  <w:rFonts w:ascii="Times New Roman;serif" w:hAnsi="Times New Roman;serif"/>
                  <w:b w:val="false"/>
                  <w:strike w:val="false"/>
                  <w:dstrike w:val="false"/>
                  <w:color w:val="000000"/>
                  <w:sz w:val="24"/>
                  <w:u w:val="none"/>
                  <w:effect w:val="none"/>
                </w:rPr>
                <w:t>SECTION 3.2    Subsequent Purchase Price Payments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8de5f6357f41bc8c8be90d0c602c88">
              <w:r>
                <w:rPr>
                  <w:rStyle w:val="InternetLink"/>
                  <w:rFonts w:ascii="Times New Roman;serif" w:hAnsi="Times New Roman;serif"/>
                  <w:b w:val="false"/>
                  <w:strike w:val="false"/>
                  <w:dstrike w:val="false"/>
                  <w:color w:val="000000"/>
                  <w:sz w:val="24"/>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7eb0df6ea041cab4e38d68251f7797">
              <w:r>
                <w:rPr>
                  <w:rStyle w:val="InternetLink"/>
                  <w:rFonts w:ascii="Times New Roman;serif" w:hAnsi="Times New Roman;serif"/>
                  <w:b w:val="false"/>
                  <w:strike w:val="false"/>
                  <w:dstrike w:val="false"/>
                  <w:color w:val="000000"/>
                  <w:sz w:val="24"/>
                  <w:u w:val="none"/>
                  <w:effect w:val="none"/>
                </w:rPr>
                <w:t>SECTION 3.3    Settlement as to Specific Receivables and Dilution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7eb0df6ea041cab4e38d68251f7797">
              <w:r>
                <w:rPr>
                  <w:rStyle w:val="InternetLink"/>
                  <w:rFonts w:ascii="Times New Roman;serif" w:hAnsi="Times New Roman;serif"/>
                  <w:b w:val="false"/>
                  <w:strike w:val="false"/>
                  <w:dstrike w:val="false"/>
                  <w:color w:val="000000"/>
                  <w:sz w:val="24"/>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0175648a49419c8717a01e7c3f0ac9">
              <w:r>
                <w:rPr>
                  <w:rStyle w:val="InternetLink"/>
                  <w:rFonts w:ascii="Times New Roman;serif" w:hAnsi="Times New Roman;serif"/>
                  <w:b w:val="false"/>
                  <w:strike w:val="false"/>
                  <w:dstrike w:val="false"/>
                  <w:color w:val="000000"/>
                  <w:sz w:val="24"/>
                  <w:u w:val="none"/>
                  <w:effect w:val="none"/>
                </w:rPr>
                <w:t>SECTION 3.4    Reconveyance of Receivables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0175648a49419c8717a01e7c3f0ac9">
              <w:r>
                <w:rPr>
                  <w:rStyle w:val="InternetLink"/>
                  <w:rFonts w:ascii="Times New Roman;serif" w:hAnsi="Times New Roman;serif"/>
                  <w:b w:val="false"/>
                  <w:strike w:val="false"/>
                  <w:dstrike w:val="false"/>
                  <w:color w:val="000000"/>
                  <w:sz w:val="24"/>
                  <w:u w:val="none"/>
                  <w:effect w:val="none"/>
                </w:rPr>
                <w:t>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efdd863bd64ffb959f1f1ae1c85191">
              <w:r>
                <w:rPr>
                  <w:rStyle w:val="InternetLink"/>
                  <w:rFonts w:ascii="Times New Roman;serif" w:hAnsi="Times New Roman;serif"/>
                  <w:b w:val="false"/>
                  <w:strike w:val="false"/>
                  <w:dstrike w:val="false"/>
                  <w:color w:val="000000"/>
                  <w:sz w:val="24"/>
                  <w:u w:val="none"/>
                  <w:effect w:val="none"/>
                </w:rPr>
                <w:t>ARTICLE IV    </w:t>
                <w:br/>
                <w:t>CONDITIONS OF PURCHASES; ADDITIONAL ORIGINATORS; TERMINATION OF ORIGINATORS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efdd863bd64ffb959f1f1ae1c85191">
              <w:r>
                <w:rPr>
                  <w:rStyle w:val="InternetLink"/>
                  <w:rFonts w:ascii="Times New Roman;serif" w:hAnsi="Times New Roman;serif"/>
                  <w:b w:val="false"/>
                  <w:strike w:val="false"/>
                  <w:dstrike w:val="false"/>
                  <w:color w:val="000000"/>
                  <w:sz w:val="24"/>
                  <w:u w:val="none"/>
                  <w:effect w:val="none"/>
                </w:rPr>
                <w:t>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9541bca0fb46108dfbdc76bd8f6f95">
              <w:r>
                <w:rPr>
                  <w:rStyle w:val="InternetLink"/>
                  <w:rFonts w:ascii="Times New Roman;serif" w:hAnsi="Times New Roman;serif"/>
                  <w:b w:val="false"/>
                  <w:strike w:val="false"/>
                  <w:dstrike w:val="false"/>
                  <w:color w:val="000000"/>
                  <w:sz w:val="24"/>
                  <w:u w:val="none"/>
                  <w:effect w:val="none"/>
                </w:rPr>
                <w:t>SECTION 4.1    Conditions Precedent to Initial Purchase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9541bca0fb46108dfbdc76bd8f6f95">
              <w:r>
                <w:rPr>
                  <w:rStyle w:val="InternetLink"/>
                  <w:rFonts w:ascii="Times New Roman;serif" w:hAnsi="Times New Roman;serif"/>
                  <w:b w:val="false"/>
                  <w:strike w:val="false"/>
                  <w:dstrike w:val="false"/>
                  <w:color w:val="000000"/>
                  <w:sz w:val="24"/>
                  <w:u w:val="none"/>
                  <w:effect w:val="none"/>
                </w:rPr>
                <w:t>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b65975b3c346cbae62e7dc46f0638d">
              <w:r>
                <w:rPr>
                  <w:rStyle w:val="InternetLink"/>
                  <w:rFonts w:ascii="Times New Roman;serif" w:hAnsi="Times New Roman;serif"/>
                  <w:b w:val="false"/>
                  <w:strike w:val="false"/>
                  <w:dstrike w:val="false"/>
                  <w:color w:val="000000"/>
                  <w:sz w:val="24"/>
                  <w:u w:val="none"/>
                  <w:effect w:val="none"/>
                </w:rPr>
                <w:t>SECTION 4.2    Certification as to Representations and Warranties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b65975b3c346cbae62e7dc46f0638d">
              <w:r>
                <w:rPr>
                  <w:rStyle w:val="InternetLink"/>
                  <w:rFonts w:ascii="Times New Roman;serif" w:hAnsi="Times New Roman;serif"/>
                  <w:b w:val="false"/>
                  <w:strike w:val="false"/>
                  <w:dstrike w:val="false"/>
                  <w:color w:val="000000"/>
                  <w:sz w:val="24"/>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3649bd25514a67bf84c4b6733ca2da">
              <w:r>
                <w:rPr>
                  <w:rStyle w:val="InternetLink"/>
                  <w:rFonts w:ascii="Times New Roman;serif" w:hAnsi="Times New Roman;serif"/>
                  <w:b w:val="false"/>
                  <w:strike w:val="false"/>
                  <w:dstrike w:val="false"/>
                  <w:color w:val="000000"/>
                  <w:sz w:val="24"/>
                  <w:u w:val="none"/>
                  <w:effect w:val="none"/>
                </w:rPr>
                <w:t>SECTION 4.3    Additional Originators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649bd25514a67bf84c4b6733ca2da">
              <w:r>
                <w:rPr>
                  <w:rStyle w:val="InternetLink"/>
                  <w:rFonts w:ascii="Times New Roman;serif" w:hAnsi="Times New Roman;serif"/>
                  <w:b w:val="false"/>
                  <w:strike w:val="false"/>
                  <w:dstrike w:val="false"/>
                  <w:color w:val="000000"/>
                  <w:sz w:val="24"/>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df0efb82b64a80a669aff025e862b0">
              <w:r>
                <w:rPr>
                  <w:rStyle w:val="InternetLink"/>
                  <w:rFonts w:ascii="Times New Roman;serif" w:hAnsi="Times New Roman;serif"/>
                  <w:b w:val="false"/>
                  <w:strike w:val="false"/>
                  <w:dstrike w:val="false"/>
                  <w:color w:val="000000"/>
                  <w:sz w:val="24"/>
                  <w:u w:val="none"/>
                  <w:effect w:val="none"/>
                </w:rPr>
                <w:t>SECTION 4.4    Termination of Originators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df0efb82b64a80a669aff025e862b0">
              <w:r>
                <w:rPr>
                  <w:rStyle w:val="InternetLink"/>
                  <w:rFonts w:ascii="Times New Roman;serif" w:hAnsi="Times New Roman;serif"/>
                  <w:b w:val="false"/>
                  <w:strike w:val="false"/>
                  <w:dstrike w:val="false"/>
                  <w:color w:val="000000"/>
                  <w:sz w:val="24"/>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202d092eac4a6690287f4fca6888c0">
              <w:r>
                <w:rPr>
                  <w:rStyle w:val="InternetLink"/>
                  <w:rFonts w:ascii="Times New Roman;serif" w:hAnsi="Times New Roman;serif"/>
                  <w:b w:val="false"/>
                  <w:strike w:val="false"/>
                  <w:dstrike w:val="false"/>
                  <w:color w:val="000000"/>
                  <w:sz w:val="24"/>
                  <w:u w:val="none"/>
                  <w:effect w:val="none"/>
                </w:rPr>
                <w:t>SECTION 4.5    Addition or Removal of Excluded Obligors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202d092eac4a6690287f4fca6888c0">
              <w:r>
                <w:rPr>
                  <w:rStyle w:val="InternetLink"/>
                  <w:rFonts w:ascii="Times New Roman;serif" w:hAnsi="Times New Roman;serif"/>
                  <w:b w:val="false"/>
                  <w:strike w:val="false"/>
                  <w:dstrike w:val="false"/>
                  <w:color w:val="000000"/>
                  <w:sz w:val="24"/>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39e1fc93064678830b00659f1a27b9">
              <w:r>
                <w:rPr>
                  <w:rStyle w:val="InternetLink"/>
                  <w:rFonts w:ascii="Times New Roman;serif" w:hAnsi="Times New Roman;serif"/>
                  <w:b w:val="false"/>
                  <w:strike w:val="false"/>
                  <w:dstrike w:val="false"/>
                  <w:color w:val="000000"/>
                  <w:sz w:val="24"/>
                  <w:u w:val="none"/>
                  <w:effect w:val="none"/>
                </w:rPr>
                <w:t>ARTICLE V    </w:t>
                <w:br/>
                <w:t>REPRESENTATIONS AND WARRANTIES OF THE ORIGINATORS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39e1fc93064678830b00659f1a27b9">
              <w:r>
                <w:rPr>
                  <w:rStyle w:val="InternetLink"/>
                  <w:rFonts w:ascii="Times New Roman;serif" w:hAnsi="Times New Roman;serif"/>
                  <w:b w:val="false"/>
                  <w:strike w:val="false"/>
                  <w:dstrike w:val="false"/>
                  <w:color w:val="000000"/>
                  <w:sz w:val="24"/>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8acdbd34e974e5eaad45f1e34db3f06">
              <w:r>
                <w:rPr>
                  <w:rStyle w:val="InternetLink"/>
                  <w:rFonts w:ascii="Times New Roman;serif" w:hAnsi="Times New Roman;serif"/>
                  <w:b w:val="false"/>
                  <w:strike w:val="false"/>
                  <w:dstrike w:val="false"/>
                  <w:color w:val="000000"/>
                  <w:sz w:val="24"/>
                  <w:u w:val="none"/>
                  <w:effect w:val="none"/>
                </w:rPr>
                <w:t>SECTION 5.1    Organization and Good Standing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acdbd34e974e5eaad45f1e34db3f06">
              <w:r>
                <w:rPr>
                  <w:rStyle w:val="InternetLink"/>
                  <w:rFonts w:ascii="Times New Roman;serif" w:hAnsi="Times New Roman;serif"/>
                  <w:b w:val="false"/>
                  <w:strike w:val="false"/>
                  <w:dstrike w:val="false"/>
                  <w:color w:val="000000"/>
                  <w:sz w:val="24"/>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acd991abd34711b24282175ee3259a">
              <w:r>
                <w:rPr>
                  <w:rStyle w:val="InternetLink"/>
                  <w:rFonts w:ascii="Times New Roman;serif" w:hAnsi="Times New Roman;serif"/>
                  <w:b w:val="false"/>
                  <w:strike w:val="false"/>
                  <w:dstrike w:val="false"/>
                  <w:color w:val="000000"/>
                  <w:sz w:val="24"/>
                  <w:u w:val="none"/>
                  <w:effect w:val="none"/>
                </w:rPr>
                <w:t>SECTION 5.2    Due Qualification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acd991abd34711b24282175ee3259a">
              <w:r>
                <w:rPr>
                  <w:rStyle w:val="InternetLink"/>
                  <w:rFonts w:ascii="Times New Roman;serif" w:hAnsi="Times New Roman;serif"/>
                  <w:b w:val="false"/>
                  <w:strike w:val="false"/>
                  <w:dstrike w:val="false"/>
                  <w:color w:val="000000"/>
                  <w:sz w:val="24"/>
                  <w:u w:val="none"/>
                  <w:effect w:val="non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ac58cc39a244e9b4bc7362eb5939c7">
              <w:r>
                <w:rPr>
                  <w:rStyle w:val="InternetLink"/>
                  <w:rFonts w:ascii="Times New Roman;serif" w:hAnsi="Times New Roman;serif"/>
                  <w:b w:val="false"/>
                  <w:strike w:val="false"/>
                  <w:dstrike w:val="false"/>
                  <w:color w:val="000000"/>
                  <w:sz w:val="24"/>
                  <w:u w:val="none"/>
                  <w:effect w:val="none"/>
                </w:rPr>
                <w:t>SECTION 5.3    Power and Authority; Due Authorization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ac58cc39a244e9b4bc7362eb5939c7">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015c78a45947d8828c8062b1be848a">
              <w:r>
                <w:rPr>
                  <w:rStyle w:val="InternetLink"/>
                  <w:rFonts w:ascii="Times New Roman;serif" w:hAnsi="Times New Roman;serif"/>
                  <w:b w:val="false"/>
                  <w:strike w:val="false"/>
                  <w:dstrike w:val="false"/>
                  <w:color w:val="000000"/>
                  <w:sz w:val="24"/>
                  <w:u w:val="none"/>
                  <w:effect w:val="none"/>
                </w:rPr>
                <w:t>SECTION 5.4    Binding Obligations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015c78a45947d8828c8062b1be848a">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ece1ec67dd43bcab5938c857b26817">
              <w:r>
                <w:rPr>
                  <w:rStyle w:val="InternetLink"/>
                  <w:rFonts w:ascii="Times New Roman;serif" w:hAnsi="Times New Roman;serif"/>
                  <w:b w:val="false"/>
                  <w:strike w:val="false"/>
                  <w:dstrike w:val="false"/>
                  <w:color w:val="000000"/>
                  <w:sz w:val="24"/>
                  <w:u w:val="none"/>
                  <w:effect w:val="none"/>
                </w:rPr>
                <w:t>SECTION 5.5    No Conflict or Violation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ece1ec67dd43bcab5938c857b26817">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2a5869b464a6998e5b86b27ed7323">
              <w:r>
                <w:rPr>
                  <w:rStyle w:val="InternetLink"/>
                  <w:rFonts w:ascii="Times New Roman;serif" w:hAnsi="Times New Roman;serif"/>
                  <w:b w:val="false"/>
                  <w:strike w:val="false"/>
                  <w:dstrike w:val="false"/>
                  <w:color w:val="000000"/>
                  <w:sz w:val="24"/>
                  <w:u w:val="none"/>
                  <w:effect w:val="none"/>
                </w:rPr>
                <w:t>SECTION 5.6    Litigation and Other Proceedings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2a5869b464a6998e5b86b27ed7323">
              <w:r>
                <w:rPr>
                  <w:rStyle w:val="InternetLink"/>
                  <w:rFonts w:ascii="Times New Roman;serif" w:hAnsi="Times New Roman;serif"/>
                  <w:b w:val="false"/>
                  <w:strike w:val="false"/>
                  <w:dstrike w:val="false"/>
                  <w:color w:val="000000"/>
                  <w:sz w:val="24"/>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3f8e7513114d08943a77ec7ac407c6">
              <w:r>
                <w:rPr>
                  <w:rStyle w:val="InternetLink"/>
                  <w:rFonts w:ascii="Times New Roman;serif" w:hAnsi="Times New Roman;serif"/>
                  <w:b w:val="false"/>
                  <w:strike w:val="false"/>
                  <w:dstrike w:val="false"/>
                  <w:color w:val="000000"/>
                  <w:sz w:val="24"/>
                  <w:u w:val="none"/>
                  <w:effect w:val="none"/>
                </w:rPr>
                <w:t>SECTION 5.7    No Consents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3f8e7513114d08943a77ec7ac407c6">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791fcf6e3345c29800ce0c20c9927c">
              <w:r>
                <w:rPr>
                  <w:rStyle w:val="InternetLink"/>
                  <w:rFonts w:ascii="Times New Roman;serif" w:hAnsi="Times New Roman;serif"/>
                  <w:b w:val="false"/>
                  <w:strike w:val="false"/>
                  <w:dstrike w:val="false"/>
                  <w:color w:val="000000"/>
                  <w:sz w:val="24"/>
                  <w:u w:val="none"/>
                  <w:effect w:val="none"/>
                </w:rPr>
                <w:t>SECTION 5.8    Names and Location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791fcf6e3345c29800ce0c20c9927c">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021f53ec4d4da89fb64285588ca39b">
              <w:r>
                <w:rPr>
                  <w:rStyle w:val="InternetLink"/>
                  <w:rFonts w:ascii="Times New Roman;serif" w:hAnsi="Times New Roman;serif"/>
                  <w:b w:val="false"/>
                  <w:strike w:val="false"/>
                  <w:dstrike w:val="false"/>
                  <w:color w:val="000000"/>
                  <w:sz w:val="24"/>
                  <w:u w:val="none"/>
                  <w:effect w:val="none"/>
                </w:rPr>
                <w:t>SECTION 5.9    Investment Company Act; Volcker Rule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021f53ec4d4da89fb64285588ca39b">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b556f29a77543988afb6e022173ba3b">
              <w:r>
                <w:rPr>
                  <w:rStyle w:val="InternetLink"/>
                  <w:rFonts w:ascii="Times New Roman;serif" w:hAnsi="Times New Roman;serif"/>
                  <w:b w:val="false"/>
                  <w:strike w:val="false"/>
                  <w:dstrike w:val="false"/>
                  <w:color w:val="000000"/>
                  <w:sz w:val="24"/>
                  <w:u w:val="none"/>
                  <w:effect w:val="none"/>
                </w:rPr>
                <w:t>SECTION 5.10    No Material Adverse Effect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556f29a77543988afb6e022173ba3b">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e12606998f945ffa1d8fe83508b074e">
              <w:r>
                <w:rPr>
                  <w:rStyle w:val="InternetLink"/>
                  <w:rFonts w:ascii="Times New Roman;serif" w:hAnsi="Times New Roman;serif"/>
                  <w:b w:val="false"/>
                  <w:strike w:val="false"/>
                  <w:dstrike w:val="false"/>
                  <w:color w:val="000000"/>
                  <w:sz w:val="24"/>
                  <w:u w:val="none"/>
                  <w:effect w:val="none"/>
                </w:rPr>
                <w:t>SECTION 5.11    Accuracy of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12606998f945ffa1d8fe83508b074e">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95558458324832bee8001eb758e2eb">
              <w:r>
                <w:rPr>
                  <w:rStyle w:val="InternetLink"/>
                  <w:rFonts w:ascii="Times New Roman;serif" w:hAnsi="Times New Roman;serif"/>
                  <w:b w:val="false"/>
                  <w:strike w:val="false"/>
                  <w:dstrike w:val="false"/>
                  <w:color w:val="000000"/>
                  <w:sz w:val="24"/>
                  <w:u w:val="none"/>
                  <w:effect w:val="none"/>
                </w:rPr>
                <w:t>SECTION 5.12    Sanctions/Anti-Corruption Laws/Anti-Money Laundering Laws/International Trade Law Compliance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95558458324832bee8001eb758e2eb">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5bfc0f51b24b449290c67e067213d4">
              <w:r>
                <w:rPr>
                  <w:rStyle w:val="InternetLink"/>
                  <w:rFonts w:ascii="Times New Roman;serif" w:hAnsi="Times New Roman;serif"/>
                  <w:b w:val="false"/>
                  <w:strike w:val="false"/>
                  <w:dstrike w:val="false"/>
                  <w:color w:val="000000"/>
                  <w:sz w:val="24"/>
                  <w:u w:val="none"/>
                  <w:effect w:val="none"/>
                </w:rPr>
                <w:t xml:space="preserve">SECTION 5.13    Transaction Information.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5bfc0f51b24b449290c67e067213d4">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e5147b133a4632b53edbe185250bc7">
              <w:r>
                <w:rPr>
                  <w:rStyle w:val="InternetLink"/>
                  <w:rFonts w:ascii="Times New Roman;serif" w:hAnsi="Times New Roman;serif"/>
                  <w:b w:val="false"/>
                  <w:strike w:val="false"/>
                  <w:dstrike w:val="false"/>
                  <w:color w:val="000000"/>
                  <w:sz w:val="24"/>
                  <w:u w:val="none"/>
                  <w:effect w:val="none"/>
                </w:rPr>
                <w:t>SECTION 5.14    Compliance with Law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e5147b133a4632b53edbe185250bc7">
              <w:r>
                <w:rPr>
                  <w:rStyle w:val="InternetLink"/>
                  <w:rFonts w:ascii="Times New Roman;serif" w:hAnsi="Times New Roman;serif"/>
                  <w:b w:val="false"/>
                  <w:strike w:val="false"/>
                  <w:dstrike w:val="false"/>
                  <w:color w:val="000000"/>
                  <w:sz w:val="24"/>
                  <w:u w:val="none"/>
                  <w:effect w:val="none"/>
                </w:rPr>
                <w:t>16</w:t>
              </w:r>
            </w:hyperlink>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7"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Clause    Subject Matter    Page</w:t>
      </w:r>
    </w:p>
    <w:tbl>
      <w:tblPr>
        <w:tblW w:w="8701" w:type="dxa"/>
        <w:jc w:val="left"/>
        <w:tblInd w:w="0" w:type="dxa"/>
        <w:tblLayout w:type="fixed"/>
        <w:tblCellMar>
          <w:top w:w="28" w:type="dxa"/>
          <w:left w:w="28" w:type="dxa"/>
          <w:bottom w:w="28" w:type="dxa"/>
          <w:right w:w="28" w:type="dxa"/>
        </w:tblCellMar>
      </w:tblPr>
      <w:tblGrid>
        <w:gridCol w:w="3009"/>
        <w:gridCol w:w="2648"/>
        <w:gridCol w:w="2653"/>
        <w:gridCol w:w="114"/>
        <w:gridCol w:w="114"/>
        <w:gridCol w:w="163"/>
      </w:tblGrid>
      <w:tr>
        <w:trPr/>
        <w:tc>
          <w:tcPr>
            <w:tcW w:w="30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65c071954749c9bce8e0279ace0e63">
              <w:r>
                <w:rPr>
                  <w:rStyle w:val="InternetLink"/>
                  <w:rFonts w:ascii="Times New Roman;serif" w:hAnsi="Times New Roman;serif"/>
                  <w:b w:val="false"/>
                  <w:strike w:val="false"/>
                  <w:dstrike w:val="false"/>
                  <w:color w:val="000000"/>
                  <w:sz w:val="24"/>
                  <w:u w:val="none"/>
                  <w:effect w:val="none"/>
                </w:rPr>
                <w:t>SECTION 5.15    Eligible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65c071954749c9bce8e0279ace0e63">
              <w:r>
                <w:rPr>
                  <w:rStyle w:val="InternetLink"/>
                  <w:rFonts w:ascii="Times New Roman;serif" w:hAnsi="Times New Roman;serif"/>
                  <w:b w:val="false"/>
                  <w:strike w:val="false"/>
                  <w:dstrike w:val="false"/>
                  <w:color w:val="000000"/>
                  <w:sz w:val="24"/>
                  <w:u w:val="none"/>
                  <w:effect w:val="none"/>
                </w:rPr>
                <w:t>16</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bc36b7e24246788df1be37e7aca473">
              <w:r>
                <w:rPr>
                  <w:rStyle w:val="InternetLink"/>
                  <w:rFonts w:ascii="Times New Roman;serif" w:hAnsi="Times New Roman;serif"/>
                  <w:b w:val="false"/>
                  <w:strike w:val="false"/>
                  <w:dstrike w:val="false"/>
                  <w:color w:val="000000"/>
                  <w:sz w:val="24"/>
                  <w:u w:val="none"/>
                  <w:effect w:val="none"/>
                </w:rPr>
                <w:t>SECTION 5.16    Bulk Sales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bc36b7e24246788df1be37e7aca473">
              <w:r>
                <w:rPr>
                  <w:rStyle w:val="InternetLink"/>
                  <w:rFonts w:ascii="Times New Roman;serif" w:hAnsi="Times New Roman;serif"/>
                  <w:b w:val="false"/>
                  <w:strike w:val="false"/>
                  <w:dstrike w:val="false"/>
                  <w:color w:val="000000"/>
                  <w:sz w:val="24"/>
                  <w:u w:val="none"/>
                  <w:effect w:val="none"/>
                </w:rPr>
                <w:t>16</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1d333b9270452d802e70c21785affd">
              <w:r>
                <w:rPr>
                  <w:rStyle w:val="InternetLink"/>
                  <w:rFonts w:ascii="Times New Roman;serif" w:hAnsi="Times New Roman;serif"/>
                  <w:b w:val="false"/>
                  <w:strike w:val="false"/>
                  <w:dstrike w:val="false"/>
                  <w:color w:val="000000"/>
                  <w:sz w:val="24"/>
                  <w:u w:val="none"/>
                  <w:effect w:val="none"/>
                </w:rPr>
                <w:t>SECTION 5.17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1d333b9270452d802e70c21785affd">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652163b73a47e796553749818839ba">
              <w:r>
                <w:rPr>
                  <w:rStyle w:val="InternetLink"/>
                  <w:rFonts w:ascii="Times New Roman;serif" w:hAnsi="Times New Roman;serif"/>
                  <w:b w:val="false"/>
                  <w:strike w:val="false"/>
                  <w:dstrike w:val="false"/>
                  <w:color w:val="000000"/>
                  <w:sz w:val="24"/>
                  <w:u w:val="none"/>
                  <w:effect w:val="none"/>
                </w:rPr>
                <w:t>SECTION 5.18    Opinions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652163b73a47e796553749818839ba">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ae55a94254462ea07f998e7459d229">
              <w:r>
                <w:rPr>
                  <w:rStyle w:val="InternetLink"/>
                  <w:rFonts w:ascii="Times New Roman;serif" w:hAnsi="Times New Roman;serif"/>
                  <w:b w:val="false"/>
                  <w:strike w:val="false"/>
                  <w:dstrike w:val="false"/>
                  <w:color w:val="000000"/>
                  <w:sz w:val="24"/>
                  <w:u w:val="none"/>
                  <w:effect w:val="none"/>
                </w:rPr>
                <w:t>SECTION 5.19    Other Transaction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ae55a94254462ea07f998e7459d229">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b567baf7ca4f758bc08d9c89956f8b">
              <w:r>
                <w:rPr>
                  <w:rStyle w:val="InternetLink"/>
                  <w:rFonts w:ascii="Times New Roman;serif" w:hAnsi="Times New Roman;serif"/>
                  <w:b w:val="false"/>
                  <w:strike w:val="false"/>
                  <w:dstrike w:val="false"/>
                  <w:color w:val="000000"/>
                  <w:sz w:val="24"/>
                  <w:u w:val="none"/>
                  <w:effect w:val="none"/>
                </w:rPr>
                <w:t>SECTION 5.20    No Linked Accounts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b567baf7ca4f758bc08d9c89956f8b">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c5cb0394304fc6b90aa065d035f0e2">
              <w:r>
                <w:rPr>
                  <w:rStyle w:val="InternetLink"/>
                  <w:rFonts w:ascii="Times New Roman;serif" w:hAnsi="Times New Roman;serif"/>
                  <w:b w:val="false"/>
                  <w:strike w:val="false"/>
                  <w:dstrike w:val="false"/>
                  <w:color w:val="000000"/>
                  <w:sz w:val="24"/>
                  <w:u w:val="none"/>
                  <w:effect w:val="none"/>
                </w:rPr>
                <w:t>SECTION 5.21    Margin Regulations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c5cb0394304fc6b90aa065d035f0e2">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16b6dd0f64f8bb8e356b2abe80b07">
              <w:r>
                <w:rPr>
                  <w:rStyle w:val="InternetLink"/>
                  <w:rFonts w:ascii="Times New Roman;serif" w:hAnsi="Times New Roman;serif"/>
                  <w:b w:val="false"/>
                  <w:strike w:val="false"/>
                  <w:dstrike w:val="false"/>
                  <w:color w:val="000000"/>
                  <w:sz w:val="24"/>
                  <w:u w:val="none"/>
                  <w:effect w:val="none"/>
                </w:rPr>
                <w:t>SECTION 5.22    Solvency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16b6dd0f64f8bb8e356b2abe80b07">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ff5470e02c4421aa2abdde7538d484">
              <w:r>
                <w:rPr>
                  <w:rStyle w:val="InternetLink"/>
                  <w:rFonts w:ascii="Times New Roman;serif" w:hAnsi="Times New Roman;serif"/>
                  <w:b w:val="false"/>
                  <w:strike w:val="false"/>
                  <w:dstrike w:val="false"/>
                  <w:color w:val="000000"/>
                  <w:sz w:val="24"/>
                  <w:u w:val="none"/>
                  <w:effect w:val="none"/>
                </w:rPr>
                <w:t xml:space="preserve">SECTION 5.23    Perfection Representations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f5470e02c4421aa2abdde7538d484">
              <w:r>
                <w:rPr>
                  <w:rStyle w:val="InternetLink"/>
                  <w:rFonts w:ascii="Times New Roman;serif" w:hAnsi="Times New Roman;serif"/>
                  <w:b w:val="false"/>
                  <w:strike w:val="false"/>
                  <w:dstrike w:val="false"/>
                  <w:color w:val="000000"/>
                  <w:sz w:val="24"/>
                  <w:u w:val="none"/>
                  <w:effect w:val="none"/>
                </w:rPr>
                <w:t>17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8cb9a66c334614902b5b8b6025959f">
              <w:r>
                <w:rPr>
                  <w:rStyle w:val="InternetLink"/>
                  <w:rFonts w:ascii="Times New Roman;serif" w:hAnsi="Times New Roman;serif"/>
                  <w:b w:val="false"/>
                  <w:strike w:val="false"/>
                  <w:dstrike w:val="false"/>
                  <w:color w:val="000000"/>
                  <w:sz w:val="24"/>
                  <w:u w:val="none"/>
                  <w:effect w:val="none"/>
                </w:rPr>
                <w:t>SECTION 5.24    Ordinary Course of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8cb9a66c334614902b5b8b6025959f">
              <w:r>
                <w:rPr>
                  <w:rStyle w:val="InternetLink"/>
                  <w:rFonts w:ascii="Times New Roman;serif" w:hAnsi="Times New Roman;serif"/>
                  <w:b w:val="false"/>
                  <w:strike w:val="false"/>
                  <w:dstrike w:val="false"/>
                  <w:color w:val="000000"/>
                  <w:sz w:val="24"/>
                  <w:u w:val="none"/>
                  <w:effect w:val="none"/>
                </w:rPr>
                <w:t>18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d93666e55a4a70b874eb20a5f55375">
              <w:r>
                <w:rPr>
                  <w:rStyle w:val="InternetLink"/>
                  <w:rFonts w:ascii="Times New Roman;serif" w:hAnsi="Times New Roman;serif"/>
                  <w:b w:val="false"/>
                  <w:strike w:val="false"/>
                  <w:dstrike w:val="false"/>
                  <w:color w:val="000000"/>
                  <w:sz w:val="24"/>
                  <w:u w:val="none"/>
                  <w:effect w:val="none"/>
                </w:rPr>
                <w:t>SECTION 5.25    Credit and Collection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d93666e55a4a70b874eb20a5f55375">
              <w:r>
                <w:rPr>
                  <w:rStyle w:val="InternetLink"/>
                  <w:rFonts w:ascii="Times New Roman;serif" w:hAnsi="Times New Roman;serif"/>
                  <w:b w:val="false"/>
                  <w:strike w:val="false"/>
                  <w:dstrike w:val="false"/>
                  <w:color w:val="000000"/>
                  <w:sz w:val="24"/>
                  <w:u w:val="none"/>
                  <w:effect w:val="none"/>
                </w:rPr>
                <w:t>18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3f38505edb48b1955a85d14ccdf72d">
              <w:r>
                <w:rPr>
                  <w:rStyle w:val="InternetLink"/>
                  <w:rFonts w:ascii="Times New Roman;serif" w:hAnsi="Times New Roman;serif"/>
                  <w:b w:val="false"/>
                  <w:strike w:val="false"/>
                  <w:dstrike w:val="false"/>
                  <w:color w:val="000000"/>
                  <w:sz w:val="24"/>
                  <w:u w:val="none"/>
                  <w:effect w:val="none"/>
                </w:rPr>
                <w:t>SECTION 5.26    Servicing Programs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3f38505edb48b1955a85d14ccdf72d">
              <w:r>
                <w:rPr>
                  <w:rStyle w:val="InternetLink"/>
                  <w:rFonts w:ascii="Times New Roman;serif" w:hAnsi="Times New Roman;serif"/>
                  <w:b w:val="false"/>
                  <w:strike w:val="false"/>
                  <w:dstrike w:val="false"/>
                  <w:color w:val="000000"/>
                  <w:sz w:val="24"/>
                  <w:u w:val="none"/>
                  <w:effect w:val="none"/>
                </w:rPr>
                <w:t>18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833b04840b402a981580dd78af0e8a">
              <w:r>
                <w:rPr>
                  <w:rStyle w:val="InternetLink"/>
                  <w:rFonts w:ascii="Times New Roman;serif" w:hAnsi="Times New Roman;serif"/>
                  <w:b w:val="false"/>
                  <w:strike w:val="false"/>
                  <w:dstrike w:val="false"/>
                  <w:color w:val="000000"/>
                  <w:sz w:val="24"/>
                  <w:u w:val="none"/>
                  <w:effect w:val="none"/>
                </w:rPr>
                <w:t>SECTION 5.27    Servicing of Pool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833b04840b402a981580dd78af0e8a">
              <w:r>
                <w:rPr>
                  <w:rStyle w:val="InternetLink"/>
                  <w:rFonts w:ascii="Times New Roman;serif" w:hAnsi="Times New Roman;serif"/>
                  <w:b w:val="false"/>
                  <w:strike w:val="false"/>
                  <w:dstrike w:val="false"/>
                  <w:color w:val="000000"/>
                  <w:sz w:val="24"/>
                  <w:u w:val="none"/>
                  <w:effect w:val="none"/>
                </w:rPr>
                <w:t>18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7139344b244cafbecfc794b111873f">
              <w:r>
                <w:rPr>
                  <w:rStyle w:val="InternetLink"/>
                  <w:rFonts w:ascii="Times New Roman;serif" w:hAnsi="Times New Roman;serif"/>
                  <w:b w:val="false"/>
                  <w:strike w:val="false"/>
                  <w:dstrike w:val="false"/>
                  <w:color w:val="000000"/>
                  <w:sz w:val="24"/>
                  <w:u w:val="none"/>
                  <w:effect w:val="none"/>
                </w:rPr>
                <w:t>SECTION 5.28    Financial Condition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7139344b244cafbecfc794b111873f">
              <w:r>
                <w:rPr>
                  <w:rStyle w:val="InternetLink"/>
                  <w:rFonts w:ascii="Times New Roman;serif" w:hAnsi="Times New Roman;serif"/>
                  <w:b w:val="false"/>
                  <w:strike w:val="false"/>
                  <w:dstrike w:val="false"/>
                  <w:color w:val="000000"/>
                  <w:sz w:val="24"/>
                  <w:u w:val="none"/>
                  <w:effect w:val="none"/>
                </w:rPr>
                <w:t>19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8363934669430c8cf6526a7bd5a7d5">
              <w:r>
                <w:rPr>
                  <w:rStyle w:val="InternetLink"/>
                  <w:rFonts w:ascii="Times New Roman;serif" w:hAnsi="Times New Roman;serif"/>
                  <w:b w:val="false"/>
                  <w:strike w:val="false"/>
                  <w:dstrike w:val="false"/>
                  <w:color w:val="000000"/>
                  <w:sz w:val="24"/>
                  <w:u w:val="none"/>
                  <w:effect w:val="none"/>
                </w:rPr>
                <w:t>SECTION 5.29    Valid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8363934669430c8cf6526a7bd5a7d5">
              <w:r>
                <w:rPr>
                  <w:rStyle w:val="InternetLink"/>
                  <w:rFonts w:ascii="Times New Roman;serif" w:hAnsi="Times New Roman;serif"/>
                  <w:b w:val="false"/>
                  <w:strike w:val="false"/>
                  <w:dstrike w:val="false"/>
                  <w:color w:val="000000"/>
                  <w:sz w:val="24"/>
                  <w:u w:val="none"/>
                  <w:effect w:val="none"/>
                </w:rPr>
                <w:t>19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c085c908874c80a0362f614a2c8eab">
              <w:r>
                <w:rPr>
                  <w:rStyle w:val="InternetLink"/>
                  <w:rFonts w:ascii="Times New Roman;serif" w:hAnsi="Times New Roman;serif"/>
                  <w:b w:val="false"/>
                  <w:strike w:val="false"/>
                  <w:dstrike w:val="false"/>
                  <w:color w:val="000000"/>
                  <w:sz w:val="24"/>
                  <w:u w:val="none"/>
                  <w:effect w:val="none"/>
                </w:rPr>
                <w:t>SECTION 5.30    Good Title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c085c908874c80a0362f614a2c8eab">
              <w:r>
                <w:rPr>
                  <w:rStyle w:val="InternetLink"/>
                  <w:rFonts w:ascii="Times New Roman;serif" w:hAnsi="Times New Roman;serif"/>
                  <w:b w:val="false"/>
                  <w:strike w:val="false"/>
                  <w:dstrike w:val="false"/>
                  <w:color w:val="000000"/>
                  <w:sz w:val="24"/>
                  <w:u w:val="none"/>
                  <w:effect w:val="none"/>
                </w:rPr>
                <w:t>19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06de9880f946a9be6c61c7ba94da00">
              <w:r>
                <w:rPr>
                  <w:rStyle w:val="InternetLink"/>
                  <w:rFonts w:ascii="Times New Roman;serif" w:hAnsi="Times New Roman;serif"/>
                  <w:b w:val="false"/>
                  <w:strike w:val="false"/>
                  <w:dstrike w:val="false"/>
                  <w:color w:val="000000"/>
                  <w:sz w:val="24"/>
                  <w:u w:val="none"/>
                  <w:effect w:val="none"/>
                </w:rPr>
                <w:t>SECTION 5.31    Reliance on Separate Legal Identity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06de9880f946a9be6c61c7ba94da00">
              <w:r>
                <w:rPr>
                  <w:rStyle w:val="InternetLink"/>
                  <w:rFonts w:ascii="Times New Roman;serif" w:hAnsi="Times New Roman;serif"/>
                  <w:b w:val="false"/>
                  <w:strike w:val="false"/>
                  <w:dstrike w:val="false"/>
                  <w:color w:val="000000"/>
                  <w:sz w:val="24"/>
                  <w:u w:val="none"/>
                  <w:effect w:val="none"/>
                </w:rPr>
                <w:t>19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68c1b6319648d89538640c2d9b2dab">
              <w:r>
                <w:rPr>
                  <w:rStyle w:val="InternetLink"/>
                  <w:rFonts w:ascii="Times New Roman;serif" w:hAnsi="Times New Roman;serif"/>
                  <w:b w:val="false"/>
                  <w:strike w:val="false"/>
                  <w:dstrike w:val="false"/>
                  <w:color w:val="000000"/>
                  <w:sz w:val="24"/>
                  <w:u w:val="none"/>
                  <w:effect w:val="none"/>
                </w:rPr>
                <w:t>SECTION 5.32    Adverse Change in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68c1b6319648d89538640c2d9b2dab">
              <w:r>
                <w:rPr>
                  <w:rStyle w:val="InternetLink"/>
                  <w:rFonts w:ascii="Times New Roman;serif" w:hAnsi="Times New Roman;serif"/>
                  <w:b w:val="false"/>
                  <w:strike w:val="false"/>
                  <w:dstrike w:val="false"/>
                  <w:color w:val="000000"/>
                  <w:sz w:val="24"/>
                  <w:u w:val="none"/>
                  <w:effect w:val="none"/>
                </w:rPr>
                <w:t>19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d8c12375147b48a5b5fe261b3bbc8">
              <w:r>
                <w:rPr>
                  <w:rStyle w:val="InternetLink"/>
                  <w:rFonts w:ascii="Times New Roman;serif" w:hAnsi="Times New Roman;serif"/>
                  <w:b w:val="false"/>
                  <w:strike w:val="false"/>
                  <w:dstrike w:val="false"/>
                  <w:color w:val="000000"/>
                  <w:sz w:val="24"/>
                  <w:u w:val="none"/>
                  <w:effect w:val="none"/>
                </w:rPr>
                <w:t>SECTION 5.33    No Fraudulent Conveyance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d8c12375147b48a5b5fe261b3bbc8">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f6c92e338043dcbb1dba3aecc20284">
              <w:r>
                <w:rPr>
                  <w:rStyle w:val="InternetLink"/>
                  <w:rFonts w:ascii="Times New Roman;serif" w:hAnsi="Times New Roman;serif"/>
                  <w:b w:val="false"/>
                  <w:strike w:val="false"/>
                  <w:dstrike w:val="false"/>
                  <w:color w:val="000000"/>
                  <w:sz w:val="24"/>
                  <w:u w:val="none"/>
                  <w:effect w:val="none"/>
                </w:rPr>
                <w:t>SECTION 5.34    Nature of Pool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f6c92e338043dcbb1dba3aecc20284">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2f03a4ec584314bc8367837843cf1f">
              <w:r>
                <w:rPr>
                  <w:rStyle w:val="InternetLink"/>
                  <w:rFonts w:ascii="Times New Roman;serif" w:hAnsi="Times New Roman;serif"/>
                  <w:b w:val="false"/>
                  <w:strike w:val="false"/>
                  <w:dstrike w:val="false"/>
                  <w:color w:val="000000"/>
                  <w:sz w:val="24"/>
                  <w:u w:val="none"/>
                  <w:effect w:val="none"/>
                </w:rPr>
                <w:t>SECTION 5.35    Enforceability of Contracts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2f03a4ec584314bc8367837843cf1f">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37c70ef973474398312cf628716038">
              <w:r>
                <w:rPr>
                  <w:rStyle w:val="InternetLink"/>
                  <w:rFonts w:ascii="Times New Roman;serif" w:hAnsi="Times New Roman;serif"/>
                  <w:b w:val="false"/>
                  <w:strike w:val="false"/>
                  <w:dstrike w:val="false"/>
                  <w:color w:val="000000"/>
                  <w:sz w:val="24"/>
                  <w:u w:val="none"/>
                  <w:effect w:val="none"/>
                </w:rPr>
                <w:t>SECTION 5.36    Reaffirmation of Representations and Warranties by each Originator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37c70ef973474398312cf628716038">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8a239c1ff44cf9a204af49bf4ccef5">
              <w:r>
                <w:rPr>
                  <w:rStyle w:val="InternetLink"/>
                  <w:rFonts w:ascii="Times New Roman;serif" w:hAnsi="Times New Roman;serif"/>
                  <w:b w:val="false"/>
                  <w:strike w:val="false"/>
                  <w:dstrike w:val="false"/>
                  <w:color w:val="000000"/>
                  <w:sz w:val="24"/>
                  <w:u w:val="none"/>
                  <w:effect w:val="none"/>
                </w:rPr>
                <w:t>ARTICLE VI    </w:t>
                <w:br/>
                <w:t>COVENANTS OF THE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8a239c1ff44cf9a204af49bf4ccef5">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5fcbc8bab974ee7a4895b021d38923c">
              <w:r>
                <w:rPr>
                  <w:rStyle w:val="InternetLink"/>
                  <w:rFonts w:ascii="Times New Roman;serif" w:hAnsi="Times New Roman;serif"/>
                  <w:b w:val="false"/>
                  <w:strike w:val="false"/>
                  <w:dstrike w:val="false"/>
                  <w:color w:val="000000"/>
                  <w:sz w:val="24"/>
                  <w:u w:val="none"/>
                  <w:effect w:val="none"/>
                </w:rPr>
                <w:t>SECTION 6.1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fcbc8bab974ee7a4895b021d38923c">
              <w:r>
                <w:rPr>
                  <w:rStyle w:val="InternetLink"/>
                  <w:rFonts w:ascii="Times New Roman;serif" w:hAnsi="Times New Roman;serif"/>
                  <w:b w:val="false"/>
                  <w:strike w:val="false"/>
                  <w:dstrike w:val="false"/>
                  <w:color w:val="000000"/>
                  <w:sz w:val="24"/>
                  <w:u w:val="none"/>
                  <w:effect w:val="none"/>
                </w:rPr>
                <w:t>20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8c2c2effed494287890699279610c4">
              <w:r>
                <w:rPr>
                  <w:rStyle w:val="InternetLink"/>
                  <w:rFonts w:ascii="Times New Roman;serif" w:hAnsi="Times New Roman;serif"/>
                  <w:b w:val="false"/>
                  <w:strike w:val="false"/>
                  <w:dstrike w:val="false"/>
                  <w:color w:val="000000"/>
                  <w:sz w:val="24"/>
                  <w:u w:val="none"/>
                  <w:effect w:val="none"/>
                </w:rPr>
                <w:t>SECTION 6.2    Separateness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8c2c2effed494287890699279610c4">
              <w:r>
                <w:rPr>
                  <w:rStyle w:val="InternetLink"/>
                  <w:rFonts w:ascii="Times New Roman;serif" w:hAnsi="Times New Roman;serif"/>
                  <w:b w:val="false"/>
                  <w:strike w:val="false"/>
                  <w:dstrike w:val="false"/>
                  <w:color w:val="000000"/>
                  <w:sz w:val="24"/>
                  <w:u w:val="none"/>
                  <w:effect w:val="none"/>
                </w:rPr>
                <w:t>27</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0839a01d9a4401a26620b326bf9605">
              <w:r>
                <w:rPr>
                  <w:rStyle w:val="InternetLink"/>
                  <w:rFonts w:ascii="Times New Roman;serif" w:hAnsi="Times New Roman;serif"/>
                  <w:b w:val="false"/>
                  <w:strike w:val="false"/>
                  <w:dstrike w:val="false"/>
                  <w:color w:val="000000"/>
                  <w:sz w:val="24"/>
                  <w:u w:val="none"/>
                  <w:effect w:val="none"/>
                </w:rPr>
                <w:t>ARTICLE VII    </w:t>
                <w:br/>
                <w:t>ADDITIONAL RIGHTS AND OBLIGATIONS</w:t>
                <w:br/>
                <w:t>IN RESPECT OF RECEIVABLES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0839a01d9a4401a26620b326bf9605">
              <w:r>
                <w:rPr>
                  <w:rStyle w:val="InternetLink"/>
                  <w:rFonts w:ascii="Times New Roman;serif" w:hAnsi="Times New Roman;serif"/>
                  <w:b w:val="false"/>
                  <w:strike w:val="false"/>
                  <w:dstrike w:val="false"/>
                  <w:color w:val="000000"/>
                  <w:sz w:val="24"/>
                  <w:u w:val="none"/>
                  <w:effect w:val="none"/>
                </w:rPr>
                <w:t>28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e0d58b598024e76aeb2bdb8e6668eda">
              <w:r>
                <w:rPr>
                  <w:rStyle w:val="InternetLink"/>
                  <w:rFonts w:ascii="Times New Roman;serif" w:hAnsi="Times New Roman;serif"/>
                  <w:b w:val="false"/>
                  <w:strike w:val="false"/>
                  <w:dstrike w:val="false"/>
                  <w:color w:val="000000"/>
                  <w:sz w:val="24"/>
                  <w:u w:val="none"/>
                  <w:effect w:val="none"/>
                </w:rPr>
                <w:t>SECTION 7.1    Rights of the Buyer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0d58b598024e76aeb2bdb8e6668eda">
              <w:r>
                <w:rPr>
                  <w:rStyle w:val="InternetLink"/>
                  <w:rFonts w:ascii="Times New Roman;serif" w:hAnsi="Times New Roman;serif"/>
                  <w:b w:val="false"/>
                  <w:strike w:val="false"/>
                  <w:dstrike w:val="false"/>
                  <w:color w:val="000000"/>
                  <w:sz w:val="24"/>
                  <w:u w:val="none"/>
                  <w:effect w:val="none"/>
                </w:rPr>
                <w:t>28</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3507b876774c30a1a4a1691af5cfbd">
              <w:r>
                <w:rPr>
                  <w:rStyle w:val="InternetLink"/>
                  <w:rFonts w:ascii="Times New Roman;serif" w:hAnsi="Times New Roman;serif"/>
                  <w:b w:val="false"/>
                  <w:strike w:val="false"/>
                  <w:dstrike w:val="false"/>
                  <w:color w:val="000000"/>
                  <w:sz w:val="24"/>
                  <w:u w:val="none"/>
                  <w:effect w:val="none"/>
                </w:rPr>
                <w:t>SECTION 7.2    Responsibilities of the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3507b876774c30a1a4a1691af5cfbd">
              <w:r>
                <w:rPr>
                  <w:rStyle w:val="InternetLink"/>
                  <w:rFonts w:ascii="Times New Roman;serif" w:hAnsi="Times New Roman;serif"/>
                  <w:b w:val="false"/>
                  <w:strike w:val="false"/>
                  <w:dstrike w:val="false"/>
                  <w:color w:val="000000"/>
                  <w:sz w:val="24"/>
                  <w:u w:val="none"/>
                  <w:effect w:val="none"/>
                </w:rPr>
                <w:t>29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2331bd7df9e43629bac9ac404b78be8">
              <w:r>
                <w:rPr>
                  <w:rStyle w:val="InternetLink"/>
                  <w:rFonts w:ascii="Times New Roman;serif" w:hAnsi="Times New Roman;serif"/>
                  <w:b w:val="false"/>
                  <w:strike w:val="false"/>
                  <w:dstrike w:val="false"/>
                  <w:color w:val="000000"/>
                  <w:sz w:val="24"/>
                  <w:u w:val="none"/>
                  <w:effect w:val="none"/>
                </w:rPr>
                <w:t>SECTION 7.3    Further Action Evidencing Purchases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331bd7df9e43629bac9ac404b78be8">
              <w:r>
                <w:rPr>
                  <w:rStyle w:val="InternetLink"/>
                  <w:rFonts w:ascii="Times New Roman;serif" w:hAnsi="Times New Roman;serif"/>
                  <w:b w:val="false"/>
                  <w:strike w:val="false"/>
                  <w:dstrike w:val="false"/>
                  <w:color w:val="000000"/>
                  <w:sz w:val="24"/>
                  <w:u w:val="none"/>
                  <w:effect w:val="none"/>
                </w:rPr>
                <w:t>29</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bddbe0e05f4a50ab519756541b063e">
              <w:r>
                <w:rPr>
                  <w:rStyle w:val="InternetLink"/>
                  <w:rFonts w:ascii="Times New Roman;serif" w:hAnsi="Times New Roman;serif"/>
                  <w:b w:val="false"/>
                  <w:strike w:val="false"/>
                  <w:dstrike w:val="false"/>
                  <w:color w:val="000000"/>
                  <w:sz w:val="24"/>
                  <w:u w:val="none"/>
                  <w:effect w:val="none"/>
                </w:rPr>
                <w:t>SECTION 7.4    Application of Collections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bddbe0e05f4a50ab519756541b063e">
              <w:r>
                <w:rPr>
                  <w:rStyle w:val="InternetLink"/>
                  <w:rFonts w:ascii="Times New Roman;serif" w:hAnsi="Times New Roman;serif"/>
                  <w:b w:val="false"/>
                  <w:strike w:val="false"/>
                  <w:dstrike w:val="false"/>
                  <w:color w:val="000000"/>
                  <w:sz w:val="24"/>
                  <w:u w:val="none"/>
                  <w:effect w:val="none"/>
                </w:rPr>
                <w:t>30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00365dd367422cbbb8bb0b9c52a2a9">
              <w:r>
                <w:rPr>
                  <w:rStyle w:val="InternetLink"/>
                  <w:rFonts w:ascii="Times New Roman;serif" w:hAnsi="Times New Roman;serif"/>
                  <w:b w:val="false"/>
                  <w:strike w:val="false"/>
                  <w:dstrike w:val="false"/>
                  <w:color w:val="000000"/>
                  <w:sz w:val="24"/>
                  <w:u w:val="none"/>
                  <w:effect w:val="none"/>
                </w:rPr>
                <w:t>SECTION 7.5    Performance of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00365dd367422cbbb8bb0b9c52a2a9">
              <w:r>
                <w:rPr>
                  <w:rStyle w:val="InternetLink"/>
                  <w:rFonts w:ascii="Times New Roman;serif" w:hAnsi="Times New Roman;serif"/>
                  <w:b w:val="false"/>
                  <w:strike w:val="false"/>
                  <w:dstrike w:val="false"/>
                  <w:color w:val="000000"/>
                  <w:sz w:val="24"/>
                  <w:u w:val="none"/>
                  <w:effect w:val="none"/>
                </w:rPr>
                <w:t>30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10c7aa0e94ef6a97ed78124cb9ce4">
              <w:r>
                <w:rPr>
                  <w:rStyle w:val="InternetLink"/>
                  <w:rFonts w:ascii="Times New Roman;serif" w:hAnsi="Times New Roman;serif"/>
                  <w:b w:val="false"/>
                  <w:strike w:val="false"/>
                  <w:dstrike w:val="false"/>
                  <w:color w:val="000000"/>
                  <w:sz w:val="24"/>
                  <w:u w:val="none"/>
                  <w:effect w:val="none"/>
                </w:rPr>
                <w:t>ARTICLE VIII    </w:t>
                <w:br/>
                <w:t>PURCHASE AND SALE TERMINATION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10c7aa0e94ef6a97ed78124cb9ce4">
              <w:r>
                <w:rPr>
                  <w:rStyle w:val="InternetLink"/>
                  <w:rFonts w:ascii="Times New Roman;serif" w:hAnsi="Times New Roman;serif"/>
                  <w:b w:val="false"/>
                  <w:strike w:val="false"/>
                  <w:dstrike w:val="false"/>
                  <w:color w:val="000000"/>
                  <w:sz w:val="24"/>
                  <w:u w:val="none"/>
                  <w:effect w:val="none"/>
                </w:rPr>
                <w:t>30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54308b6d164e9cbba62f824b92f8ea">
              <w:r>
                <w:rPr>
                  <w:rStyle w:val="InternetLink"/>
                  <w:rFonts w:ascii="Times New Roman;serif" w:hAnsi="Times New Roman;serif"/>
                  <w:b w:val="false"/>
                  <w:strike w:val="false"/>
                  <w:dstrike w:val="false"/>
                  <w:color w:val="000000"/>
                  <w:sz w:val="24"/>
                  <w:u w:val="none"/>
                  <w:effect w:val="none"/>
                </w:rPr>
                <w:t>SECTION 8.1    Purchase and Sale Termination Events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54308b6d164e9cbba62f824b92f8ea">
              <w:r>
                <w:rPr>
                  <w:rStyle w:val="InternetLink"/>
                  <w:rFonts w:ascii="Times New Roman;serif" w:hAnsi="Times New Roman;serif"/>
                  <w:b w:val="false"/>
                  <w:strike w:val="false"/>
                  <w:dstrike w:val="false"/>
                  <w:color w:val="000000"/>
                  <w:sz w:val="24"/>
                  <w:u w:val="none"/>
                  <w:effect w:val="none"/>
                </w:rPr>
                <w:t>30</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5e849ce0374acf9802ed419072c6f0">
              <w:r>
                <w:rPr>
                  <w:rStyle w:val="InternetLink"/>
                  <w:rFonts w:ascii="Times New Roman;serif" w:hAnsi="Times New Roman;serif"/>
                  <w:b w:val="false"/>
                  <w:strike w:val="false"/>
                  <w:dstrike w:val="false"/>
                  <w:color w:val="000000"/>
                  <w:sz w:val="24"/>
                  <w:u w:val="none"/>
                  <w:effect w:val="none"/>
                </w:rPr>
                <w:t>SECTION 8.2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5e849ce0374acf9802ed419072c6f0">
              <w:r>
                <w:rPr>
                  <w:rStyle w:val="InternetLink"/>
                  <w:rFonts w:ascii="Times New Roman;serif" w:hAnsi="Times New Roman;serif"/>
                  <w:b w:val="false"/>
                  <w:strike w:val="false"/>
                  <w:dstrike w:val="false"/>
                  <w:color w:val="000000"/>
                  <w:sz w:val="24"/>
                  <w:u w:val="none"/>
                  <w:effect w:val="none"/>
                </w:rPr>
                <w:t>32</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3c7fd26cd24f868a0d6c502e45c673">
              <w:r>
                <w:rPr>
                  <w:rStyle w:val="InternetLink"/>
                  <w:rFonts w:ascii="Times New Roman;serif" w:hAnsi="Times New Roman;serif"/>
                  <w:b w:val="false"/>
                  <w:strike w:val="false"/>
                  <w:dstrike w:val="false"/>
                  <w:color w:val="000000"/>
                  <w:sz w:val="24"/>
                  <w:u w:val="none"/>
                  <w:effect w:val="none"/>
                </w:rPr>
                <w:t>ARTICLE IX    </w:t>
                <w:br/>
                <w:t>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3c7fd26cd24f868a0d6c502e45c673">
              <w:r>
                <w:rPr>
                  <w:rStyle w:val="InternetLink"/>
                  <w:rFonts w:ascii="Times New Roman;serif" w:hAnsi="Times New Roman;serif"/>
                  <w:b w:val="false"/>
                  <w:strike w:val="false"/>
                  <w:dstrike w:val="false"/>
                  <w:color w:val="000000"/>
                  <w:sz w:val="24"/>
                  <w:u w:val="none"/>
                  <w:effect w:val="none"/>
                </w:rPr>
                <w:t>32</w:t>
              </w:r>
            </w:hyperlink>
          </w:p>
        </w:tc>
      </w:tr>
      <w:tr>
        <w:trPr/>
        <w:tc>
          <w:tcPr>
            <w:tcW w:w="8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c15e2da6744b80a469a9031f84c2d1">
              <w:r>
                <w:rPr>
                  <w:rStyle w:val="InternetLink"/>
                  <w:rFonts w:ascii="Times New Roman;serif" w:hAnsi="Times New Roman;serif"/>
                  <w:b w:val="false"/>
                  <w:strike w:val="false"/>
                  <w:dstrike w:val="false"/>
                  <w:color w:val="000000"/>
                  <w:sz w:val="24"/>
                  <w:u w:val="none"/>
                  <w:effect w:val="none"/>
                </w:rPr>
                <w:t>SECTION 9.1    Indemnities by the Originators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c15e2da6744b80a469a9031f84c2d1">
              <w:r>
                <w:rPr>
                  <w:rStyle w:val="InternetLink"/>
                  <w:rFonts w:ascii="Times New Roman;serif" w:hAnsi="Times New Roman;serif"/>
                  <w:b w:val="false"/>
                  <w:strike w:val="false"/>
                  <w:dstrike w:val="false"/>
                  <w:color w:val="000000"/>
                  <w:sz w:val="24"/>
                  <w:u w:val="none"/>
                  <w:effect w:val="none"/>
                </w:rPr>
                <w:t>32</w:t>
              </w:r>
            </w:hyperlink>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CONTENTS</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8"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93.8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Clause    Subject Matter    Page</w:t>
      </w:r>
    </w:p>
    <w:tbl>
      <w:tblPr>
        <w:tblW w:w="7936" w:type="dxa"/>
        <w:jc w:val="left"/>
        <w:tblInd w:w="0" w:type="dxa"/>
        <w:tblLayout w:type="fixed"/>
        <w:tblCellMar>
          <w:top w:w="28" w:type="dxa"/>
          <w:left w:w="28" w:type="dxa"/>
          <w:bottom w:w="28" w:type="dxa"/>
          <w:right w:w="28" w:type="dxa"/>
        </w:tblCellMar>
      </w:tblPr>
      <w:tblGrid>
        <w:gridCol w:w="2734"/>
        <w:gridCol w:w="2402"/>
        <w:gridCol w:w="2409"/>
        <w:gridCol w:w="114"/>
        <w:gridCol w:w="114"/>
        <w:gridCol w:w="163"/>
      </w:tblGrid>
      <w:tr>
        <w:trPr/>
        <w:tc>
          <w:tcPr>
            <w:tcW w:w="273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3b5db6600b4e08a94e219ecbaf8794">
              <w:r>
                <w:rPr>
                  <w:rStyle w:val="InternetLink"/>
                  <w:rFonts w:ascii="Times New Roman;serif" w:hAnsi="Times New Roman;serif"/>
                  <w:b w:val="false"/>
                  <w:strike w:val="false"/>
                  <w:dstrike w:val="false"/>
                  <w:color w:val="000000"/>
                  <w:sz w:val="24"/>
                  <w:u w:val="none"/>
                  <w:effect w:val="none"/>
                </w:rPr>
                <w:t>ARTICLE X    </w:t>
                <w:b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3b5db6600b4e08a94e219ecbaf8794">
              <w:r>
                <w:rPr>
                  <w:rStyle w:val="InternetLink"/>
                  <w:rFonts w:ascii="Times New Roman;serif" w:hAnsi="Times New Roman;serif"/>
                  <w:b w:val="false"/>
                  <w:strike w:val="false"/>
                  <w:dstrike w:val="false"/>
                  <w:color w:val="000000"/>
                  <w:sz w:val="24"/>
                  <w:u w:val="none"/>
                  <w:effect w:val="none"/>
                </w:rPr>
                <w:t>35</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de36384c934bccb0d297a978fd9999">
              <w:r>
                <w:rPr>
                  <w:rStyle w:val="InternetLink"/>
                  <w:rFonts w:ascii="Times New Roman;serif" w:hAnsi="Times New Roman;serif"/>
                  <w:b w:val="false"/>
                  <w:strike w:val="false"/>
                  <w:dstrike w:val="false"/>
                  <w:color w:val="000000"/>
                  <w:sz w:val="24"/>
                  <w:u w:val="none"/>
                  <w:effect w:val="none"/>
                </w:rPr>
                <w:t>SECTION 10.1    Amendments,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de36384c934bccb0d297a978fd9999">
              <w:r>
                <w:rPr>
                  <w:rStyle w:val="InternetLink"/>
                  <w:rFonts w:ascii="Times New Roman;serif" w:hAnsi="Times New Roman;serif"/>
                  <w:b w:val="false"/>
                  <w:strike w:val="false"/>
                  <w:dstrike w:val="false"/>
                  <w:color w:val="000000"/>
                  <w:sz w:val="24"/>
                  <w:u w:val="none"/>
                  <w:effect w:val="none"/>
                </w:rPr>
                <w:t>35</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78982ffde24a2684da0b144fe8e3db">
              <w:r>
                <w:rPr>
                  <w:rStyle w:val="InternetLink"/>
                  <w:rFonts w:ascii="Times New Roman;serif" w:hAnsi="Times New Roman;serif"/>
                  <w:b w:val="false"/>
                  <w:strike w:val="false"/>
                  <w:dstrike w:val="false"/>
                  <w:color w:val="000000"/>
                  <w:sz w:val="24"/>
                  <w:u w:val="none"/>
                  <w:effect w:val="none"/>
                </w:rPr>
                <w:t>SECTION 10.2    Notices,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78982ffde24a2684da0b144fe8e3db">
              <w:r>
                <w:rPr>
                  <w:rStyle w:val="InternetLink"/>
                  <w:rFonts w:ascii="Times New Roman;serif" w:hAnsi="Times New Roman;serif"/>
                  <w:b w:val="false"/>
                  <w:strike w:val="false"/>
                  <w:dstrike w:val="false"/>
                  <w:color w:val="000000"/>
                  <w:sz w:val="24"/>
                  <w:u w:val="none"/>
                  <w:effect w:val="none"/>
                </w:rPr>
                <w:t>35</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8acdda3bcf4b7084d465f0f0c303eb">
              <w:r>
                <w:rPr>
                  <w:rStyle w:val="InternetLink"/>
                  <w:rFonts w:ascii="Times New Roman;serif" w:hAnsi="Times New Roman;serif"/>
                  <w:b w:val="false"/>
                  <w:strike w:val="false"/>
                  <w:dstrike w:val="false"/>
                  <w:color w:val="000000"/>
                  <w:sz w:val="24"/>
                  <w:u w:val="none"/>
                  <w:effect w:val="none"/>
                </w:rPr>
                <w:t>SECTION 10.3    No Waiver; Cumulative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8acdda3bcf4b7084d465f0f0c303eb">
              <w:r>
                <w:rPr>
                  <w:rStyle w:val="InternetLink"/>
                  <w:rFonts w:ascii="Times New Roman;serif" w:hAnsi="Times New Roman;serif"/>
                  <w:b w:val="false"/>
                  <w:strike w:val="false"/>
                  <w:dstrike w:val="false"/>
                  <w:color w:val="000000"/>
                  <w:sz w:val="24"/>
                  <w:u w:val="none"/>
                  <w:effect w:val="none"/>
                </w:rPr>
                <w:t>36</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b43df5a4674740b810d6c6e2e84b69">
              <w:r>
                <w:rPr>
                  <w:rStyle w:val="InternetLink"/>
                  <w:rFonts w:ascii="Times New Roman;serif" w:hAnsi="Times New Roman;serif"/>
                  <w:b w:val="false"/>
                  <w:strike w:val="false"/>
                  <w:dstrike w:val="false"/>
                  <w:color w:val="000000"/>
                  <w:sz w:val="24"/>
                  <w:u w:val="none"/>
                  <w:effect w:val="none"/>
                </w:rPr>
                <w:t>SECTION 10.4    Binding Effect; Assignability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b43df5a4674740b810d6c6e2e84b69">
              <w:r>
                <w:rPr>
                  <w:rStyle w:val="InternetLink"/>
                  <w:rFonts w:ascii="Times New Roman;serif" w:hAnsi="Times New Roman;serif"/>
                  <w:b w:val="false"/>
                  <w:strike w:val="false"/>
                  <w:dstrike w:val="false"/>
                  <w:color w:val="000000"/>
                  <w:sz w:val="24"/>
                  <w:u w:val="none"/>
                  <w:effect w:val="none"/>
                </w:rPr>
                <w:t>36</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d548b8687e48f982fbcb9634206158">
              <w:r>
                <w:rPr>
                  <w:rStyle w:val="InternetLink"/>
                  <w:rFonts w:ascii="Times New Roman;serif" w:hAnsi="Times New Roman;serif"/>
                  <w:b w:val="false"/>
                  <w:strike w:val="false"/>
                  <w:dstrike w:val="false"/>
                  <w:color w:val="000000"/>
                  <w:sz w:val="24"/>
                  <w:u w:val="none"/>
                  <w:effect w:val="none"/>
                </w:rPr>
                <w:t>SECTION 10.5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d548b8687e48f982fbcb9634206158">
              <w:r>
                <w:rPr>
                  <w:rStyle w:val="InternetLink"/>
                  <w:rFonts w:ascii="Times New Roman;serif" w:hAnsi="Times New Roman;serif"/>
                  <w:b w:val="false"/>
                  <w:strike w:val="false"/>
                  <w:dstrike w:val="false"/>
                  <w:color w:val="000000"/>
                  <w:sz w:val="24"/>
                  <w:u w:val="none"/>
                  <w:effect w:val="none"/>
                </w:rPr>
                <w:t>36</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b06fc68e34414a9949c2955a06ef64">
              <w:r>
                <w:rPr>
                  <w:rStyle w:val="InternetLink"/>
                  <w:rFonts w:ascii="Times New Roman;serif" w:hAnsi="Times New Roman;serif"/>
                  <w:b w:val="false"/>
                  <w:strike w:val="false"/>
                  <w:dstrike w:val="false"/>
                  <w:color w:val="000000"/>
                  <w:sz w:val="24"/>
                  <w:u w:val="none"/>
                  <w:effect w:val="none"/>
                </w:rPr>
                <w:t>SECTION 10.6    Costs, Expenses and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b06fc68e34414a9949c2955a06ef64">
              <w:r>
                <w:rPr>
                  <w:rStyle w:val="InternetLink"/>
                  <w:rFonts w:ascii="Times New Roman;serif" w:hAnsi="Times New Roman;serif"/>
                  <w:b w:val="false"/>
                  <w:strike w:val="false"/>
                  <w:dstrike w:val="false"/>
                  <w:color w:val="000000"/>
                  <w:sz w:val="24"/>
                  <w:u w:val="none"/>
                  <w:effect w:val="none"/>
                </w:rPr>
                <w:t>36</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d6ff99522345aca9086bb9962a67de">
              <w:r>
                <w:rPr>
                  <w:rStyle w:val="InternetLink"/>
                  <w:rFonts w:ascii="Times New Roman;serif" w:hAnsi="Times New Roman;serif"/>
                  <w:b w:val="false"/>
                  <w:strike w:val="false"/>
                  <w:dstrike w:val="false"/>
                  <w:color w:val="000000"/>
                  <w:sz w:val="24"/>
                  <w:u w:val="none"/>
                  <w:effect w:val="none"/>
                </w:rPr>
                <w:t>SECTION 10.7    CONSENT TO JURISDICTION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d6ff99522345aca9086bb9962a67de">
              <w:r>
                <w:rPr>
                  <w:rStyle w:val="InternetLink"/>
                  <w:rFonts w:ascii="Times New Roman;serif" w:hAnsi="Times New Roman;serif"/>
                  <w:b w:val="false"/>
                  <w:strike w:val="false"/>
                  <w:dstrike w:val="false"/>
                  <w:color w:val="000000"/>
                  <w:sz w:val="24"/>
                  <w:u w:val="none"/>
                  <w:effect w:val="none"/>
                </w:rPr>
                <w:t>37</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3280950e604f8f8e12a5a3a00ec1e3">
              <w:r>
                <w:rPr>
                  <w:rStyle w:val="InternetLink"/>
                  <w:rFonts w:ascii="Times New Roman;serif" w:hAnsi="Times New Roman;serif"/>
                  <w:b w:val="false"/>
                  <w:strike w:val="false"/>
                  <w:dstrike w:val="false"/>
                  <w:color w:val="000000"/>
                  <w:sz w:val="24"/>
                  <w:u w:val="none"/>
                  <w:effect w:val="none"/>
                </w:rPr>
                <w:t>SECTION 10.8    WAIVER OF JURY TRIAL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3280950e604f8f8e12a5a3a00ec1e3">
              <w:r>
                <w:rPr>
                  <w:rStyle w:val="InternetLink"/>
                  <w:rFonts w:ascii="Times New Roman;serif" w:hAnsi="Times New Roman;serif"/>
                  <w:b w:val="false"/>
                  <w:strike w:val="false"/>
                  <w:dstrike w:val="false"/>
                  <w:color w:val="000000"/>
                  <w:sz w:val="24"/>
                  <w:u w:val="none"/>
                  <w:effect w:val="none"/>
                </w:rPr>
                <w:t>38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99de5059fd47cf99de623074a17224">
              <w:r>
                <w:rPr>
                  <w:rStyle w:val="InternetLink"/>
                  <w:rFonts w:ascii="Times New Roman;serif" w:hAnsi="Times New Roman;serif"/>
                  <w:b w:val="false"/>
                  <w:strike w:val="false"/>
                  <w:dstrike w:val="false"/>
                  <w:color w:val="000000"/>
                  <w:sz w:val="24"/>
                  <w:u w:val="none"/>
                  <w:effect w:val="none"/>
                </w:rPr>
                <w:t>SECTION 10.9    Captions and Cross References; Incorporation by Reference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99de5059fd47cf99de623074a17224">
              <w:r>
                <w:rPr>
                  <w:rStyle w:val="InternetLink"/>
                  <w:rFonts w:ascii="Times New Roman;serif" w:hAnsi="Times New Roman;serif"/>
                  <w:b w:val="false"/>
                  <w:strike w:val="false"/>
                  <w:dstrike w:val="false"/>
                  <w:color w:val="000000"/>
                  <w:sz w:val="24"/>
                  <w:u w:val="none"/>
                  <w:effect w:val="none"/>
                </w:rPr>
                <w:t>38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e98c8068ff4039bbdb581cd2c26a6d">
              <w:r>
                <w:rPr>
                  <w:rStyle w:val="InternetLink"/>
                  <w:rFonts w:ascii="Times New Roman;serif" w:hAnsi="Times New Roman;serif"/>
                  <w:b w:val="false"/>
                  <w:strike w:val="false"/>
                  <w:dstrike w:val="false"/>
                  <w:color w:val="000000"/>
                  <w:sz w:val="24"/>
                  <w:u w:val="none"/>
                  <w:effect w:val="none"/>
                </w:rPr>
                <w:t>SECTION 10.10    Execution in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e98c8068ff4039bbdb581cd2c26a6d">
              <w:r>
                <w:rPr>
                  <w:rStyle w:val="InternetLink"/>
                  <w:rFonts w:ascii="Times New Roman;serif" w:hAnsi="Times New Roman;serif"/>
                  <w:b w:val="false"/>
                  <w:strike w:val="false"/>
                  <w:dstrike w:val="false"/>
                  <w:color w:val="000000"/>
                  <w:sz w:val="24"/>
                  <w:u w:val="none"/>
                  <w:effect w:val="none"/>
                </w:rPr>
                <w:t>38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db5daa6a9b40e593847b8f5b806dfe">
              <w:r>
                <w:rPr>
                  <w:rStyle w:val="InternetLink"/>
                  <w:rFonts w:ascii="Times New Roman;serif" w:hAnsi="Times New Roman;serif"/>
                  <w:b w:val="false"/>
                  <w:strike w:val="false"/>
                  <w:dstrike w:val="false"/>
                  <w:color w:val="000000"/>
                  <w:sz w:val="24"/>
                  <w:u w:val="none"/>
                  <w:effect w:val="none"/>
                </w:rPr>
                <w:t>SECTION 10.11    Acknowledgment and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db5daa6a9b40e593847b8f5b806dfe">
              <w:r>
                <w:rPr>
                  <w:rStyle w:val="InternetLink"/>
                  <w:rFonts w:ascii="Times New Roman;serif" w:hAnsi="Times New Roman;serif"/>
                  <w:b w:val="false"/>
                  <w:strike w:val="false"/>
                  <w:dstrike w:val="false"/>
                  <w:color w:val="000000"/>
                  <w:sz w:val="24"/>
                  <w:u w:val="none"/>
                  <w:effect w:val="none"/>
                </w:rPr>
                <w:t>38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a838760a3ee46daa340b8d5d978f0ca">
              <w:r>
                <w:rPr>
                  <w:rStyle w:val="InternetLink"/>
                  <w:rFonts w:ascii="Times New Roman;serif" w:hAnsi="Times New Roman;serif"/>
                  <w:b w:val="false"/>
                  <w:strike w:val="false"/>
                  <w:dstrike w:val="false"/>
                  <w:color w:val="000000"/>
                  <w:sz w:val="24"/>
                  <w:u w:val="none"/>
                  <w:effect w:val="none"/>
                </w:rPr>
                <w:t>SECTION 10.12    No Proceeding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838760a3ee46daa340b8d5d978f0ca">
              <w:r>
                <w:rPr>
                  <w:rStyle w:val="InternetLink"/>
                  <w:rFonts w:ascii="Times New Roman;serif" w:hAnsi="Times New Roman;serif"/>
                  <w:b w:val="false"/>
                  <w:strike w:val="false"/>
                  <w:dstrike w:val="false"/>
                  <w:color w:val="000000"/>
                  <w:sz w:val="24"/>
                  <w:u w:val="none"/>
                  <w:effect w:val="none"/>
                </w:rPr>
                <w:t>38</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6067dc78b49759cf863701a458ec3">
              <w:r>
                <w:rPr>
                  <w:rStyle w:val="InternetLink"/>
                  <w:rFonts w:ascii="Times New Roman;serif" w:hAnsi="Times New Roman;serif"/>
                  <w:b w:val="false"/>
                  <w:strike w:val="false"/>
                  <w:dstrike w:val="false"/>
                  <w:color w:val="000000"/>
                  <w:sz w:val="24"/>
                  <w:u w:val="none"/>
                  <w:effect w:val="none"/>
                </w:rPr>
                <w:t>SECTION 10.13    Mutual Negotiations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06067dc78b49759cf863701a458ec3">
              <w:r>
                <w:rPr>
                  <w:rStyle w:val="InternetLink"/>
                  <w:rFonts w:ascii="Times New Roman;serif" w:hAnsi="Times New Roman;serif"/>
                  <w:b w:val="false"/>
                  <w:strike w:val="false"/>
                  <w:dstrike w:val="false"/>
                  <w:color w:val="000000"/>
                  <w:sz w:val="24"/>
                  <w:u w:val="none"/>
                  <w:effect w:val="none"/>
                </w:rPr>
                <w:t>39</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b3a08c97f26466b9882f56ef3e58f89">
              <w:r>
                <w:rPr>
                  <w:rStyle w:val="InternetLink"/>
                  <w:rFonts w:ascii="Times New Roman;serif" w:hAnsi="Times New Roman;serif"/>
                  <w:b w:val="false"/>
                  <w:strike w:val="false"/>
                  <w:dstrike w:val="false"/>
                  <w:color w:val="000000"/>
                  <w:sz w:val="24"/>
                  <w:u w:val="none"/>
                  <w:effect w:val="none"/>
                </w:rPr>
                <w:t>SECTION 10.14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a08c97f26466b9882f56ef3e58f89">
              <w:r>
                <w:rPr>
                  <w:rStyle w:val="InternetLink"/>
                  <w:rFonts w:ascii="Times New Roman;serif" w:hAnsi="Times New Roman;serif"/>
                  <w:b w:val="false"/>
                  <w:strike w:val="false"/>
                  <w:dstrike w:val="false"/>
                  <w:color w:val="000000"/>
                  <w:sz w:val="24"/>
                  <w:u w:val="none"/>
                  <w:effect w:val="none"/>
                </w:rPr>
                <w:t>39</w:t>
              </w:r>
            </w:hyperlink>
          </w:p>
        </w:tc>
      </w:tr>
      <w:tr>
        <w:trPr/>
        <w:tc>
          <w:tcPr>
            <w:tcW w:w="7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147950f6c04032acc7ae579d7e4093">
              <w:r>
                <w:rPr>
                  <w:rStyle w:val="InternetLink"/>
                  <w:rFonts w:ascii="Times New Roman;serif" w:hAnsi="Times New Roman;serif"/>
                  <w:b w:val="false"/>
                  <w:strike w:val="false"/>
                  <w:dstrike w:val="false"/>
                  <w:color w:val="000000"/>
                  <w:sz w:val="24"/>
                  <w:u w:val="none"/>
                  <w:effect w:val="none"/>
                </w:rPr>
                <w:t>SECTION 10.15    Limited Recourse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147950f6c04032acc7ae579d7e4093">
              <w:r>
                <w:rPr>
                  <w:rStyle w:val="InternetLink"/>
                  <w:rFonts w:ascii="Times New Roman;serif" w:hAnsi="Times New Roman;serif"/>
                  <w:b w:val="false"/>
                  <w:strike w:val="false"/>
                  <w:dstrike w:val="false"/>
                  <w:color w:val="000000"/>
                  <w:sz w:val="24"/>
                  <w:u w:val="none"/>
                  <w:effect w:val="none"/>
                </w:rPr>
                <w:t>39</w:t>
              </w:r>
            </w:hyperlink>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    List and Location of Each Originator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    Location of Books and Records of Originators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III    Trade Names</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Schedule IV    Notice Addresses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Form of Purchase Report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Form of Subordinated Note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Form of Joinder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9"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PURCHASE AND SALE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dated as of December 21, 2018 is entered into among the VARIOUS ENTITIES LISTED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HERETO or that become parties hereto from time to time pursuant to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hereof (the “</w:t>
      </w:r>
      <w:r>
        <w:rPr>
          <w:rFonts w:ascii="Times New Roman;serif" w:hAnsi="Times New Roman;serif"/>
          <w:b w:val="false"/>
          <w:color w:val="000000"/>
          <w:sz w:val="24"/>
          <w:u w:val="single"/>
        </w:rPr>
        <w:t>Originators</w:t>
      </w:r>
      <w:r>
        <w:rPr>
          <w:color w:val="000000"/>
        </w:rPr>
        <w:t xml:space="preserve">” </w:t>
      </w:r>
      <w:r>
        <w:rPr>
          <w:rFonts w:ascii="Times New Roman;serif" w:hAnsi="Times New Roman;serif"/>
          <w:b w:val="false"/>
          <w:color w:val="000000"/>
          <w:sz w:val="24"/>
        </w:rPr>
        <w:t>and each, an “</w:t>
      </w:r>
      <w:r>
        <w:rPr>
          <w:rFonts w:ascii="Times New Roman;serif" w:hAnsi="Times New Roman;serif"/>
          <w:b w:val="false"/>
          <w:color w:val="000000"/>
          <w:sz w:val="24"/>
          <w:u w:val="single"/>
        </w:rPr>
        <w:t>Originator</w:t>
      </w:r>
      <w:r>
        <w:rPr>
          <w:color w:val="000000"/>
        </w:rPr>
        <w:t>”</w:t>
      </w:r>
      <w:r>
        <w:rPr>
          <w:rFonts w:ascii="Times New Roman;serif" w:hAnsi="Times New Roman;serif"/>
          <w:b w:val="false"/>
          <w:color w:val="000000"/>
          <w:sz w:val="24"/>
        </w:rPr>
        <w:t>), INTEGRA LIFESCIENCES SALES LLC, a Delaware limited liability company (“</w:t>
      </w:r>
      <w:r>
        <w:rPr>
          <w:rFonts w:ascii="Times New Roman;serif" w:hAnsi="Times New Roman;serif"/>
          <w:b w:val="false"/>
          <w:color w:val="000000"/>
          <w:sz w:val="24"/>
          <w:u w:val="single"/>
        </w:rPr>
        <w:t>Integra Sales</w:t>
      </w:r>
      <w:r>
        <w:rPr>
          <w:color w:val="000000"/>
        </w:rPr>
        <w:t>”</w:t>
      </w:r>
      <w:r>
        <w:rPr>
          <w:rFonts w:ascii="Times New Roman;serif" w:hAnsi="Times New Roman;serif"/>
          <w:b w:val="false"/>
          <w:color w:val="000000"/>
          <w:sz w:val="24"/>
        </w:rPr>
        <w:t>), as initial Servicer (as defined below), and INTEGRA RECEIVABLES LLC, a Delaware limited liability company</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1.    The Buyer is a special purpose limited liability company, all of the issued and outstanding limited liability company interests of which are owned by Integra LifeSciences Corporation (“</w:t>
      </w:r>
      <w:r>
        <w:rPr>
          <w:rFonts w:ascii="Times New Roman;serif" w:hAnsi="Times New Roman;serif"/>
          <w:b w:val="false"/>
          <w:color w:val="000000"/>
          <w:sz w:val="24"/>
          <w:u w:val="single"/>
        </w:rPr>
        <w:t>Integra</w:t>
      </w:r>
      <w:r>
        <w:rPr>
          <w:color w:val="000000"/>
        </w:rPr>
        <w:t>”</w:t>
      </w:r>
      <w:r>
        <w:rPr>
          <w:rFonts w:ascii="Times New Roman;serif" w:hAnsi="Times New Roman;serif"/>
          <w:b w:val="false"/>
          <w:color w:val="000000"/>
          <w:sz w:val="24"/>
        </w:rPr>
        <w:t>), a Delaware corporation.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Originators generate Receivables in the ordinary course of their businesses.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Originators, in order to finance their respective businesses, wish to sell (or, in the case of Integra, contribute from time to time) Receivables and the Related Rights to the Buyer, and the Buyer is willing to purchase or accept such Receivables and the Related Rights from the Originators, on the terms and subject to the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Originators and the Buyer intend each such transaction to be a true sale or absolute contribution and conveyance of Receivables and the Related Rights by each Originator to the Buyer, providing the Buyer with the full benefits of ownership of the Receivables, and the Originators and the Buyer do not intend the transactions hereunder to be characterized as a loan from the Buyer to any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Buyer intends to pledge the Receivables and the Related Rights to the Administrative Agent pursuant to the Receivables Financing Agreement (as defined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agreements herein contained, the receipt and sufficiency of which are hereby acknowledged, the parties hereto, intending to be legally bound, agree as follows: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Unless otherwise indicated herein, capitalized terms used and not otherwise defined in this Agreement are defined in </w:t>
      </w:r>
      <w:r>
        <w:rPr>
          <w:rFonts w:ascii="Times New Roman;serif" w:hAnsi="Times New Roman;serif"/>
          <w:b w:val="false"/>
          <w:color w:val="000000"/>
          <w:sz w:val="24"/>
          <w:u w:val="single"/>
        </w:rPr>
        <w:t>Article I</w:t>
      </w:r>
      <w:r>
        <w:rPr>
          <w:color w:val="000000"/>
        </w:rPr>
        <w:t xml:space="preserve"> </w:t>
      </w:r>
      <w:r>
        <w:rPr>
          <w:rFonts w:ascii="Times New Roman;serif" w:hAnsi="Times New Roman;serif"/>
          <w:b w:val="false"/>
          <w:color w:val="000000"/>
          <w:sz w:val="24"/>
        </w:rPr>
        <w:t>to the Receivables Financing Agreement, dated as of the date hereof (as the same may be amended, restated, supplemented or otherwise modified from time to time, the “</w:t>
      </w:r>
      <w:r>
        <w:rPr>
          <w:rFonts w:ascii="Times New Roman;serif" w:hAnsi="Times New Roman;serif"/>
          <w:b w:val="false"/>
          <w:color w:val="000000"/>
          <w:sz w:val="24"/>
          <w:u w:val="single"/>
        </w:rPr>
        <w:t>Receivables Financing Agreement</w:t>
      </w:r>
      <w:r>
        <w:rPr>
          <w:color w:val="000000"/>
        </w:rPr>
        <w:t>”</w:t>
      </w:r>
      <w:r>
        <w:rPr>
          <w:rFonts w:ascii="Times New Roman;serif" w:hAnsi="Times New Roman;serif"/>
          <w:b w:val="false"/>
          <w:color w:val="000000"/>
          <w:sz w:val="24"/>
        </w:rPr>
        <w:t>), among the Buyer, as borrower, Integra Sales, as initial Servicer (in such capacity, the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xml:space="preserve">), the Persons from time to time party thereto as Lenders and as Group Agents, PNC Bank, National Association, as Administrative Agent, and PNC Capital Markets LLC, as Structuring Agent. All references herein to months are to Fiscal Months unless otherwise expressly indicated. All accounting terms not specifically defined herein shall be construed in accordance with GAAP. All terms used in Article 9 of the UCC in the State of New York, and not specifically defined herein, are used herein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Article 9. Unless the context otherwise requires, “or” means “and/or,” and “including” (and with correlative meaning “include” and “includes”) means including without limiting the generality of any description preceding such term.</w:t>
      </w:r>
    </w:p>
    <w:p>
      <w:pPr>
        <w:pStyle w:val="TextBody"/>
        <w:bidi w:val="0"/>
        <w:spacing w:lineRule="auto" w:line="240" w:before="0" w:after="240"/>
        <w:jc w:val="center"/>
        <w:rPr/>
      </w:pPr>
      <w:bookmarkStart w:id="16" w:name="i562b7967c5ed492c995a99702ae66d7e"/>
      <w:bookmarkEnd w:id="16"/>
      <w:r>
        <w:rPr>
          <w:rFonts w:ascii="Times New Roman;serif" w:hAnsi="Times New Roman;serif"/>
          <w:b w:val="false"/>
          <w:color w:val="010000"/>
          <w:sz w:val="24"/>
        </w:rPr>
        <w:t>ARTICLE I</w:t>
      </w:r>
      <w:r>
        <w:rPr>
          <w:rFonts w:ascii="Times New Roman;serif" w:hAnsi="Times New Roman;serif"/>
          <w:b w:val="false"/>
          <w:color w:val="000000"/>
          <w:sz w:val="24"/>
        </w:rPr>
        <w:br/>
        <w:t>AGREEMENT TO PURCHASE AND SELL</w:t>
      </w:r>
    </w:p>
    <w:p>
      <w:pPr>
        <w:pStyle w:val="TextBody"/>
        <w:bidi w:val="0"/>
        <w:spacing w:lineRule="auto" w:line="288" w:before="0" w:after="240"/>
        <w:ind w:left="0" w:right="0" w:firstLine="720"/>
        <w:jc w:val="both"/>
        <w:rPr/>
      </w:pPr>
      <w:bookmarkStart w:id="17" w:name="i8bbb7fd3e5e74ebca99bebe299acae60"/>
      <w:bookmarkEnd w:id="17"/>
      <w:r>
        <w:rPr>
          <w:rFonts w:ascii="Times New Roman;serif" w:hAnsi="Times New Roman;serif"/>
          <w:b w:val="false"/>
          <w:color w:val="010000"/>
          <w:sz w:val="24"/>
        </w:rPr>
        <w:t>SECTION 1.1</w:t>
      </w:r>
      <w:r>
        <w:rPr>
          <w:rFonts w:ascii="Times New Roman;serif" w:hAnsi="Times New Roman;serif"/>
          <w:b w:val="false"/>
          <w:color w:val="000000"/>
          <w:sz w:val="24"/>
          <w:u w:val="single"/>
        </w:rPr>
        <w:t>Agreement To Purchase and Sell</w:t>
      </w:r>
      <w:r>
        <w:rPr>
          <w:rFonts w:ascii="Times New Roman;serif" w:hAnsi="Times New Roman;serif"/>
          <w:b w:val="false"/>
          <w:color w:val="000000"/>
          <w:sz w:val="24"/>
        </w:rPr>
        <w:t xml:space="preserve">. On the terms and subject to the conditions set forth in this Agreement, each Originator, severally and for itself, agrees to sell (or, in the case of Integra, absolutely assign and contribute from time to time) to the Buyer, and the Buyer agrees to purchase (and, in the case of a contribution, accept) from such Originator, from time to time on or after the Closing Date, but before the Purchase and Sale Termination Date (as defined in </w:t>
      </w:r>
      <w:r>
        <w:rPr>
          <w:rFonts w:ascii="Times New Roman;serif" w:hAnsi="Times New Roman;serif"/>
          <w:b w:val="false"/>
          <w:color w:val="000000"/>
          <w:sz w:val="24"/>
          <w:u w:val="single"/>
        </w:rPr>
        <w:t>Section 1.5</w:t>
      </w:r>
      <w:r>
        <w:rPr>
          <w:rFonts w:ascii="Times New Roman;serif" w:hAnsi="Times New Roman;serif"/>
          <w:b w:val="false"/>
          <w:color w:val="000000"/>
          <w:sz w:val="24"/>
        </w:rPr>
        <w:t>), all of such Originator’s right, title and interest in and to:</w:t>
      </w:r>
    </w:p>
    <w:p>
      <w:pPr>
        <w:pStyle w:val="TextBody"/>
        <w:bidi w:val="0"/>
        <w:spacing w:lineRule="auto" w:line="288" w:before="0" w:after="240"/>
        <w:ind w:left="0" w:right="0" w:firstLine="1440"/>
        <w:jc w:val="both"/>
        <w:rPr/>
      </w:pPr>
      <w:bookmarkStart w:id="18" w:name="i0d7a1b93f2324d8ba76e4c1afef50277"/>
      <w:bookmarkEnd w:id="18"/>
      <w:r>
        <w:rPr>
          <w:rFonts w:ascii="Times New Roman;serif" w:hAnsi="Times New Roman;serif"/>
          <w:b w:val="false"/>
          <w:color w:val="010000"/>
          <w:sz w:val="24"/>
        </w:rPr>
        <w:t>(a)</w:t>
      </w:r>
      <w:r>
        <w:rPr>
          <w:rFonts w:ascii="Times New Roman;serif" w:hAnsi="Times New Roman;serif"/>
          <w:b w:val="false"/>
          <w:color w:val="000000"/>
          <w:sz w:val="24"/>
        </w:rPr>
        <w:t xml:space="preserve">each Receivable of such Originator (other than the Receivables contributed by Integra to the capital of the Buyer pursuant to </w:t>
      </w:r>
      <w:r>
        <w:rPr>
          <w:rFonts w:ascii="Times New Roman;serif" w:hAnsi="Times New Roman;serif"/>
          <w:b w:val="false"/>
          <w:color w:val="000000"/>
          <w:sz w:val="24"/>
          <w:u w:val="single"/>
        </w:rPr>
        <w:t>Section 3.1(a)</w:t>
      </w:r>
      <w:r>
        <w:rPr>
          <w:rFonts w:ascii="Times New Roman;serif" w:hAnsi="Times New Roman;serif"/>
          <w:b w:val="false"/>
          <w:color w:val="000000"/>
          <w:sz w:val="24"/>
        </w:rPr>
        <w:t>) that existed and was owing to such Originator at the closing of such Originator’s business on the Cut-Off Date (defined below);</w:t>
      </w:r>
    </w:p>
    <w:p>
      <w:pPr>
        <w:pStyle w:val="TextBody"/>
        <w:bidi w:val="0"/>
        <w:spacing w:lineRule="auto" w:line="288" w:before="0" w:after="240"/>
        <w:ind w:left="0" w:right="0" w:firstLine="1440"/>
        <w:jc w:val="both"/>
        <w:rPr/>
      </w:pPr>
      <w:bookmarkStart w:id="19" w:name="ibb530135dbe04bb0ae2a6c831a1c30bd"/>
      <w:bookmarkEnd w:id="19"/>
      <w:r>
        <w:rPr>
          <w:rFonts w:ascii="Times New Roman;serif" w:hAnsi="Times New Roman;serif"/>
          <w:b w:val="false"/>
          <w:color w:val="010000"/>
          <w:sz w:val="24"/>
        </w:rPr>
        <w:t>(b)</w:t>
      </w:r>
      <w:r>
        <w:rPr>
          <w:rFonts w:ascii="Times New Roman;serif" w:hAnsi="Times New Roman;serif"/>
          <w:b w:val="false"/>
          <w:color w:val="000000"/>
          <w:sz w:val="24"/>
        </w:rPr>
        <w:t>each Receivable originated by such Originator from and including the Cut-Off Date to but excluding the Purchase and Sale Termination Date;</w:t>
      </w:r>
    </w:p>
    <w:p>
      <w:pPr>
        <w:pStyle w:val="TextBody"/>
        <w:bidi w:val="0"/>
        <w:spacing w:lineRule="auto" w:line="288" w:before="0" w:after="240"/>
        <w:ind w:left="0" w:right="0" w:firstLine="1440"/>
        <w:jc w:val="both"/>
        <w:rPr/>
      </w:pPr>
      <w:bookmarkStart w:id="20" w:name="i0747e4104d4945b08b8b9354b49ed2d5"/>
      <w:bookmarkEnd w:id="20"/>
      <w:r>
        <w:rPr>
          <w:rFonts w:ascii="Times New Roman;serif" w:hAnsi="Times New Roman;serif"/>
          <w:b w:val="false"/>
          <w:color w:val="010000"/>
          <w:sz w:val="24"/>
        </w:rPr>
        <w:t>(c)</w:t>
      </w:r>
      <w:r>
        <w:rPr>
          <w:rFonts w:ascii="Times New Roman;serif" w:hAnsi="Times New Roman;serif"/>
          <w:b w:val="false"/>
          <w:color w:val="000000"/>
          <w:sz w:val="24"/>
        </w:rPr>
        <w:t>all of such Originator’s interest in any goods (including returned goods), and documentation of title evidencing the shipment or storage of any goods (including returned goods), the sale of which gave rise to such Receivable;</w:t>
      </w:r>
    </w:p>
    <w:p>
      <w:pPr>
        <w:pStyle w:val="TextBody"/>
        <w:bidi w:val="0"/>
        <w:spacing w:lineRule="auto" w:line="288" w:before="0" w:after="240"/>
        <w:ind w:left="0" w:right="0" w:firstLine="1440"/>
        <w:jc w:val="both"/>
        <w:rPr/>
      </w:pPr>
      <w:bookmarkStart w:id="21" w:name="i9ef26bb8b4c54f2380bdac829287deaa"/>
      <w:bookmarkEnd w:id="21"/>
      <w:r>
        <w:rPr>
          <w:rFonts w:ascii="Times New Roman;serif" w:hAnsi="Times New Roman;serif"/>
          <w:b w:val="false"/>
          <w:color w:val="010000"/>
          <w:sz w:val="24"/>
        </w:rPr>
        <w:t>(d)</w:t>
      </w:r>
      <w:r>
        <w:rPr>
          <w:rFonts w:ascii="Times New Roman;serif" w:hAnsi="Times New Roman;serif"/>
          <w:b w:val="false"/>
          <w:color w:val="000000"/>
          <w:sz w:val="24"/>
        </w:rPr>
        <w:t>all instruments and chattel paper that may evidence such Receivable;</w:t>
      </w:r>
    </w:p>
    <w:p>
      <w:pPr>
        <w:pStyle w:val="TextBody"/>
        <w:bidi w:val="0"/>
        <w:spacing w:lineRule="auto" w:line="288" w:before="0" w:after="240"/>
        <w:ind w:left="0" w:right="0" w:firstLine="1440"/>
        <w:jc w:val="both"/>
        <w:rPr/>
      </w:pPr>
      <w:bookmarkStart w:id="22" w:name="i6c2eef3c03c34346a9171df44c996fca"/>
      <w:bookmarkEnd w:id="22"/>
      <w:r>
        <w:rPr>
          <w:rFonts w:ascii="Times New Roman;serif" w:hAnsi="Times New Roman;serif"/>
          <w:b w:val="false"/>
          <w:color w:val="010000"/>
          <w:sz w:val="24"/>
        </w:rPr>
        <w:t>(e)</w:t>
      </w:r>
      <w:r>
        <w:rPr>
          <w:rFonts w:ascii="Times New Roman;serif" w:hAnsi="Times New Roman;serif"/>
          <w:b w:val="false"/>
          <w:color w:val="000000"/>
          <w:sz w:val="24"/>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pStyle w:val="TextBody"/>
        <w:bidi w:val="0"/>
        <w:spacing w:lineRule="auto" w:line="288" w:before="0" w:after="240"/>
        <w:ind w:left="0" w:right="0" w:firstLine="1440"/>
        <w:jc w:val="both"/>
        <w:rPr/>
      </w:pPr>
      <w:bookmarkStart w:id="23" w:name="i092fbf253d474db1adb18cc25840eb40"/>
      <w:bookmarkEnd w:id="23"/>
      <w:r>
        <w:rPr>
          <w:rFonts w:ascii="Times New Roman;serif" w:hAnsi="Times New Roman;serif"/>
          <w:b w:val="false"/>
          <w:color w:val="010000"/>
          <w:sz w:val="24"/>
        </w:rPr>
        <w:t>(f)</w:t>
      </w:r>
      <w:r>
        <w:rPr>
          <w:rFonts w:ascii="Times New Roman;serif" w:hAnsi="Times New Roman;serif"/>
          <w:b w:val="false"/>
          <w:color w:val="000000"/>
          <w:sz w:val="24"/>
        </w:rPr>
        <w:t>solely to the extent applicable to such Receivable, all of such Originator’s rights (but not obligations),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pStyle w:val="TextBody"/>
        <w:bidi w:val="0"/>
        <w:spacing w:lineRule="auto" w:line="288" w:before="0" w:after="240"/>
        <w:ind w:left="0" w:right="0" w:firstLine="1440"/>
        <w:jc w:val="both"/>
        <w:rPr/>
      </w:pPr>
      <w:bookmarkStart w:id="24" w:name="ibe6d02918d8f44449cd1c5aaf9ca8798"/>
      <w:bookmarkEnd w:id="24"/>
      <w:r>
        <w:rPr>
          <w:rFonts w:ascii="Times New Roman;serif" w:hAnsi="Times New Roman;serif"/>
          <w:b w:val="false"/>
          <w:color w:val="010000"/>
          <w:sz w:val="24"/>
        </w:rPr>
        <w:t>(g)</w:t>
      </w:r>
      <w:r>
        <w:rPr>
          <w:rFonts w:ascii="Times New Roman;serif" w:hAnsi="Times New Roman;serif"/>
          <w:b w:val="false"/>
          <w:color w:val="000000"/>
          <w:sz w:val="24"/>
        </w:rPr>
        <w:t>all books and records of such Originator to the extent related to any of the foregoing, and all rights, remedies, powers, privileges, title and interest (but not obligations), if any, in and to each Lock-Box and all Collection Accounts, into which any Collections or other proceeds (as such term is defined in the applicable UCC) with respect to such Receivables may be deposited, and any related investment property acquired with any such Collections or other proceeds (as such term is defined in the applicable UCC); and</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25" w:name="i445e18e9ed2b4d11928c4576fece944f"/>
      <w:bookmarkEnd w:id="25"/>
      <w:r>
        <w:rPr>
          <w:rFonts w:ascii="Times New Roman;serif" w:hAnsi="Times New Roman;serif"/>
          <w:b w:val="false"/>
          <w:color w:val="010000"/>
          <w:sz w:val="24"/>
        </w:rPr>
        <w:t>(h)</w:t>
      </w:r>
      <w:r>
        <w:rPr>
          <w:rFonts w:ascii="Times New Roman;serif" w:hAnsi="Times New Roman;serif"/>
          <w:b w:val="false"/>
          <w:color w:val="000000"/>
          <w:sz w:val="24"/>
        </w:rPr>
        <w:t>all Collections and other proceeds (as such term is defined in the applicable UCC) of any of the foregoing that are or were received by such Originator on or after the Cut-Off Date, including, without limitation, all funds which either are received by such Originator, the Buyer, any Sub-Servicer or the Servicer from or on behalf of the Obligors in payment of any amounts owed (including, without limitation, invoice price, finance charges, interest and all other charges) in respect of any of the above Receivables or are applied to such amounts owed by the Obligors (including, without limitation, any insurance payments that such Originator, the Buyer, any Sub-Servicer or the Servicer applies in the ordinary course of its business to amounts owed in respect of any of the above Receivables, and net proceeds of sale or other disposition of repossessed goods or other collateral or property of the Obligors in respect of any of the above Receivables or any other parties directly or indirectly liable for payment of such Receivables).</w:t>
      </w:r>
    </w:p>
    <w:p>
      <w:pPr>
        <w:pStyle w:val="TextBody"/>
        <w:bidi w:val="0"/>
        <w:spacing w:lineRule="auto" w:line="288" w:before="0" w:after="240"/>
        <w:jc w:val="both"/>
        <w:rPr/>
      </w:pPr>
      <w:r>
        <w:rPr>
          <w:rFonts w:ascii="Times New Roman;serif" w:hAnsi="Times New Roman;serif"/>
          <w:b w:val="false"/>
          <w:color w:val="000000"/>
          <w:sz w:val="24"/>
        </w:rPr>
        <w:t xml:space="preserve">All purchases, assignments and contributions hereunder shall be made without recourse, but shall be made pursuant to, and in reliance upon, the representations, warranties and covenants of the Originators set forth in this Agreement. No obligation or liability to any Obligor on any Receivable is intended to be assumed by the Buyer hereunder, and any such assumption is expressly disclaimed. The property, proceeds and rights described in </w:t>
      </w:r>
      <w:r>
        <w:rPr>
          <w:rFonts w:ascii="Times New Roman;serif" w:hAnsi="Times New Roman;serif"/>
          <w:b w:val="false"/>
          <w:color w:val="000000"/>
          <w:sz w:val="24"/>
          <w:u w:val="single"/>
        </w:rPr>
        <w:t>clauses (c)</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above are herein referred to as the “</w:t>
      </w:r>
      <w:r>
        <w:rPr>
          <w:rFonts w:ascii="Times New Roman;serif" w:hAnsi="Times New Roman;serif"/>
          <w:b w:val="false"/>
          <w:color w:val="000000"/>
          <w:sz w:val="24"/>
          <w:u w:val="single"/>
        </w:rPr>
        <w:t>Related Rights</w:t>
      </w:r>
      <w:r>
        <w:rPr>
          <w:color w:val="000000"/>
        </w:rPr>
        <w:t>”</w:t>
      </w:r>
      <w:r>
        <w:rPr>
          <w:rFonts w:ascii="Times New Roman;serif" w:hAnsi="Times New Roman;serif"/>
          <w:b w:val="false"/>
          <w:color w:val="000000"/>
          <w:sz w:val="24"/>
        </w:rPr>
        <w:t>, and the Buyer’s foregoing commitment to purchase Receivables and Related Rights is herein called the “</w:t>
      </w:r>
      <w:r>
        <w:rPr>
          <w:rFonts w:ascii="Times New Roman;serif" w:hAnsi="Times New Roman;serif"/>
          <w:b w:val="false"/>
          <w:color w:val="000000"/>
          <w:sz w:val="24"/>
          <w:u w:val="single"/>
        </w:rPr>
        <w:t>Purchase Facility</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As used herein, “</w:t>
      </w:r>
      <w:r>
        <w:rPr>
          <w:rFonts w:ascii="Times New Roman;serif" w:hAnsi="Times New Roman;serif"/>
          <w:b w:val="false"/>
          <w:color w:val="000000"/>
          <w:sz w:val="24"/>
          <w:u w:val="single"/>
        </w:rPr>
        <w:t>Cut-Off Date</w:t>
      </w:r>
      <w:r>
        <w:rPr>
          <w:color w:val="000000"/>
        </w:rPr>
        <w:t xml:space="preserve">” </w:t>
      </w:r>
      <w:r>
        <w:rPr>
          <w:rFonts w:ascii="Times New Roman;serif" w:hAnsi="Times New Roman;serif"/>
          <w:b w:val="false"/>
          <w:color w:val="000000"/>
          <w:sz w:val="24"/>
        </w:rPr>
        <w:t>means (a) with respect to each Originator party hereto on the date hereof, November 30, 2018, and (b) with respect to any Originator that first becomes a party hereto after the date hereof, the calendar day prior to the date on which such Originator becomes a party hereto or such other date as the Buyer and such Originator agree to in writing.</w:t>
      </w:r>
    </w:p>
    <w:p>
      <w:pPr>
        <w:pStyle w:val="TextBody"/>
        <w:bidi w:val="0"/>
        <w:spacing w:lineRule="auto" w:line="288" w:before="0" w:after="240"/>
        <w:ind w:left="0" w:right="0" w:firstLine="720"/>
        <w:jc w:val="both"/>
        <w:rPr/>
      </w:pPr>
      <w:bookmarkStart w:id="26" w:name="i62d586e3e4494ded8235a178044ca980"/>
      <w:bookmarkEnd w:id="26"/>
      <w:r>
        <w:rPr>
          <w:rFonts w:ascii="Times New Roman;serif" w:hAnsi="Times New Roman;serif"/>
          <w:b w:val="false"/>
          <w:color w:val="010000"/>
          <w:sz w:val="24"/>
        </w:rPr>
        <w:t>SECTION 1.2</w:t>
      </w:r>
      <w:r>
        <w:rPr>
          <w:rFonts w:ascii="Times New Roman;serif" w:hAnsi="Times New Roman;serif"/>
          <w:b w:val="false"/>
          <w:color w:val="000000"/>
          <w:sz w:val="24"/>
          <w:u w:val="single"/>
        </w:rPr>
        <w:t>Timing of Purchases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7" w:name="id0b487d627304f8c9f20f0076906f021"/>
      <w:bookmarkEnd w:id="27"/>
      <w:r>
        <w:rPr>
          <w:rFonts w:ascii="Times New Roman;serif" w:hAnsi="Times New Roman;serif"/>
          <w:b w:val="false"/>
          <w:color w:val="010000"/>
          <w:sz w:val="24"/>
        </w:rPr>
        <w:t>(a)</w:t>
      </w:r>
      <w:r>
        <w:rPr>
          <w:rFonts w:ascii="Times New Roman;serif" w:hAnsi="Times New Roman;serif"/>
          <w:b w:val="false"/>
          <w:color w:val="000000"/>
          <w:sz w:val="24"/>
          <w:u w:val="single"/>
        </w:rPr>
        <w:t>Closing Date Purchases</w:t>
      </w:r>
      <w:r>
        <w:rPr>
          <w:rFonts w:ascii="Times New Roman;serif" w:hAnsi="Times New Roman;serif"/>
          <w:b w:val="false"/>
          <w:color w:val="000000"/>
          <w:sz w:val="24"/>
        </w:rPr>
        <w:t xml:space="preserve">. Effective on the Closing Date, each Originator hereby sells to the Buyer, and the Buyer hereby purchases, such Originator’s entire right, title and interest in, to and under (i) each Receivable (other than the Receivables contributed by Integra to the capital of the Buyer pursuant to </w:t>
      </w:r>
      <w:r>
        <w:rPr>
          <w:rFonts w:ascii="Times New Roman;serif" w:hAnsi="Times New Roman;serif"/>
          <w:b w:val="false"/>
          <w:color w:val="000000"/>
          <w:sz w:val="24"/>
          <w:u w:val="single"/>
        </w:rPr>
        <w:t>Section 3.1(a)</w:t>
      </w:r>
      <w:r>
        <w:rPr>
          <w:rFonts w:ascii="Times New Roman;serif" w:hAnsi="Times New Roman;serif"/>
          <w:b w:val="false"/>
          <w:color w:val="000000"/>
          <w:sz w:val="24"/>
        </w:rPr>
        <w:t>) that existed and was owing to such Originator on the Cut-Off Date, (ii) each Receivable generated by such Originator from and including the Cut-Off Date, to and including the Closing Date, and (iii) all Related Rights with respect thereto.</w:t>
      </w:r>
    </w:p>
    <w:p>
      <w:pPr>
        <w:pStyle w:val="TextBody"/>
        <w:bidi w:val="0"/>
        <w:spacing w:lineRule="auto" w:line="288" w:before="0" w:after="240"/>
        <w:ind w:left="0" w:right="0" w:firstLine="1440"/>
        <w:jc w:val="both"/>
        <w:rPr/>
      </w:pPr>
      <w:bookmarkStart w:id="28" w:name="i54b93fe07f7240b4aeffd5c869798903"/>
      <w:bookmarkEnd w:id="28"/>
      <w:r>
        <w:rPr>
          <w:rFonts w:ascii="Times New Roman;serif" w:hAnsi="Times New Roman;serif"/>
          <w:b w:val="false"/>
          <w:color w:val="010000"/>
          <w:sz w:val="24"/>
        </w:rPr>
        <w:t>(b)</w:t>
      </w:r>
      <w:r>
        <w:rPr>
          <w:rFonts w:ascii="Times New Roman;serif" w:hAnsi="Times New Roman;serif"/>
          <w:b w:val="false"/>
          <w:color w:val="000000"/>
          <w:sz w:val="24"/>
          <w:u w:val="single"/>
        </w:rPr>
        <w:t>Subsequent Purchases</w:t>
      </w:r>
      <w:r>
        <w:rPr>
          <w:rFonts w:ascii="Times New Roman;serif" w:hAnsi="Times New Roman;serif"/>
          <w:b w:val="false"/>
          <w:color w:val="000000"/>
          <w:sz w:val="24"/>
        </w:rPr>
        <w:t xml:space="preserve">. After the Closing Date, until the Purchase and Sale Termination Date, each Originator hereby sells to the Buyer, and the Buyer hereby purchases, each Receivable and the Related Rights generated by each Originator immediately (and without further action) upon the creation of such Receivable (other than the Receivables absolutely assigned and contributed by Integra to the capital of the Buyer pursuant to </w:t>
      </w:r>
      <w:r>
        <w:rPr>
          <w:rFonts w:ascii="Times New Roman;serif" w:hAnsi="Times New Roman;serif"/>
          <w:b w:val="false"/>
          <w:color w:val="000000"/>
          <w:sz w:val="24"/>
          <w:u w:val="single"/>
        </w:rPr>
        <w:t>Section 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9" w:name="i6dc5e36b768e42099fd4c1ea6367c73a"/>
      <w:bookmarkEnd w:id="29"/>
      <w:r>
        <w:rPr>
          <w:rFonts w:ascii="Times New Roman;serif" w:hAnsi="Times New Roman;serif"/>
          <w:b w:val="false"/>
          <w:color w:val="010000"/>
          <w:sz w:val="24"/>
        </w:rPr>
        <w:t>SECTION 1.3</w:t>
      </w:r>
      <w:r>
        <w:rPr>
          <w:rFonts w:ascii="Times New Roman;serif" w:hAnsi="Times New Roman;serif"/>
          <w:b w:val="false"/>
          <w:color w:val="000000"/>
          <w:sz w:val="24"/>
          <w:u w:val="single"/>
        </w:rPr>
        <w:t>Consideration for Purchases</w:t>
      </w:r>
      <w:r>
        <w:rPr>
          <w:rFonts w:ascii="Times New Roman;serif" w:hAnsi="Times New Roman;serif"/>
          <w:b w:val="false"/>
          <w:color w:val="000000"/>
          <w:sz w:val="24"/>
        </w:rPr>
        <w:t xml:space="preserve">. On the terms and subject to the conditions set forth in this Agreement, the Buyer agrees to pay the applicable Purchase Price to the applicable Originator and to reflect all capital contributions in accordance with </w:t>
      </w:r>
      <w:r>
        <w:rPr>
          <w:rFonts w:ascii="Times New Roman;serif" w:hAnsi="Times New Roman;serif"/>
          <w:b w:val="false"/>
          <w:color w:val="000000"/>
          <w:sz w:val="24"/>
          <w:u w:val="single"/>
        </w:rPr>
        <w:t>Article III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0" w:name="ib0ee934c42f941078c63771201ff095b"/>
      <w:bookmarkEnd w:id="30"/>
      <w:r>
        <w:rPr>
          <w:rFonts w:ascii="Times New Roman;serif" w:hAnsi="Times New Roman;serif"/>
          <w:b w:val="false"/>
          <w:color w:val="010000"/>
          <w:sz w:val="24"/>
        </w:rPr>
        <w:t>SECTION 1.4</w:t>
      </w:r>
      <w:r>
        <w:rPr>
          <w:rFonts w:ascii="Times New Roman;serif" w:hAnsi="Times New Roman;serif"/>
          <w:b w:val="false"/>
          <w:color w:val="000000"/>
          <w:sz w:val="24"/>
          <w:u w:val="single"/>
        </w:rPr>
        <w:t>Contributions</w:t>
      </w:r>
      <w:r>
        <w:rPr>
          <w:rFonts w:ascii="Times New Roman;serif" w:hAnsi="Times New Roman;serif"/>
          <w:b w:val="false"/>
          <w:color w:val="000000"/>
          <w:sz w:val="24"/>
        </w:rPr>
        <w:t>. Integra may from time to time at its option, by notice to the Buyer on or prior to the date of the proposed contribution, identify Receivables that it proposes to contribute to the Buyer as a capital contribution, and if the Buyer is Solvent on the date of the contribution, Integra hereby on the date of contribution transfers, conveys and absolutely assigns to Buyer all Receivables identified in such notice. On the date of and after giving effect to each contribution, the Buyer shall own Integra’s entire right, title, and interest in the Receivables so identified and contributed and all Related Rights with respect thereto.</w:t>
      </w:r>
    </w:p>
    <w:p>
      <w:pPr>
        <w:pStyle w:val="TextBody"/>
        <w:bidi w:val="0"/>
        <w:spacing w:lineRule="auto" w:line="288" w:before="0" w:after="240"/>
        <w:ind w:left="0" w:right="0" w:firstLine="720"/>
        <w:jc w:val="both"/>
        <w:rPr/>
      </w:pPr>
      <w:bookmarkStart w:id="31" w:name="ib0ffd88144334aa386d3462b60e0a483"/>
      <w:bookmarkEnd w:id="31"/>
      <w:r>
        <w:rPr>
          <w:rFonts w:ascii="Times New Roman;serif" w:hAnsi="Times New Roman;serif"/>
          <w:b w:val="false"/>
          <w:color w:val="010000"/>
          <w:sz w:val="24"/>
        </w:rPr>
        <w:t>SECTION 1.5</w:t>
      </w:r>
      <w:r>
        <w:rPr>
          <w:rFonts w:ascii="Times New Roman;serif" w:hAnsi="Times New Roman;serif"/>
          <w:b w:val="false"/>
          <w:color w:val="000000"/>
          <w:sz w:val="24"/>
          <w:u w:val="single"/>
        </w:rPr>
        <w:t>Purchase and Sale Termination Date</w:t>
      </w:r>
      <w:r>
        <w:rPr>
          <w:rFonts w:ascii="Times New Roman;serif" w:hAnsi="Times New Roman;serif"/>
          <w:b w:val="false"/>
          <w:color w:val="000000"/>
          <w:sz w:val="24"/>
        </w:rPr>
        <w:t>. The “</w:t>
      </w:r>
      <w:r>
        <w:rPr>
          <w:rFonts w:ascii="Times New Roman;serif" w:hAnsi="Times New Roman;serif"/>
          <w:b w:val="false"/>
          <w:color w:val="000000"/>
          <w:sz w:val="24"/>
          <w:u w:val="single"/>
        </w:rPr>
        <w:t>Purchase and Sale Termination Date</w:t>
      </w:r>
      <w:r>
        <w:rPr>
          <w:color w:val="000000"/>
        </w:rPr>
        <w:t xml:space="preserve">” </w:t>
      </w:r>
      <w:r>
        <w:rPr>
          <w:rFonts w:ascii="Times New Roman;serif" w:hAnsi="Times New Roman;serif"/>
          <w:b w:val="false"/>
          <w:color w:val="000000"/>
          <w:sz w:val="24"/>
        </w:rPr>
        <w:t xml:space="preserve">shall be the earlier to occur of (a) the date the Purchase Facility is terminated pursuant to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and (b) the Payment Date immediately following the day on which the Originators shall have given written notice to the Buyer, the Administrative Agent and each Group Agent at or prior to 10:00 a.m. (New York City time) that the Originators desire to terminate this Agreement.</w:t>
      </w:r>
    </w:p>
    <w:p>
      <w:pPr>
        <w:pStyle w:val="TextBody"/>
        <w:bidi w:val="0"/>
        <w:spacing w:lineRule="auto" w:line="288" w:before="0" w:after="240"/>
        <w:ind w:left="0" w:right="0" w:firstLine="720"/>
        <w:jc w:val="both"/>
        <w:rPr/>
      </w:pPr>
      <w:bookmarkStart w:id="32" w:name="i5d4b29d26f804c358fc7f6248f8bb471"/>
      <w:bookmarkEnd w:id="32"/>
      <w:r>
        <w:rPr>
          <w:rFonts w:ascii="Times New Roman;serif" w:hAnsi="Times New Roman;serif"/>
          <w:b w:val="false"/>
          <w:color w:val="010000"/>
          <w:sz w:val="24"/>
        </w:rPr>
        <w:t>SECTION 1.6</w:t>
      </w:r>
      <w:r>
        <w:rPr>
          <w:rFonts w:ascii="Times New Roman;serif" w:hAnsi="Times New Roman;serif"/>
          <w:b w:val="false"/>
          <w:color w:val="000000"/>
          <w:sz w:val="24"/>
          <w:u w:val="single"/>
        </w:rPr>
        <w:t>Intention of the Parties</w:t>
      </w:r>
      <w:r>
        <w:rPr>
          <w:rFonts w:ascii="Times New Roman;serif" w:hAnsi="Times New Roman;serif"/>
          <w:b w:val="false"/>
          <w:color w:val="000000"/>
          <w:sz w:val="24"/>
        </w:rPr>
        <w:t>. It is the express intent of each Originator and the Buyer that each conveyance by such Originator to the Buyer pursuant to this Agreement of the Receivables, including without limitation, all Receivables, if any, constituting accounts or payment intangibles each as defined in the UCC, and all Related Rights be construed as a valid and perfected sale or contribution and absolute assignment (without recourse except as provided herein) of such Receivables and Related Rights by such Originator to the Buyer (rather than the grant of a security interest to secure a debt or other obligation of such Originator) and that the right, title and interest in and to such Receivables and Related Rights conveyed to the Buyer be prior to the rights of and enforceable against all other Persons at any time, including, without limitation, lien creditors, secured lenders, purchasers and any Person claiming through such Originator. However, if, contrary to the mutual intent of the parties, any conveyance of Receivables, including without limitation any Receivables constituting accounts or payment intangibles each as defined in the UCC, and all Related Rights is not construed to be both a valid and perfected sale or contribution and absolute assignment of such Receivables and Related Rights, and a conveyance of such Receivables and Related Rights that is prior to the rights of and enforceable against all other Persons at any time, including without limitation lien creditors, secured lenders, purchasers and any Person claiming through such Originator, then, it is the intent of such Originator and the Buyer that (i) this Agreement also shall be deemed to be, and hereby is, a security agreement within the meaning of the UCC to secure payment or performance of an obligation and (ii) such Originator shall be deemed to have granted to the Buyer as of the date of this Agreement, and such Originator hereby grants to the Buyer a security interest in, to and under all of such Originator’s right, title and interest in and to: (A) the Receivables and the Related Rights now existing and hereafter created by such Originator transferred or purported to be transferred hereunder, (B) all monies due or to become due and all amounts received with respect thereto and (C) all books and records of such Originator to the extent related to any of the foregoing to secure payment of an obligation in the amount of the Outstanding Balance of such Receivables.</w:t>
      </w:r>
    </w:p>
    <w:p>
      <w:pPr>
        <w:pStyle w:val="TextBody"/>
        <w:bidi w:val="0"/>
        <w:spacing w:lineRule="auto" w:line="240" w:before="0" w:after="240"/>
        <w:jc w:val="center"/>
        <w:rPr/>
      </w:pPr>
      <w:bookmarkStart w:id="33" w:name="i75f162bc68f747bea5acd5ad7cbf8c61"/>
      <w:bookmarkEnd w:id="33"/>
      <w:r>
        <w:rPr>
          <w:rFonts w:ascii="Times New Roman;serif" w:hAnsi="Times New Roman;serif"/>
          <w:b w:val="false"/>
          <w:color w:val="010000"/>
          <w:sz w:val="24"/>
        </w:rPr>
        <w:t>ARTICLE II</w:t>
      </w:r>
      <w:r>
        <w:rPr>
          <w:rFonts w:ascii="Times New Roman;serif" w:hAnsi="Times New Roman;serif"/>
          <w:b w:val="false"/>
          <w:color w:val="000000"/>
          <w:sz w:val="24"/>
        </w:rPr>
        <w:br/>
        <w:t>PURCHASE REPORT; CALCULATION OF PURCHASE PRICE</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34" w:name="ibbb6e3f4ac46474d9860f68759efd1fc"/>
      <w:bookmarkEnd w:id="34"/>
      <w:r>
        <w:rPr>
          <w:rFonts w:ascii="Times New Roman;serif" w:hAnsi="Times New Roman;serif"/>
          <w:b w:val="false"/>
          <w:color w:val="010000"/>
          <w:sz w:val="24"/>
        </w:rPr>
        <w:t>SECTION 2.1</w:t>
      </w:r>
      <w:r>
        <w:rPr>
          <w:rFonts w:ascii="Times New Roman;serif" w:hAnsi="Times New Roman;serif"/>
          <w:b w:val="false"/>
          <w:color w:val="000000"/>
          <w:sz w:val="24"/>
          <w:u w:val="single"/>
        </w:rPr>
        <w:t>Purchase Report</w:t>
      </w:r>
      <w:r>
        <w:rPr>
          <w:rFonts w:ascii="Times New Roman;serif" w:hAnsi="Times New Roman;serif"/>
          <w:b w:val="false"/>
          <w:color w:val="000000"/>
          <w:sz w:val="24"/>
        </w:rPr>
        <w:t>. On the Closing Date and on each date when an Information Package is due to be delivered under the Receivables Financing Agreement (each such date, a “</w:t>
      </w:r>
      <w:r>
        <w:rPr>
          <w:rFonts w:ascii="Times New Roman;serif" w:hAnsi="Times New Roman;serif"/>
          <w:b w:val="false"/>
          <w:color w:val="000000"/>
          <w:sz w:val="24"/>
          <w:u w:val="single"/>
        </w:rPr>
        <w:t>Monthly Purchase Report Date</w:t>
      </w:r>
      <w:r>
        <w:rPr>
          <w:color w:val="000000"/>
        </w:rPr>
        <w:t>”</w:t>
      </w:r>
      <w:r>
        <w:rPr>
          <w:rFonts w:ascii="Times New Roman;serif" w:hAnsi="Times New Roman;serif"/>
          <w:b w:val="false"/>
          <w:color w:val="000000"/>
          <w:sz w:val="24"/>
        </w:rPr>
        <w:t xml:space="preserve">), the Servicer shall deliver to the Buyer and each Originator a report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(each such report being herein called a “</w:t>
      </w:r>
      <w:r>
        <w:rPr>
          <w:rFonts w:ascii="Times New Roman;serif" w:hAnsi="Times New Roman;serif"/>
          <w:b w:val="false"/>
          <w:color w:val="000000"/>
          <w:sz w:val="24"/>
          <w:u w:val="single"/>
        </w:rPr>
        <w:t>Purchase Report</w:t>
      </w:r>
      <w:r>
        <w:rPr>
          <w:color w:val="000000"/>
        </w:rPr>
        <w:t>”</w:t>
      </w:r>
      <w:r>
        <w:rPr>
          <w:rFonts w:ascii="Times New Roman;serif" w:hAnsi="Times New Roman;serif"/>
          <w:b w:val="false"/>
          <w:color w:val="000000"/>
          <w:sz w:val="24"/>
        </w:rPr>
        <w:t>) setting forth, among other things:</w:t>
      </w:r>
    </w:p>
    <w:p>
      <w:pPr>
        <w:pStyle w:val="TextBody"/>
        <w:bidi w:val="0"/>
        <w:spacing w:lineRule="auto" w:line="288" w:before="0" w:after="240"/>
        <w:ind w:left="0" w:right="0" w:firstLine="1440"/>
        <w:jc w:val="both"/>
        <w:rPr/>
      </w:pPr>
      <w:bookmarkStart w:id="35" w:name="i1e53c1e453c24a1598a33a670de8e06b"/>
      <w:bookmarkEnd w:id="35"/>
      <w:r>
        <w:rPr>
          <w:rFonts w:ascii="Times New Roman;serif" w:hAnsi="Times New Roman;serif"/>
          <w:b w:val="false"/>
          <w:color w:val="010000"/>
          <w:sz w:val="24"/>
        </w:rPr>
        <w:t>(a)</w:t>
      </w:r>
      <w:r>
        <w:rPr>
          <w:rFonts w:ascii="Times New Roman;serif" w:hAnsi="Times New Roman;serif"/>
          <w:b w:val="false"/>
          <w:color w:val="000000"/>
          <w:sz w:val="24"/>
        </w:rPr>
        <w:t>Receivables purchased by the Buyer from each Originator on the Closing Date (in the case of the Purchase Report to be delivered on the Closing Date);</w:t>
      </w:r>
    </w:p>
    <w:p>
      <w:pPr>
        <w:pStyle w:val="TextBody"/>
        <w:bidi w:val="0"/>
        <w:spacing w:lineRule="auto" w:line="288" w:before="0" w:after="240"/>
        <w:ind w:left="0" w:right="0" w:firstLine="1440"/>
        <w:jc w:val="both"/>
        <w:rPr/>
      </w:pPr>
      <w:bookmarkStart w:id="36" w:name="i3ad2ce02656d4bdea05c3f943e40bb8b"/>
      <w:bookmarkEnd w:id="36"/>
      <w:r>
        <w:rPr>
          <w:rFonts w:ascii="Times New Roman;serif" w:hAnsi="Times New Roman;serif"/>
          <w:b w:val="false"/>
          <w:color w:val="010000"/>
          <w:sz w:val="24"/>
        </w:rPr>
        <w:t>(b)</w:t>
      </w:r>
      <w:r>
        <w:rPr>
          <w:rFonts w:ascii="Times New Roman;serif" w:hAnsi="Times New Roman;serif"/>
          <w:b w:val="false"/>
          <w:color w:val="000000"/>
          <w:sz w:val="24"/>
        </w:rPr>
        <w:t>Receivables purchased or accepted as a contribution by the Buyer from each Originator during the Fiscal Month immediately preceding such Monthly Purchase Report Date (in the case of each subsequent Purchase Report); and</w:t>
      </w:r>
    </w:p>
    <w:p>
      <w:pPr>
        <w:pStyle w:val="TextBody"/>
        <w:bidi w:val="0"/>
        <w:spacing w:lineRule="auto" w:line="288" w:before="0" w:after="240"/>
        <w:ind w:left="0" w:right="0" w:firstLine="1440"/>
        <w:jc w:val="both"/>
        <w:rPr/>
      </w:pPr>
      <w:bookmarkStart w:id="37" w:name="i4facbb9a910a4a18b836489538bfbb56"/>
      <w:bookmarkEnd w:id="37"/>
      <w:r>
        <w:rPr>
          <w:rFonts w:ascii="Times New Roman;serif" w:hAnsi="Times New Roman;serif"/>
          <w:b w:val="false"/>
          <w:color w:val="010000"/>
          <w:sz w:val="24"/>
        </w:rPr>
        <w:t>(c)</w:t>
      </w:r>
      <w:r>
        <w:rPr>
          <w:rFonts w:ascii="Times New Roman;serif" w:hAnsi="Times New Roman;serif"/>
          <w:b w:val="false"/>
          <w:color w:val="000000"/>
          <w:sz w:val="24"/>
        </w:rPr>
        <w:t xml:space="preserve">the calculations of reductions of the Purchase Price for any Receivables as provided in </w:t>
      </w:r>
      <w:r>
        <w:rPr>
          <w:rFonts w:ascii="Times New Roman;serif" w:hAnsi="Times New Roman;serif"/>
          <w:b w:val="false"/>
          <w:color w:val="000000"/>
          <w:sz w:val="24"/>
          <w:u w:val="single"/>
        </w:rPr>
        <w:t>Section 3.3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38" w:name="ic8d611b6093045a5bcc5d1c5db48837d"/>
      <w:bookmarkEnd w:id="38"/>
      <w:r>
        <w:rPr>
          <w:rFonts w:ascii="Times New Roman;serif" w:hAnsi="Times New Roman;serif"/>
          <w:b w:val="false"/>
          <w:color w:val="010000"/>
          <w:sz w:val="24"/>
        </w:rPr>
        <w:t>SECTION 2.2</w:t>
      </w:r>
      <w:r>
        <w:rPr>
          <w:rFonts w:ascii="Times New Roman;serif" w:hAnsi="Times New Roman;serif"/>
          <w:b w:val="false"/>
          <w:color w:val="000000"/>
          <w:sz w:val="24"/>
          <w:u w:val="single"/>
        </w:rPr>
        <w:t>Calculation of Purchase Price</w:t>
      </w:r>
      <w:r>
        <w:rPr>
          <w:rFonts w:ascii="Times New Roman;serif" w:hAnsi="Times New Roman;serif"/>
          <w:b w:val="false"/>
          <w:color w:val="000000"/>
          <w:sz w:val="24"/>
        </w:rPr>
        <w:t>. The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to be paid to each Originator in accordance with the terms of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for the Receivables and the Related Rights that are purchased hereunder from such Originator shall be determined in accordance with the following formula:</w:t>
      </w:r>
    </w:p>
    <w:p>
      <w:pPr>
        <w:pStyle w:val="TextBody"/>
        <w:bidi w:val="0"/>
        <w:spacing w:lineRule="auto" w:line="288" w:before="0" w:after="24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PP    =    OB x FMVD</w:t>
      </w:r>
    </w:p>
    <w:p>
      <w:pPr>
        <w:pStyle w:val="TextBody"/>
        <w:bidi w:val="0"/>
        <w:spacing w:lineRule="auto" w:line="288" w:before="0" w:after="24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where:        </w:t>
      </w:r>
    </w:p>
    <w:p>
      <w:pPr>
        <w:pStyle w:val="TextBody"/>
        <w:bidi w:val="0"/>
        <w:spacing w:lineRule="auto" w:line="288" w:before="0" w:after="24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PP    =    Purchase Price for each Receivable as calculated on the relevant Payment Date.</w:t>
      </w:r>
    </w:p>
    <w:p>
      <w:pPr>
        <w:pStyle w:val="TextBody"/>
        <w:bidi w:val="0"/>
        <w:spacing w:lineRule="auto" w:line="288" w:before="0" w:after="24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OB    =    The Outstanding Balance of such Receivable on the relevant Payment Date.</w:t>
      </w:r>
    </w:p>
    <w:p>
      <w:pPr>
        <w:pStyle w:val="TextBody"/>
        <w:bidi w:val="0"/>
        <w:spacing w:lineRule="auto" w:line="288" w:before="0" w:after="240"/>
        <w:ind w:left="0" w:right="0" w:hanging="2160"/>
        <w:jc w:val="both"/>
        <w:rPr/>
      </w:pPr>
      <w:r>
        <w:rPr>
          <w:rFonts w:ascii="Times New Roman;serif" w:hAnsi="Times New Roman;serif"/>
          <w:b w:val="false"/>
          <w:color w:val="000000"/>
          <w:sz w:val="24"/>
        </w:rPr>
        <w:t xml:space="preserve">FMVD    =    Fair Market Value Discount, as measured on such Payment Date, which is equal to the quotient (expressed as percentage) of (a) one,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sum of (i) one,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product of (A) the Prime Rate on such Payment Date,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(B) a fraction, the numerator of which is the Days’ Sales Outstanding (calculated as of the last day of the Fiscal Month immediately preceding such Payment Date) and the denominator of which is 365 or 366,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means (i) the Closing Date and (ii) each Business Day thereafter that the Originators are open for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color w:val="000000"/>
          <w:sz w:val="24"/>
          <w:u w:val="single"/>
        </w:rPr>
        <w:t>per</w:t>
      </w:r>
      <w:r>
        <w:rPr>
          <w:color w:val="000000"/>
        </w:rPr>
        <w:t xml:space="preserve"> </w:t>
      </w:r>
      <w:r>
        <w:rPr>
          <w:rFonts w:ascii="Times New Roman;serif" w:hAnsi="Times New Roman;serif"/>
          <w:b w:val="false"/>
          <w:color w:val="000000"/>
          <w:sz w:val="24"/>
          <w:u w:val="single"/>
        </w:rPr>
        <w:t>annum</w:t>
      </w:r>
      <w:r>
        <w:rPr>
          <w:color w:val="000000"/>
        </w:rPr>
        <w:t xml:space="preserve"> </w:t>
      </w:r>
      <w:r>
        <w:rPr>
          <w:rFonts w:ascii="Times New Roman;serif" w:hAnsi="Times New Roman;serif"/>
          <w:b w:val="false"/>
          <w:color w:val="000000"/>
          <w:sz w:val="24"/>
        </w:rPr>
        <w:t xml:space="preserve">rate equal to the “U.S. Prime Rate” as published in the “Money Rates” section of The Wall Street Journal or if such information ceases to be published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Wall Street Journal, such other publication as determined by the Administrative Agent in its sole discretion.</w:t>
      </w:r>
    </w:p>
    <w:p>
      <w:pPr>
        <w:pStyle w:val="TextBody"/>
        <w:bidi w:val="0"/>
        <w:spacing w:lineRule="auto" w:line="240" w:before="0" w:after="240"/>
        <w:jc w:val="center"/>
        <w:rPr/>
      </w:pPr>
      <w:bookmarkStart w:id="39" w:name="id8ccb9de706e43a1a3474143422214d2"/>
      <w:bookmarkEnd w:id="39"/>
      <w:r>
        <w:rPr>
          <w:rFonts w:ascii="Times New Roman;serif" w:hAnsi="Times New Roman;serif"/>
          <w:b w:val="false"/>
          <w:color w:val="010000"/>
          <w:sz w:val="24"/>
        </w:rPr>
        <w:t>ARTICLE III</w:t>
      </w:r>
      <w:r>
        <w:rPr>
          <w:rFonts w:ascii="Times New Roman;serif" w:hAnsi="Times New Roman;serif"/>
          <w:b w:val="false"/>
          <w:color w:val="000000"/>
          <w:sz w:val="24"/>
        </w:rPr>
        <w:br/>
        <w:t>PAYMENT OF PURCHASE PRICE</w:t>
      </w:r>
    </w:p>
    <w:p>
      <w:pPr>
        <w:pStyle w:val="TextBody"/>
        <w:bidi w:val="0"/>
        <w:spacing w:lineRule="auto" w:line="288" w:before="0" w:after="240"/>
        <w:ind w:left="0" w:right="0" w:firstLine="720"/>
        <w:jc w:val="both"/>
        <w:rPr/>
      </w:pPr>
      <w:bookmarkStart w:id="40" w:name="idd89dbb6cc944f8ea961a728207600e7"/>
      <w:bookmarkEnd w:id="40"/>
      <w:r>
        <w:rPr>
          <w:rFonts w:ascii="Times New Roman;serif" w:hAnsi="Times New Roman;serif"/>
          <w:b w:val="false"/>
          <w:color w:val="010000"/>
          <w:sz w:val="24"/>
        </w:rPr>
        <w:t>SECTION 3.1</w:t>
      </w:r>
      <w:r>
        <w:rPr>
          <w:rFonts w:ascii="Times New Roman;serif" w:hAnsi="Times New Roman;serif"/>
          <w:b w:val="false"/>
          <w:color w:val="000000"/>
          <w:sz w:val="24"/>
          <w:u w:val="single"/>
        </w:rPr>
        <w:t>Initial Purchase Price Payment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41" w:name="iffe1ea79cef84fa280d07c128309e9c1"/>
      <w:bookmarkEnd w:id="41"/>
      <w:r>
        <w:rPr>
          <w:rFonts w:ascii="Times New Roman;serif" w:hAnsi="Times New Roman;serif"/>
          <w:b w:val="false"/>
          <w:color w:val="010000"/>
          <w:sz w:val="24"/>
        </w:rPr>
        <w:t>(a)</w:t>
      </w:r>
      <w:r>
        <w:rPr>
          <w:rFonts w:ascii="Times New Roman;serif" w:hAnsi="Times New Roman;serif"/>
          <w:b w:val="false"/>
          <w:color w:val="000000"/>
          <w:sz w:val="24"/>
        </w:rPr>
        <w:t>On the Closing Date, Integra shall and hereby does absolutely assign and contribute to the capital of the Buyer, the Receivables having an aggregate Outstanding Balance of thirteen million four hundred and fifty-two thousand nine hundred and ninety-three dollars ($13,452,993). The consideration for such absolute assignment and contribution is the increase in the value of the membership interests in the Buyer owned by Integra.</w:t>
      </w:r>
    </w:p>
    <w:p>
      <w:pPr>
        <w:pStyle w:val="TextBody"/>
        <w:bidi w:val="0"/>
        <w:spacing w:lineRule="auto" w:line="288" w:before="0" w:after="240"/>
        <w:ind w:left="0" w:right="0" w:firstLine="1440"/>
        <w:jc w:val="both"/>
        <w:rPr/>
      </w:pPr>
      <w:bookmarkStart w:id="42" w:name="i4a0bc0339e4f4cfb9363f416c5bf3b79"/>
      <w:bookmarkEnd w:id="42"/>
      <w:r>
        <w:rPr>
          <w:rFonts w:ascii="Times New Roman;serif" w:hAnsi="Times New Roman;serif"/>
          <w:b w:val="false"/>
          <w:color w:val="010000"/>
          <w:sz w:val="24"/>
        </w:rPr>
        <w:t>(b)</w:t>
      </w:r>
      <w:r>
        <w:rPr>
          <w:rFonts w:ascii="Times New Roman;serif" w:hAnsi="Times New Roman;serif"/>
          <w:b w:val="false"/>
          <w:color w:val="000000"/>
          <w:sz w:val="24"/>
        </w:rPr>
        <w:t xml:space="preserve">On the terms and subject to the conditions set forth in this Agreement, the Buyer agrees to pay to each Originator the Purchase Price for the purchase to be made from such Originator on the Closing Date (i) to the extent the Buyer has unrestricted cash available therefor (and such payment is not prohibited by the Receivables Financing Agreement), partially, in cash (in an amount to be agreed between the Buyer and such Originator and set forth in the initial Purchase Report) and (ii) the remainder by issuing a promissory note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such Originator (each such promissory note, as it may be amended, supplemented, endorsed or otherwise modified from time to time, together with all promissory notes issued from time to time in substitution therefor or renewal thereof in accordance with the Transaction Documents, each being herein called a “</w:t>
      </w:r>
      <w:r>
        <w:rPr>
          <w:rFonts w:ascii="Times New Roman;serif" w:hAnsi="Times New Roman;serif"/>
          <w:b w:val="false"/>
          <w:color w:val="000000"/>
          <w:sz w:val="24"/>
          <w:u w:val="single"/>
        </w:rPr>
        <w:t>Subordinated Note</w:t>
      </w:r>
      <w:r>
        <w:rPr>
          <w:color w:val="000000"/>
        </w:rPr>
        <w:t>”</w:t>
      </w:r>
      <w:r>
        <w:rPr>
          <w:rFonts w:ascii="Times New Roman;serif" w:hAnsi="Times New Roman;serif"/>
          <w:b w:val="false"/>
          <w:color w:val="000000"/>
          <w:sz w:val="24"/>
        </w:rPr>
        <w:t>) with an initial principal amount equal to the remaining Purchase Price payable to such Originator not paid in cash.</w:t>
      </w:r>
    </w:p>
    <w:p>
      <w:pPr>
        <w:pStyle w:val="TextBody"/>
        <w:bidi w:val="0"/>
        <w:spacing w:lineRule="auto" w:line="288" w:before="0" w:after="240"/>
        <w:ind w:left="0" w:right="0" w:firstLine="720"/>
        <w:jc w:val="both"/>
        <w:rPr/>
      </w:pPr>
      <w:bookmarkStart w:id="43" w:name="i0c8de5f6357f41bc8c8be90d0c602c88"/>
      <w:bookmarkEnd w:id="43"/>
      <w:r>
        <w:rPr>
          <w:rFonts w:ascii="Times New Roman;serif" w:hAnsi="Times New Roman;serif"/>
          <w:b w:val="false"/>
          <w:color w:val="010000"/>
          <w:sz w:val="24"/>
        </w:rPr>
        <w:t>SECTION 3.2</w:t>
      </w:r>
      <w:r>
        <w:rPr>
          <w:rFonts w:ascii="Times New Roman;serif" w:hAnsi="Times New Roman;serif"/>
          <w:b w:val="false"/>
          <w:color w:val="000000"/>
          <w:sz w:val="24"/>
          <w:u w:val="single"/>
        </w:rPr>
        <w:t>Subsequent Purchase Price Payments</w:t>
      </w:r>
      <w:r>
        <w:rPr>
          <w:rFonts w:ascii="Times New Roman;serif" w:hAnsi="Times New Roman;serif"/>
          <w:b w:val="false"/>
          <w:color w:val="000000"/>
          <w:sz w:val="24"/>
        </w:rPr>
        <w:t xml:space="preserve">. On each Payment Date subsequent to the Closing Date, on the terms and subject to the conditions set forth in this Agreement, the Buyer shall pay to each Originator the Purchase Price for the Receivables and the Related Rights generated by such Originator since the immediately preceding Payment Date in accordance with </w:t>
      </w:r>
      <w:r>
        <w:rPr>
          <w:rFonts w:ascii="Times New Roman;serif" w:hAnsi="Times New Roman;serif"/>
          <w:b w:val="false"/>
          <w:color w:val="000000"/>
          <w:sz w:val="24"/>
          <w:u w:val="single"/>
        </w:rPr>
        <w:t>Section 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4" w:name="if78d3c6f73804454ad55456182638d88"/>
      <w:bookmarkEnd w:id="44"/>
      <w:r>
        <w:rPr>
          <w:rFonts w:ascii="Times New Roman;serif" w:hAnsi="Times New Roman;serif"/>
          <w:b w:val="false"/>
          <w:color w:val="010000"/>
          <w:sz w:val="24"/>
        </w:rPr>
        <w:t>(a)</w:t>
      </w:r>
      <w:r>
        <w:rPr>
          <w:rFonts w:ascii="Times New Roman;serif" w:hAnsi="Times New Roman;serif"/>
          <w:b w:val="false"/>
          <w:i/>
          <w:color w:val="000000"/>
          <w:sz w:val="24"/>
          <w:u w:val="single"/>
        </w:rPr>
        <w:t>First</w:t>
      </w:r>
      <w:r>
        <w:rPr>
          <w:rFonts w:ascii="Times New Roman;serif" w:hAnsi="Times New Roman;serif"/>
          <w:b w:val="false"/>
          <w:color w:val="000000"/>
          <w:sz w:val="24"/>
        </w:rPr>
        <w:t>, in cash to the extent the Buyer has unrestricted cash available therefor (and such payment is not prohibited under the Receivables Financing Agreement); and</w:t>
      </w:r>
    </w:p>
    <w:p>
      <w:pPr>
        <w:pStyle w:val="TextBody"/>
        <w:bidi w:val="0"/>
        <w:spacing w:lineRule="auto" w:line="288" w:before="0" w:after="240"/>
        <w:ind w:left="0" w:right="0" w:firstLine="1440"/>
        <w:jc w:val="both"/>
        <w:rPr/>
      </w:pPr>
      <w:bookmarkStart w:id="45" w:name="i0f1e08d25b144a659e0dbc7f3ff7e542"/>
      <w:bookmarkEnd w:id="45"/>
      <w:r>
        <w:rPr>
          <w:rFonts w:ascii="Times New Roman;serif" w:hAnsi="Times New Roman;serif"/>
          <w:b w:val="false"/>
          <w:color w:val="010000"/>
          <w:sz w:val="24"/>
        </w:rPr>
        <w:t>(b)</w:t>
      </w:r>
      <w:r>
        <w:rPr>
          <w:rFonts w:ascii="Times New Roman;serif" w:hAnsi="Times New Roman;serif"/>
          <w:b w:val="false"/>
          <w:i/>
          <w:color w:val="000000"/>
          <w:sz w:val="24"/>
          <w:u w:val="single"/>
        </w:rPr>
        <w:t>Second</w:t>
      </w:r>
      <w:r>
        <w:rPr>
          <w:rFonts w:ascii="Times New Roman;serif" w:hAnsi="Times New Roman;serif"/>
          <w:b w:val="false"/>
          <w:color w:val="000000"/>
          <w:sz w:val="24"/>
        </w:rPr>
        <w:t>, to the extent any portion of the Purchase Price remains unpaid, the principal amount outstanding under the applicable Subordinated Note shall be automatically increased by an amount equal to the lesser of (x) such remaining unpaid portion of such Purchase Price and (y) the maximum increase in the principal balance of the applicable Subordinated Note that could be made without rendering the Buyer’s Net Worth less than the Required Capital Amount;</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more than one Originator is selling Receivables to the Buyer on the date of such purchase, the Buyer shall make cash payments among the Originators in such a way as to minimize to the greatest extent practicable the aggregate principal amounts outstanding under the Subordinated Notes; and provided, further, that (i) there may be a borrowing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Subordinated Note only if, at the time of (and immediately after) each loan under the Subordinated Note is made, (i) the Buyer is Solvent, (ii) the Buyer’s cash on hand is sufficient to satisfy all of its current obligations (other than its obligations under the Subordinated Note and the obligation to pay the Purchase Price of the Receivables), (iii) its capitalization, including its equity, is commercially reasonable and adequate to conduct its business as presently contemplated and (iv) the financial capacity of the Buyer to meet its financial commitments under the Subordinated Note is adequate; and provided further that, to the extent that the Purchase Price for any Receivable or Receivables to be sold pursuant to </w:t>
      </w:r>
      <w:r>
        <w:rPr>
          <w:rFonts w:ascii="Times New Roman;serif" w:hAnsi="Times New Roman;serif"/>
          <w:b w:val="false"/>
          <w:color w:val="000000"/>
          <w:sz w:val="24"/>
          <w:u w:val="single"/>
        </w:rPr>
        <w:t>Section 1.2(b)</w:t>
      </w:r>
      <w:r>
        <w:rPr>
          <w:color w:val="000000"/>
        </w:rPr>
        <w:t xml:space="preserve"> </w:t>
      </w:r>
      <w:r>
        <w:rPr>
          <w:rFonts w:ascii="Times New Roman;serif" w:hAnsi="Times New Roman;serif"/>
          <w:b w:val="false"/>
          <w:color w:val="000000"/>
          <w:sz w:val="24"/>
        </w:rPr>
        <w:t xml:space="preserve">cannot be paid because of an inability of the Buyer to borrow under the Subordinated Note under this </w:t>
      </w:r>
      <w:r>
        <w:rPr>
          <w:rFonts w:ascii="Times New Roman;serif" w:hAnsi="Times New Roman;serif"/>
          <w:b w:val="false"/>
          <w:color w:val="000000"/>
          <w:sz w:val="24"/>
          <w:u w:val="single"/>
        </w:rPr>
        <w:t>Section 3.2(b)</w:t>
      </w:r>
      <w:r>
        <w:rPr>
          <w:color w:val="000000"/>
        </w:rPr>
        <w:t xml:space="preserve"> </w:t>
      </w:r>
      <w:r>
        <w:rPr>
          <w:rFonts w:ascii="Times New Roman;serif" w:hAnsi="Times New Roman;serif"/>
          <w:b w:val="false"/>
          <w:color w:val="000000"/>
          <w:sz w:val="24"/>
        </w:rPr>
        <w:t>then such Receivables shall be deemed not to be sold pursuant to this Agreement unless until the Buyer has sufficient cash (or capacity under Subordinated Note) to pay the Purchase Price. Upon the payment in full of such Purchase Price for such Receivables, the Receivables will deemed to be sold at the time of such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Worth</w:t>
      </w:r>
      <w:r>
        <w:rPr>
          <w:color w:val="000000"/>
        </w:rPr>
        <w:t xml:space="preserve">” </w:t>
      </w:r>
      <w:r>
        <w:rPr>
          <w:rFonts w:ascii="Times New Roman;serif" w:hAnsi="Times New Roman;serif"/>
          <w:b w:val="false"/>
          <w:color w:val="000000"/>
          <w:sz w:val="24"/>
        </w:rPr>
        <w:t>has the meaning set forth under “Borrower’s Net Worth” in the Receivables Financing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All amounts paid by the Buyer to any Originator in respect of the Subordinated Note of such Originator shall be allocated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 xml:space="preserve">to the payment of accrued and unpaid interest on the Subordinated Note of such Originator and </w:t>
      </w:r>
      <w:r>
        <w:rPr>
          <w:rFonts w:ascii="Times New Roman;serif" w:hAnsi="Times New Roman;serif"/>
          <w:b w:val="false"/>
          <w:color w:val="000000"/>
          <w:sz w:val="24"/>
          <w:u w:val="single"/>
        </w:rPr>
        <w:t>second</w:t>
      </w:r>
      <w:r>
        <w:rPr>
          <w:color w:val="000000"/>
        </w:rPr>
        <w:t xml:space="preserve"> </w:t>
      </w:r>
      <w:r>
        <w:rPr>
          <w:rFonts w:ascii="Times New Roman;serif" w:hAnsi="Times New Roman;serif"/>
          <w:b w:val="false"/>
          <w:color w:val="000000"/>
          <w:sz w:val="24"/>
        </w:rPr>
        <w:t xml:space="preserve">to the repayment of the principal outstanding on the Subordinated Note of such Originator to the extent of such outstanding principal thereof as of the date of such payment before such amounts may be allocated for any other purpose. The Servicer shall make all appropriate record keeping entries with respect to each of the Subordinated Notes to reflect the foregoing payments and payments and reductions made pursuant to </w:t>
      </w:r>
      <w:r>
        <w:rPr>
          <w:rFonts w:ascii="Times New Roman;serif" w:hAnsi="Times New Roman;serif"/>
          <w:b w:val="false"/>
          <w:color w:val="000000"/>
          <w:sz w:val="24"/>
          <w:u w:val="single"/>
        </w:rPr>
        <w:t>Section 3.3</w:t>
      </w:r>
      <w:r>
        <w:rPr>
          <w:rFonts w:ascii="Times New Roman;serif" w:hAnsi="Times New Roman;serif"/>
          <w:b w:val="false"/>
          <w:color w:val="000000"/>
          <w:sz w:val="24"/>
        </w:rPr>
        <w:t>, and the Servicer’s books and records shall constitute rebuttable presumptive evidence of the principal amount of, and accrued interest on, each of the Subordinated Notes at any time. Each Originator hereby irrevocably authorizes the Servicer to mark the Subordinated Notes “CANCELED” and to return such Subordinated Notes to the Buyer upon the final payment thereof after the occurrence of the Purchase and Sale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consideration for the Receivables absolutely assigned and contributed by Integra to the capital of the Buyer pursuant to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consists of the increase in the value of the membership interests in the Buyer owned by Integra.</w:t>
      </w:r>
    </w:p>
    <w:p>
      <w:pPr>
        <w:pStyle w:val="TextBody"/>
        <w:bidi w:val="0"/>
        <w:spacing w:lineRule="auto" w:line="288" w:before="0" w:after="240"/>
        <w:ind w:left="0" w:right="0" w:firstLine="720"/>
        <w:jc w:val="both"/>
        <w:rPr/>
      </w:pPr>
      <w:bookmarkStart w:id="46" w:name="ia37eb0df6ea041cab4e38d68251f7797"/>
      <w:bookmarkEnd w:id="46"/>
      <w:r>
        <w:rPr>
          <w:rFonts w:ascii="Times New Roman;serif" w:hAnsi="Times New Roman;serif"/>
          <w:b w:val="false"/>
          <w:color w:val="010000"/>
          <w:sz w:val="24"/>
        </w:rPr>
        <w:t>SECTION 3.3</w:t>
      </w:r>
      <w:r>
        <w:rPr>
          <w:rFonts w:ascii="Times New Roman;serif" w:hAnsi="Times New Roman;serif"/>
          <w:b w:val="false"/>
          <w:color w:val="000000"/>
          <w:sz w:val="24"/>
          <w:u w:val="single"/>
        </w:rPr>
        <w:t>Settlement as to Specific Receivables and Dilution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47" w:name="i01d83bb20e204a269ac052ce059dfb74"/>
      <w:bookmarkEnd w:id="47"/>
      <w:r>
        <w:rPr>
          <w:rFonts w:ascii="Times New Roman;serif" w:hAnsi="Times New Roman;serif"/>
          <w:b w:val="false"/>
          <w:color w:val="010000"/>
          <w:sz w:val="24"/>
        </w:rPr>
        <w:t>(a)</w:t>
      </w:r>
      <w:r>
        <w:rPr>
          <w:rFonts w:ascii="Times New Roman;serif" w:hAnsi="Times New Roman;serif"/>
          <w:b w:val="false"/>
          <w:color w:val="000000"/>
          <w:sz w:val="24"/>
        </w:rPr>
        <w:t xml:space="preserve">If, (i) on the day of purchase of any Receivable from an Originator hereunder, any of the representations or warranties set forth in </w:t>
      </w:r>
      <w:r>
        <w:rPr>
          <w:rFonts w:ascii="Times New Roman;serif" w:hAnsi="Times New Roman;serif"/>
          <w:b w:val="false"/>
          <w:color w:val="000000"/>
          <w:sz w:val="24"/>
          <w:u w:val="single"/>
        </w:rPr>
        <w:t>Sections 5.15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5.36</w:t>
      </w:r>
      <w:r>
        <w:rPr>
          <w:color w:val="000000"/>
        </w:rPr>
        <w:t xml:space="preserve"> </w:t>
      </w:r>
      <w:r>
        <w:rPr>
          <w:rFonts w:ascii="Times New Roman;serif" w:hAnsi="Times New Roman;serif"/>
          <w:b w:val="false"/>
          <w:color w:val="000000"/>
          <w:sz w:val="24"/>
        </w:rPr>
        <w:t xml:space="preserve">are not true with respect to such Receivable or (ii) as a result of any action or inaction (other than solely as a result of the failure to collect such Receivable due to a discharge in bankruptcy or similar insolvency proceeding or other credit related reasons with respect to the relevant Obligor) of such Originator, on any subsequent day, any of such representations or warranties set forth in </w:t>
      </w:r>
      <w:r>
        <w:rPr>
          <w:rFonts w:ascii="Times New Roman;serif" w:hAnsi="Times New Roman;serif"/>
          <w:b w:val="false"/>
          <w:color w:val="000000"/>
          <w:sz w:val="24"/>
          <w:u w:val="single"/>
        </w:rPr>
        <w:t>Sections 5.15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5.35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5.36</w:t>
      </w:r>
      <w:r>
        <w:rPr>
          <w:color w:val="000000"/>
        </w:rPr>
        <w:t xml:space="preserve"> </w:t>
      </w:r>
      <w:r>
        <w:rPr>
          <w:rFonts w:ascii="Times New Roman;serif" w:hAnsi="Times New Roman;serif"/>
          <w:b w:val="false"/>
          <w:color w:val="000000"/>
          <w:sz w:val="24"/>
        </w:rPr>
        <w:t xml:space="preserve">is no longer true with respect to such Receivable, then such Originator shall reimburse the Buyer for such Receivable in an amount equal to the Outstanding Balance of such Receivable, which reimbursement shall be accounted to the Buyer as provided in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below;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the Buyer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receives payment on account of the Outstanding Balance of such Receivable, the Buyer promptly shall deliver such funds to such Originator.</w:t>
      </w:r>
    </w:p>
    <w:p>
      <w:pPr>
        <w:pStyle w:val="TextBody"/>
        <w:bidi w:val="0"/>
        <w:spacing w:lineRule="auto" w:line="288" w:before="0" w:after="240"/>
        <w:ind w:left="0" w:right="0" w:firstLine="1440"/>
        <w:jc w:val="both"/>
        <w:rPr/>
      </w:pPr>
      <w:bookmarkStart w:id="48" w:name="i5d49395bb8ca4f57ba0c4a92f0373894"/>
      <w:bookmarkEnd w:id="48"/>
      <w:r>
        <w:rPr>
          <w:rFonts w:ascii="Times New Roman;serif" w:hAnsi="Times New Roman;serif"/>
          <w:b w:val="false"/>
          <w:color w:val="010000"/>
          <w:sz w:val="24"/>
        </w:rPr>
        <w:t>(b)</w:t>
      </w:r>
      <w:r>
        <w:rPr>
          <w:rFonts w:ascii="Times New Roman;serif" w:hAnsi="Times New Roman;serif"/>
          <w:b w:val="false"/>
          <w:color w:val="000000"/>
          <w:sz w:val="24"/>
        </w:rPr>
        <w:t xml:space="preserve">If, on any day, the Outstanding Balance of any Receivable purchased hereunder is either (i) reduced, adjusted or canceled as a result of (A) any defective, rejected or returned goods or services, any cash or other discount, or any failure by an Originator to deliver any goods or perform any services or otherwise perform under the underlying Contract or invoice, (B) any change in or cancellation of any of the terms of such Contract or invoice or any other adjustment by an Originator, any Sub-Servicer, or the Servicer which reduces the amount payable by the Obligor on the related Receivable, (C) any rebates, warranties, allowances or charge-backs or (D) any setoff or credit in respect of any claim by the Obligor thereof (whether such claim arises out of the same or a related transaction or an unrelated transaction), or (ii) subject to any specific dispute, offset, counterclaim or defense whatsoever (except the discharge in bankruptcy of the Obligor thereof), then with respect to such Receivable the applicable Originator shall reimburse the Buyer the amount of such net reduction, adjustment, cancellation or dispute, which reimbursement shall be accounted to the Buyer as provided in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1440"/>
        <w:jc w:val="both"/>
        <w:rPr/>
      </w:pPr>
      <w:bookmarkStart w:id="49" w:name="i842124c3fb794803b8362fbce3bdae54"/>
      <w:bookmarkEnd w:id="49"/>
      <w:r>
        <w:rPr>
          <w:rFonts w:ascii="Times New Roman;serif" w:hAnsi="Times New Roman;serif"/>
          <w:b w:val="false"/>
          <w:color w:val="010000"/>
          <w:sz w:val="24"/>
        </w:rPr>
        <w:t>(c)</w:t>
      </w:r>
      <w:r>
        <w:rPr>
          <w:rFonts w:ascii="Times New Roman;serif" w:hAnsi="Times New Roman;serif"/>
          <w:b w:val="false"/>
          <w:color w:val="000000"/>
          <w:sz w:val="24"/>
        </w:rPr>
        <w:t xml:space="preserve">Any reduction in the Purchase Price of any Receivable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shall be applied as a credit for the account of the Buyer against the Purchase Price of Receivables subsequently purchased by the Buyer from such Originator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if there have been no purchases of Receivables from such Originator (or insufficiently large purchases of Receivables) to create a Purchase Price sufficient to so apply such credit against, the amount of such credit:</w:t>
      </w:r>
    </w:p>
    <w:p>
      <w:pPr>
        <w:pStyle w:val="TextBody"/>
        <w:bidi w:val="0"/>
        <w:spacing w:lineRule="auto" w:line="288" w:before="0" w:after="240"/>
        <w:ind w:left="0" w:right="0" w:firstLine="1440"/>
        <w:jc w:val="both"/>
        <w:rPr/>
      </w:pPr>
      <w:bookmarkStart w:id="50" w:name="icfcd118a64c842e494a9bd22a262e964"/>
      <w:bookmarkEnd w:id="50"/>
      <w:r>
        <w:rPr>
          <w:rFonts w:ascii="Times New Roman;serif" w:hAnsi="Times New Roman;serif"/>
          <w:b w:val="false"/>
          <w:color w:val="010000"/>
          <w:sz w:val="24"/>
        </w:rPr>
        <w:t>(i)</w:t>
      </w:r>
      <w:r>
        <w:rPr>
          <w:rFonts w:ascii="Times New Roman;serif" w:hAnsi="Times New Roman;serif"/>
          <w:b w:val="false"/>
          <w:color w:val="000000"/>
          <w:sz w:val="24"/>
        </w:rPr>
        <w:t>to the extent of any accrued and unpaid interest under the Subordinated Note payable to such Originator, shall be deemed to be a payment under, and shall be deducted from the accrued and unpaid interest outstanding under, the Subordinated Note payable to such Originator;</w:t>
      </w:r>
    </w:p>
    <w:p>
      <w:pPr>
        <w:pStyle w:val="TextBody"/>
        <w:bidi w:val="0"/>
        <w:spacing w:lineRule="auto" w:line="288" w:before="0" w:after="240"/>
        <w:ind w:left="0" w:right="0" w:firstLine="1440"/>
        <w:jc w:val="both"/>
        <w:rPr/>
      </w:pPr>
      <w:bookmarkStart w:id="51" w:name="i538173b915894cbaaea6764cd8390e5f"/>
      <w:bookmarkEnd w:id="51"/>
      <w:r>
        <w:rPr>
          <w:rFonts w:ascii="Times New Roman;serif" w:hAnsi="Times New Roman;serif"/>
          <w:b w:val="false"/>
          <w:color w:val="010000"/>
          <w:sz w:val="24"/>
        </w:rPr>
        <w:t>(ii)</w:t>
      </w:r>
      <w:r>
        <w:rPr>
          <w:rFonts w:ascii="Times New Roman;serif" w:hAnsi="Times New Roman;serif"/>
          <w:b w:val="false"/>
          <w:color w:val="000000"/>
          <w:sz w:val="24"/>
        </w:rPr>
        <w:t>to the extent of any outstanding principal balance under the Subordinated Note payable to such Originator, shall be deemed to be a payment under, and shall be deducted from the principal amount outstanding under, the Subordinated Note payable to such Originator; and</w:t>
      </w:r>
    </w:p>
    <w:p>
      <w:pPr>
        <w:pStyle w:val="TextBody"/>
        <w:bidi w:val="0"/>
        <w:spacing w:lineRule="auto" w:line="288" w:before="0" w:after="240"/>
        <w:ind w:left="0" w:right="0" w:firstLine="1440"/>
        <w:jc w:val="both"/>
        <w:rPr/>
      </w:pPr>
      <w:bookmarkStart w:id="52" w:name="ie2580a34463d48f1bbe4539f9417e798"/>
      <w:bookmarkEnd w:id="52"/>
      <w:r>
        <w:rPr>
          <w:rFonts w:ascii="Times New Roman;serif" w:hAnsi="Times New Roman;serif"/>
          <w:b w:val="false"/>
          <w:color w:val="010000"/>
          <w:sz w:val="24"/>
        </w:rPr>
        <w:t>(iii)</w:t>
      </w:r>
      <w:r>
        <w:rPr>
          <w:rFonts w:ascii="Times New Roman;serif" w:hAnsi="Times New Roman;serif"/>
          <w:b w:val="false"/>
          <w:color w:val="000000"/>
          <w:sz w:val="24"/>
        </w:rPr>
        <w:t xml:space="preserve">after making any deduction pursuant to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shall be paid in cash to the Buyer by such Originator in the manner and for application as described in the following proviso;</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at any time (x) when an Event of Default or an Unmatured Event of Default exists under the Receivables Financing Agreement, (y) when a Purchase and Sale Termination Event or an Unmatured Purchase and Sale Termination Event exists under this Agreement or (z) on or after the Purchase and Sale Termination Date, the amount of any such credit shall be paid by such Originator to the Buyer in cash by deposit of immediately available funds into a Collection Account no later than one (1) Business Day after the events described in clauses (x), (y) and (z) above for application by the Servicer to the same extent as if Collections of the applicable Receivable in such amount had actually been received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53" w:name="i1a0175648a49419c8717a01e7c3f0ac9"/>
      <w:bookmarkEnd w:id="53"/>
      <w:r>
        <w:rPr>
          <w:rFonts w:ascii="Times New Roman;serif" w:hAnsi="Times New Roman;serif"/>
          <w:b w:val="false"/>
          <w:color w:val="010000"/>
          <w:sz w:val="24"/>
        </w:rPr>
        <w:t>SECTION 3.4</w:t>
      </w:r>
      <w:r>
        <w:rPr>
          <w:rFonts w:ascii="Times New Roman;serif" w:hAnsi="Times New Roman;serif"/>
          <w:b w:val="false"/>
          <w:color w:val="000000"/>
          <w:sz w:val="24"/>
          <w:u w:val="single"/>
        </w:rPr>
        <w:t>Reconveyance of Receivables</w:t>
      </w:r>
      <w:r>
        <w:rPr>
          <w:rFonts w:ascii="Times New Roman;serif" w:hAnsi="Times New Roman;serif"/>
          <w:b w:val="false"/>
          <w:color w:val="000000"/>
          <w:sz w:val="24"/>
        </w:rPr>
        <w:t xml:space="preserve">. In the event that an Originator has paid the Outstanding Balance of a Receivable, and the credit for such reduction has been applied pursuant to </w:t>
      </w:r>
      <w:r>
        <w:rPr>
          <w:rFonts w:ascii="Times New Roman;serif" w:hAnsi="Times New Roman;serif"/>
          <w:b w:val="false"/>
          <w:color w:val="000000"/>
          <w:sz w:val="24"/>
          <w:u w:val="single"/>
        </w:rPr>
        <w:t>Section 3.3</w:t>
      </w:r>
      <w:r>
        <w:rPr>
          <w:rFonts w:ascii="Times New Roman;serif" w:hAnsi="Times New Roman;serif"/>
          <w:b w:val="false"/>
          <w:color w:val="000000"/>
          <w:sz w:val="24"/>
        </w:rPr>
        <w:t>, the Buyer shall reconvey such Receivable to such Originator, without representation, warranty or recourse, but free and clear of all liens, security interests, charges, and encumbrances created by the Buyer.</w:t>
      </w:r>
    </w:p>
    <w:p>
      <w:pPr>
        <w:pStyle w:val="TextBody"/>
        <w:bidi w:val="0"/>
        <w:spacing w:lineRule="auto" w:line="240" w:before="0" w:after="240"/>
        <w:jc w:val="center"/>
        <w:rPr/>
      </w:pPr>
      <w:bookmarkStart w:id="54" w:name="i87efdd863bd64ffb959f1f1ae1c85191"/>
      <w:bookmarkEnd w:id="54"/>
      <w:r>
        <w:rPr>
          <w:rFonts w:ascii="Times New Roman;serif" w:hAnsi="Times New Roman;serif"/>
          <w:b w:val="false"/>
          <w:color w:val="010000"/>
          <w:sz w:val="24"/>
        </w:rPr>
        <w:t>ARTICLE IV</w:t>
      </w:r>
      <w:r>
        <w:rPr>
          <w:rFonts w:ascii="Times New Roman;serif" w:hAnsi="Times New Roman;serif"/>
          <w:b w:val="false"/>
          <w:color w:val="000000"/>
          <w:sz w:val="24"/>
        </w:rPr>
        <w:br/>
        <w:t>CONDITIONS OF PURCHASES; ADDITIONAL ORIGINATORS; TERMINATION OF ORIGINATORS</w:t>
      </w:r>
    </w:p>
    <w:p>
      <w:pPr>
        <w:pStyle w:val="TextBody"/>
        <w:bidi w:val="0"/>
        <w:spacing w:lineRule="auto" w:line="288" w:before="0" w:after="240"/>
        <w:ind w:left="0" w:right="0" w:firstLine="720"/>
        <w:jc w:val="both"/>
        <w:rPr/>
      </w:pPr>
      <w:bookmarkStart w:id="55" w:name="ic09541bca0fb46108dfbdc76bd8f6f95"/>
      <w:bookmarkEnd w:id="55"/>
      <w:r>
        <w:rPr>
          <w:rFonts w:ascii="Times New Roman;serif" w:hAnsi="Times New Roman;serif"/>
          <w:b w:val="false"/>
          <w:color w:val="010000"/>
          <w:sz w:val="24"/>
        </w:rPr>
        <w:t>SECTION 4.1</w:t>
      </w:r>
      <w:r>
        <w:rPr>
          <w:rFonts w:ascii="Times New Roman;serif" w:hAnsi="Times New Roman;serif"/>
          <w:b w:val="false"/>
          <w:color w:val="000000"/>
          <w:sz w:val="24"/>
          <w:u w:val="single"/>
        </w:rPr>
        <w:t>Conditions Precedent to Initial Purchase</w:t>
      </w:r>
      <w:r>
        <w:rPr>
          <w:rFonts w:ascii="Times New Roman;serif" w:hAnsi="Times New Roman;serif"/>
          <w:b w:val="false"/>
          <w:color w:val="000000"/>
          <w:sz w:val="24"/>
        </w:rPr>
        <w:t>. The initial purchase hereunder is subject to the condition precedent that the Buyer, the Administrative Agent (as the Buyer’s assignee) and each Group Agent shall have received, on or before the Closing Date, the following, each (unless otherwise indicated) dated the Closing Date, and each in form and substance satisfactory to the Buyer and the Administrative Agent (as the Buyer’s assignee) and each Group Agent:</w:t>
      </w:r>
    </w:p>
    <w:p>
      <w:pPr>
        <w:pStyle w:val="TextBody"/>
        <w:bidi w:val="0"/>
        <w:spacing w:lineRule="auto" w:line="288" w:before="0" w:after="240"/>
        <w:ind w:left="0" w:right="0" w:firstLine="1440"/>
        <w:jc w:val="both"/>
        <w:rPr/>
      </w:pPr>
      <w:bookmarkStart w:id="56" w:name="ic29b045263b8444087aa5bad54f1640c"/>
      <w:bookmarkEnd w:id="56"/>
      <w:r>
        <w:rPr>
          <w:rFonts w:ascii="Times New Roman;serif" w:hAnsi="Times New Roman;serif"/>
          <w:b w:val="false"/>
          <w:color w:val="010000"/>
          <w:sz w:val="24"/>
        </w:rPr>
        <w:t>(a)</w:t>
      </w:r>
      <w:r>
        <w:rPr>
          <w:rFonts w:ascii="Times New Roman;serif" w:hAnsi="Times New Roman;serif"/>
          <w:b w:val="false"/>
          <w:color w:val="000000"/>
          <w:sz w:val="24"/>
        </w:rPr>
        <w:t>a copy of the resolutions or unanimous written consent of the board of directors or other governing body of each Originator approving this Agreement and the other Transaction Documents to be executed and delivered by it and the transactions contemplated hereby and thereby, certified by the Secretary or Assistant Secretary of such Originator;</w:t>
      </w:r>
    </w:p>
    <w:p>
      <w:pPr>
        <w:pStyle w:val="TextBody"/>
        <w:bidi w:val="0"/>
        <w:spacing w:lineRule="auto" w:line="288" w:before="0" w:after="240"/>
        <w:ind w:left="0" w:right="0" w:firstLine="1440"/>
        <w:jc w:val="both"/>
        <w:rPr/>
      </w:pPr>
      <w:bookmarkStart w:id="57" w:name="ib3a3885f757c4fc19309005e7d2d1f09"/>
      <w:bookmarkEnd w:id="57"/>
      <w:r>
        <w:rPr>
          <w:rFonts w:ascii="Times New Roman;serif" w:hAnsi="Times New Roman;serif"/>
          <w:b w:val="false"/>
          <w:color w:val="010000"/>
          <w:sz w:val="24"/>
        </w:rPr>
        <w:t>(b)</w:t>
      </w:r>
      <w:r>
        <w:rPr>
          <w:rFonts w:ascii="Times New Roman;serif" w:hAnsi="Times New Roman;serif"/>
          <w:b w:val="false"/>
          <w:color w:val="000000"/>
          <w:sz w:val="24"/>
        </w:rPr>
        <w:t>good standing certificates for each Originator issued as of a recent date acceptable to the Buyer and the Administrative Agent (as the Buyer’s assignee) by the Secretary of State (or similar official) of the jurisdiction of such Originator’s organization or formation and each other jurisdiction where such Originator is required to be qualified to transact business, except where the failure to be so qualified would not reasonably be expected to have a Material Adverse Effect;</w:t>
      </w:r>
    </w:p>
    <w:p>
      <w:pPr>
        <w:pStyle w:val="TextBody"/>
        <w:bidi w:val="0"/>
        <w:spacing w:lineRule="auto" w:line="288" w:before="0" w:after="240"/>
        <w:ind w:left="0" w:right="0" w:firstLine="1440"/>
        <w:jc w:val="both"/>
        <w:rPr/>
      </w:pPr>
      <w:bookmarkStart w:id="58" w:name="i2afa1c23916044a2a778fb976795320f"/>
      <w:bookmarkEnd w:id="58"/>
      <w:r>
        <w:rPr>
          <w:rFonts w:ascii="Times New Roman;serif" w:hAnsi="Times New Roman;serif"/>
          <w:b w:val="false"/>
          <w:color w:val="010000"/>
          <w:sz w:val="24"/>
        </w:rPr>
        <w:t>(c)</w:t>
      </w:r>
      <w:r>
        <w:rPr>
          <w:rFonts w:ascii="Times New Roman;serif" w:hAnsi="Times New Roman;serif"/>
          <w:b w:val="false"/>
          <w:color w:val="000000"/>
          <w:sz w:val="24"/>
        </w:rPr>
        <w:t xml:space="preserve">a certificate of the Secretary or Assistant Secretary of each Originator certifying the names and true signatures of the officers authorized on such Person’s behalf to sign this Agreement and the other Transaction Documents to be executed and delivered by it (on which certificate the Servicer, the Buyer, the Administrative Agent (as the Buyer’s assignee) and each Group Agent may conclusively rely until such time as the Servicer, the Buyer, the Administrative Agent (as the Buyer’s assignee) and each Group Agent shall receive from such Person a revised certificate meeting the requirements of this </w:t>
      </w:r>
      <w:r>
        <w:rPr>
          <w:rFonts w:ascii="Times New Roman;serif" w:hAnsi="Times New Roman;serif"/>
          <w:b w:val="false"/>
          <w:color w:val="000000"/>
          <w:sz w:val="24"/>
          <w:u w:val="single"/>
        </w:rPr>
        <w:t>clause (c)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59" w:name="i62430c9a995e41fc9f18420d182f9f1f"/>
      <w:bookmarkEnd w:id="59"/>
      <w:r>
        <w:rPr>
          <w:rFonts w:ascii="Times New Roman;serif" w:hAnsi="Times New Roman;serif"/>
          <w:b w:val="false"/>
          <w:color w:val="010000"/>
          <w:sz w:val="24"/>
        </w:rPr>
        <w:t>(d)</w:t>
      </w:r>
      <w:r>
        <w:rPr>
          <w:rFonts w:ascii="Times New Roman;serif" w:hAnsi="Times New Roman;serif"/>
          <w:b w:val="false"/>
          <w:color w:val="000000"/>
          <w:sz w:val="24"/>
        </w:rPr>
        <w:t>the certificate or articles of incorporation, certificate of formation or other organizational document of each Originator (including all amendments and modifications thereto) duly certified by the Secretary of State of the jurisdiction of such Originator’s organization as of a recent date, together with a copy of the by-laws, limited liability company agreement or other governing documents of such Originator (including all amendments and modifications thereto), as applicable, each duly certified by the Secretary or an Assistant Secretary of such Originator;</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60" w:name="ie53322ac96554302b60005e1edf0fde1"/>
      <w:bookmarkEnd w:id="60"/>
      <w:r>
        <w:rPr>
          <w:rFonts w:ascii="Times New Roman;serif" w:hAnsi="Times New Roman;serif"/>
          <w:b w:val="false"/>
          <w:color w:val="010000"/>
          <w:sz w:val="24"/>
        </w:rPr>
        <w:t>(e)</w:t>
      </w:r>
      <w:r>
        <w:rPr>
          <w:rFonts w:ascii="Times New Roman;serif" w:hAnsi="Times New Roman;serif"/>
          <w:b w:val="false"/>
          <w:color w:val="000000"/>
          <w:sz w:val="24"/>
        </w:rPr>
        <w:t>proper financing statements (Form UCC-1) that have been duly authorized and name each Originator as the debtor/seller and the Buyer as the buyer/assignor secured party (and the Administrative Agent, for the benefit of the Lenders, as secured party/assignee of assignor secured party) of the Receivables generated by such Originator as may be necessary or, in the Buyer’s or the Administrative Agent’s opinion, desirable under the UCC of all appropriate jurisdictions to perfect the Buyer’s security interest (within the meaning of the UCC, which includes the interest of a buyer of the Receivables) in such Receivables and the Related Rights in which a security interest (including a buyer’s ownership interest) has been assigned to it hereunder;</w:t>
      </w:r>
    </w:p>
    <w:p>
      <w:pPr>
        <w:pStyle w:val="TextBody"/>
        <w:bidi w:val="0"/>
        <w:spacing w:lineRule="auto" w:line="288" w:before="0" w:after="240"/>
        <w:ind w:left="0" w:right="0" w:firstLine="1440"/>
        <w:jc w:val="both"/>
        <w:rPr/>
      </w:pPr>
      <w:bookmarkStart w:id="61" w:name="ia768795ba8f24bf6ad5c98b3bd0af906"/>
      <w:bookmarkEnd w:id="61"/>
      <w:r>
        <w:rPr>
          <w:rFonts w:ascii="Times New Roman;serif" w:hAnsi="Times New Roman;serif"/>
          <w:b w:val="false"/>
          <w:color w:val="010000"/>
          <w:sz w:val="24"/>
        </w:rPr>
        <w:t>(f)</w:t>
      </w:r>
      <w:r>
        <w:rPr>
          <w:rFonts w:ascii="Times New Roman;serif" w:hAnsi="Times New Roman;serif"/>
          <w:b w:val="false"/>
          <w:color w:val="000000"/>
          <w:sz w:val="24"/>
        </w:rPr>
        <w:t xml:space="preserve">a written search report from a Person satisfactory to the Buyer and the Administrative Agent (as the Buyer’s assignee) listing all effective financing statements that name the Originators as debtors or sellers and that are filed in all jurisdictions in which filings may be made against such Person pursuant to the applicable UCC, together with copies of such financing statements (none of which, except for those described in the foregoing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(and/or released or terminated, as the case may be, prior to the date hereof), shall cover any Receivable or any Related Rights which are to be sold or contributed to the Buyer hereunder), and tax and judgment lien search reports (including, without limitation, liens of the PBGC) from a Person satisfactory to the Buyer and the Administrative Agent (as the Buyer’s assignee) showing no evidence of such liens filed against any Originator;</w:t>
      </w:r>
    </w:p>
    <w:p>
      <w:pPr>
        <w:pStyle w:val="TextBody"/>
        <w:bidi w:val="0"/>
        <w:spacing w:lineRule="auto" w:line="288" w:before="0" w:after="240"/>
        <w:ind w:left="0" w:right="0" w:firstLine="1440"/>
        <w:jc w:val="both"/>
        <w:rPr/>
      </w:pPr>
      <w:bookmarkStart w:id="62" w:name="i5c3d11f701314221b41113df5b46c485"/>
      <w:bookmarkEnd w:id="62"/>
      <w:r>
        <w:rPr>
          <w:rFonts w:ascii="Times New Roman;serif" w:hAnsi="Times New Roman;serif"/>
          <w:b w:val="false"/>
          <w:color w:val="010000"/>
          <w:sz w:val="24"/>
        </w:rPr>
        <w:t>(g)</w:t>
      </w:r>
      <w:r>
        <w:rPr>
          <w:rFonts w:ascii="Times New Roman;serif" w:hAnsi="Times New Roman;serif"/>
          <w:b w:val="false"/>
          <w:color w:val="000000"/>
          <w:sz w:val="24"/>
        </w:rPr>
        <w:t>favorable opinions of counsel to the Originators, in form and substance satisfactory to the Buyer, the Administrative Agent and each Group Agent;</w:t>
      </w:r>
    </w:p>
    <w:p>
      <w:pPr>
        <w:pStyle w:val="TextBody"/>
        <w:bidi w:val="0"/>
        <w:spacing w:lineRule="auto" w:line="288" w:before="0" w:after="240"/>
        <w:ind w:left="0" w:right="0" w:firstLine="1440"/>
        <w:jc w:val="both"/>
        <w:rPr/>
      </w:pPr>
      <w:bookmarkStart w:id="63" w:name="ie32d1a9ec00f425aa77b5ad4536a500f"/>
      <w:bookmarkEnd w:id="63"/>
      <w:r>
        <w:rPr>
          <w:rFonts w:ascii="Times New Roman;serif" w:hAnsi="Times New Roman;serif"/>
          <w:b w:val="false"/>
          <w:color w:val="010000"/>
          <w:sz w:val="24"/>
        </w:rPr>
        <w:t>(h)</w:t>
      </w:r>
      <w:r>
        <w:rPr>
          <w:rFonts w:ascii="Times New Roman;serif" w:hAnsi="Times New Roman;serif"/>
          <w:b w:val="false"/>
          <w:color w:val="000000"/>
          <w:sz w:val="24"/>
        </w:rPr>
        <w:t>a Subordinated Note in favor of each Originator, duly executed by the Buyer; and</w:t>
      </w:r>
    </w:p>
    <w:p>
      <w:pPr>
        <w:pStyle w:val="TextBody"/>
        <w:bidi w:val="0"/>
        <w:spacing w:lineRule="auto" w:line="288" w:before="0" w:after="240"/>
        <w:ind w:left="0" w:right="0" w:firstLine="1440"/>
        <w:jc w:val="both"/>
        <w:rPr/>
      </w:pPr>
      <w:bookmarkStart w:id="64" w:name="idb5eefe9609f4abe9721d21f7c844176"/>
      <w:bookmarkEnd w:id="64"/>
      <w:r>
        <w:rPr>
          <w:rFonts w:ascii="Times New Roman;serif" w:hAnsi="Times New Roman;serif"/>
          <w:b w:val="false"/>
          <w:color w:val="010000"/>
          <w:sz w:val="24"/>
        </w:rPr>
        <w:t>(i)</w:t>
      </w:r>
      <w:r>
        <w:rPr>
          <w:rFonts w:ascii="Times New Roman;serif" w:hAnsi="Times New Roman;serif"/>
          <w:b w:val="false"/>
          <w:color w:val="000000"/>
          <w:sz w:val="24"/>
        </w:rPr>
        <w:t>evidence (i) of the execution and delivery by each of the parties thereto of each of the other Transaction Documents to be executed and delivered by it in connection herewith and (ii) that each of the conditions precedent to the execution, delivery and effectiveness of such other Transaction Documents has been satisfied to the Buyer’s and the Administrative Agent’s (as the Buyer’s assignee) satisfaction.</w:t>
      </w:r>
    </w:p>
    <w:p>
      <w:pPr>
        <w:pStyle w:val="TextBody"/>
        <w:bidi w:val="0"/>
        <w:spacing w:lineRule="auto" w:line="288" w:before="0" w:after="240"/>
        <w:ind w:left="0" w:right="0" w:firstLine="720"/>
        <w:jc w:val="both"/>
        <w:rPr/>
      </w:pPr>
      <w:bookmarkStart w:id="65" w:name="ic8b65975b3c346cbae62e7dc46f0638d"/>
      <w:bookmarkEnd w:id="65"/>
      <w:r>
        <w:rPr>
          <w:rFonts w:ascii="Times New Roman;serif" w:hAnsi="Times New Roman;serif"/>
          <w:b w:val="false"/>
          <w:color w:val="010000"/>
          <w:sz w:val="24"/>
        </w:rPr>
        <w:t>SECTION 4.2</w:t>
      </w:r>
      <w:r>
        <w:rPr>
          <w:rFonts w:ascii="Times New Roman;serif" w:hAnsi="Times New Roman;serif"/>
          <w:b w:val="false"/>
          <w:color w:val="000000"/>
          <w:sz w:val="24"/>
          <w:u w:val="single"/>
        </w:rPr>
        <w:t>Certification as to Representations and Warranties</w:t>
      </w:r>
      <w:r>
        <w:rPr>
          <w:rFonts w:ascii="Times New Roman;serif" w:hAnsi="Times New Roman;serif"/>
          <w:b w:val="false"/>
          <w:color w:val="000000"/>
          <w:sz w:val="24"/>
        </w:rPr>
        <w:t xml:space="preserve">. Each Originator, by accepting the Purchase Price related to each purchase of Receivables generated by such Originator, shall be deemed to have certified on such Purchase Date that (a) the representations and warranties of such Originator contained in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as from time to time amended in accordance with the terms hereof, are true and correct in all material respects (unless such representation or warranty contains a materiality qualification and, in such case, such representation and warranty shall be true and correct as made) on and as of such day, with the same effect as though made on and as of such day (except for representations and warranties which apply to an earlier date, in which case such representations and warranties shall be true and correct in all material respects (unless such representation or warranty contains a materiality qualification and, in such case, such representation and warranty shall be true and correct as made) as of such earlier date) and (b) no Purchase and Sale Termination Event, Unmatured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Purchase and Sale Termination Event, Event of Default or an Unmatured Event of Default has occurred and is continuing or will result from the creation and sale of such Receivable.</w:t>
      </w:r>
    </w:p>
    <w:p>
      <w:pPr>
        <w:pStyle w:val="TextBody"/>
        <w:bidi w:val="0"/>
        <w:spacing w:lineRule="auto" w:line="288" w:before="0" w:after="240"/>
        <w:ind w:left="0" w:right="0" w:firstLine="720"/>
        <w:jc w:val="both"/>
        <w:rPr/>
      </w:pPr>
      <w:bookmarkStart w:id="66" w:name="i9a3649bd25514a67bf84c4b6733ca2da"/>
      <w:bookmarkEnd w:id="66"/>
      <w:r>
        <w:rPr>
          <w:rFonts w:ascii="Times New Roman;serif" w:hAnsi="Times New Roman;serif"/>
          <w:b w:val="false"/>
          <w:color w:val="010000"/>
          <w:sz w:val="24"/>
        </w:rPr>
        <w:t>SECTION 4.3</w:t>
      </w:r>
      <w:r>
        <w:rPr>
          <w:rFonts w:ascii="Times New Roman;serif" w:hAnsi="Times New Roman;serif"/>
          <w:b w:val="false"/>
          <w:color w:val="000000"/>
          <w:sz w:val="24"/>
          <w:u w:val="single"/>
        </w:rPr>
        <w:t>Additional Originators</w:t>
      </w:r>
      <w:r>
        <w:rPr>
          <w:rFonts w:ascii="Times New Roman;serif" w:hAnsi="Times New Roman;serif"/>
          <w:b w:val="false"/>
          <w:color w:val="000000"/>
          <w:sz w:val="24"/>
        </w:rPr>
        <w:t xml:space="preserve">. Additional Persons may be added as Originators hereunder, with the prior written consent of the Buyer, the Administrative Agent and each Group Agent (which consents may be granted or withheld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Administrative Agent and each Group Agent on or before the date of such addition:</w:t>
      </w:r>
    </w:p>
    <w:p>
      <w:pPr>
        <w:pStyle w:val="TextBody"/>
        <w:bidi w:val="0"/>
        <w:spacing w:lineRule="auto" w:line="288" w:before="0" w:after="240"/>
        <w:ind w:left="0" w:right="0" w:firstLine="1440"/>
        <w:jc w:val="both"/>
        <w:rPr/>
      </w:pPr>
      <w:bookmarkStart w:id="67" w:name="iae4cc5c4143047f6b7f6c067993f4341"/>
      <w:bookmarkEnd w:id="67"/>
      <w:r>
        <w:rPr>
          <w:rFonts w:ascii="Times New Roman;serif" w:hAnsi="Times New Roman;serif"/>
          <w:b w:val="false"/>
          <w:color w:val="010000"/>
          <w:sz w:val="24"/>
        </w:rPr>
        <w:t>(a)</w:t>
      </w:r>
      <w:r>
        <w:rPr>
          <w:rFonts w:ascii="Times New Roman;serif" w:hAnsi="Times New Roman;serif"/>
          <w:b w:val="false"/>
          <w:color w:val="000000"/>
          <w:sz w:val="24"/>
        </w:rPr>
        <w:t>the Servicer shall have given the Buyer, the Administrative Agent and each Group Agent at least thirty (30) days’ prior written notice of such proposed addition and the identity of the proposed additional Originator and shall have provided such other information with respect to such proposed additional Originator as the Buyer, the Administrative Agent or any Group Agent may reasonably request;</w:t>
      </w:r>
    </w:p>
    <w:p>
      <w:pPr>
        <w:pStyle w:val="TextBody"/>
        <w:bidi w:val="0"/>
        <w:spacing w:lineRule="auto" w:line="288" w:before="0" w:after="240"/>
        <w:ind w:left="0" w:right="0" w:firstLine="1440"/>
        <w:jc w:val="both"/>
        <w:rPr/>
      </w:pPr>
      <w:bookmarkStart w:id="68" w:name="if14b4dea9b1445b2bfd35ce39136a7eb"/>
      <w:bookmarkEnd w:id="68"/>
      <w:r>
        <w:rPr>
          <w:rFonts w:ascii="Times New Roman;serif" w:hAnsi="Times New Roman;serif"/>
          <w:b w:val="false"/>
          <w:color w:val="010000"/>
          <w:sz w:val="24"/>
        </w:rPr>
        <w:t>(b)</w:t>
      </w:r>
      <w:r>
        <w:rPr>
          <w:rFonts w:ascii="Times New Roman;serif" w:hAnsi="Times New Roman;serif"/>
          <w:b w:val="false"/>
          <w:color w:val="000000"/>
          <w:sz w:val="24"/>
        </w:rPr>
        <w:t xml:space="preserve">such proposed additional Originator shall have executed and delivered to the Buyer, the Administrative Agent and each Group Agent an agreement substantially in the form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Joinder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69" w:name="i7f30e4f22d1f4289930b6462afd8d73b"/>
      <w:bookmarkEnd w:id="69"/>
      <w:r>
        <w:rPr>
          <w:rFonts w:ascii="Times New Roman;serif" w:hAnsi="Times New Roman;serif"/>
          <w:b w:val="false"/>
          <w:color w:val="010000"/>
          <w:sz w:val="24"/>
        </w:rPr>
        <w:t>(c)</w:t>
      </w:r>
      <w:r>
        <w:rPr>
          <w:rFonts w:ascii="Times New Roman;serif" w:hAnsi="Times New Roman;serif"/>
          <w:b w:val="false"/>
          <w:color w:val="000000"/>
          <w:sz w:val="24"/>
        </w:rPr>
        <w:t xml:space="preserve">such proposed additional Originator shall have delivered to the Buyer, the Administrative Agent (as the Buyer’s assignee) and each Group Agent each of the documents with respect to such Originator described in </w:t>
      </w:r>
      <w:r>
        <w:rPr>
          <w:rFonts w:ascii="Times New Roman;serif" w:hAnsi="Times New Roman;serif"/>
          <w:b w:val="false"/>
          <w:color w:val="000000"/>
          <w:sz w:val="24"/>
          <w:u w:val="single"/>
        </w:rPr>
        <w:t>Section 4.1</w:t>
      </w:r>
      <w:r>
        <w:rPr>
          <w:rFonts w:ascii="Times New Roman;serif" w:hAnsi="Times New Roman;serif"/>
          <w:b w:val="false"/>
          <w:color w:val="000000"/>
          <w:sz w:val="24"/>
        </w:rPr>
        <w:t>, in each case in form and substance satisfactory to the Buyer, the Administrative Agent (as the Buyer’s assignee) and each Group Agent;</w:t>
      </w:r>
    </w:p>
    <w:p>
      <w:pPr>
        <w:pStyle w:val="TextBody"/>
        <w:bidi w:val="0"/>
        <w:spacing w:lineRule="auto" w:line="288" w:before="0" w:after="240"/>
        <w:ind w:left="0" w:right="0" w:firstLine="1440"/>
        <w:jc w:val="both"/>
        <w:rPr/>
      </w:pPr>
      <w:bookmarkStart w:id="70" w:name="i19ab3ba05ea144159303a9136f00758b"/>
      <w:bookmarkEnd w:id="70"/>
      <w:r>
        <w:rPr>
          <w:rFonts w:ascii="Times New Roman;serif" w:hAnsi="Times New Roman;serif"/>
          <w:b w:val="false"/>
          <w:color w:val="010000"/>
          <w:sz w:val="24"/>
        </w:rPr>
        <w:t>(d)</w:t>
      </w:r>
      <w:r>
        <w:rPr>
          <w:rFonts w:ascii="Times New Roman;serif" w:hAnsi="Times New Roman;serif"/>
          <w:b w:val="false"/>
          <w:color w:val="000000"/>
          <w:sz w:val="24"/>
        </w:rPr>
        <w:t>no Purchase and Sale Termination Event or Unmatured Purchase and Sale Termination Event shall have occurred and be continuing; and</w:t>
      </w:r>
    </w:p>
    <w:p>
      <w:pPr>
        <w:pStyle w:val="TextBody"/>
        <w:bidi w:val="0"/>
        <w:spacing w:lineRule="auto" w:line="288" w:before="0" w:after="240"/>
        <w:ind w:left="0" w:right="0" w:firstLine="1440"/>
        <w:jc w:val="both"/>
        <w:rPr/>
      </w:pPr>
      <w:bookmarkStart w:id="71" w:name="ic96f5ab0599144fba0044166608563a1"/>
      <w:bookmarkEnd w:id="71"/>
      <w:r>
        <w:rPr>
          <w:rFonts w:ascii="Times New Roman;serif" w:hAnsi="Times New Roman;serif"/>
          <w:b w:val="false"/>
          <w:color w:val="010000"/>
          <w:sz w:val="24"/>
        </w:rPr>
        <w:t>(e)</w:t>
      </w:r>
      <w:r>
        <w:rPr>
          <w:rFonts w:ascii="Times New Roman;serif" w:hAnsi="Times New Roman;serif"/>
          <w:b w:val="false"/>
          <w:color w:val="000000"/>
          <w:sz w:val="24"/>
        </w:rPr>
        <w:t>no Event of Default or Unmatured Event of Default shall have occurred and be continuing.</w:t>
      </w:r>
    </w:p>
    <w:p>
      <w:pPr>
        <w:pStyle w:val="TextBody"/>
        <w:bidi w:val="0"/>
        <w:spacing w:lineRule="auto" w:line="288" w:before="0" w:after="240"/>
        <w:ind w:left="0" w:right="0" w:firstLine="720"/>
        <w:jc w:val="both"/>
        <w:rPr/>
      </w:pPr>
      <w:bookmarkStart w:id="72" w:name="i15df0efb82b64a80a669aff025e862b0"/>
      <w:bookmarkEnd w:id="72"/>
      <w:r>
        <w:rPr>
          <w:rFonts w:ascii="Times New Roman;serif" w:hAnsi="Times New Roman;serif"/>
          <w:b w:val="false"/>
          <w:color w:val="010000"/>
          <w:sz w:val="24"/>
        </w:rPr>
        <w:t>SECTION 4.4</w:t>
      </w:r>
      <w:r>
        <w:rPr>
          <w:rFonts w:ascii="Times New Roman;serif" w:hAnsi="Times New Roman;serif"/>
          <w:b w:val="false"/>
          <w:color w:val="000000"/>
          <w:sz w:val="24"/>
          <w:u w:val="single"/>
        </w:rPr>
        <w:t>Termination of Originators</w:t>
      </w:r>
      <w:r>
        <w:rPr>
          <w:rFonts w:ascii="Times New Roman;serif" w:hAnsi="Times New Roman;serif"/>
          <w:b w:val="false"/>
          <w:color w:val="000000"/>
          <w:sz w:val="24"/>
        </w:rPr>
        <w:t xml:space="preserve">. An Originator may be removed as an Originator hereunder, with the prior written consent of the Buyer, the Administrative Agent and each Group Agent (which consents may be granted or withheld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Administrative Agent and each Group Agent on or before the date of such termination:</w:t>
      </w:r>
    </w:p>
    <w:p>
      <w:pPr>
        <w:pStyle w:val="TextBody"/>
        <w:bidi w:val="0"/>
        <w:spacing w:lineRule="auto" w:line="288" w:before="0" w:after="240"/>
        <w:ind w:left="0" w:right="0" w:firstLine="1440"/>
        <w:jc w:val="both"/>
        <w:rPr/>
      </w:pPr>
      <w:bookmarkStart w:id="73" w:name="i1187013df7934648be213d68c5ad22e4"/>
      <w:bookmarkEnd w:id="73"/>
      <w:r>
        <w:rPr>
          <w:rFonts w:ascii="Times New Roman;serif" w:hAnsi="Times New Roman;serif"/>
          <w:b w:val="false"/>
          <w:color w:val="010000"/>
          <w:sz w:val="24"/>
        </w:rPr>
        <w:t>(a)</w:t>
      </w:r>
      <w:r>
        <w:rPr>
          <w:rFonts w:ascii="Times New Roman;serif" w:hAnsi="Times New Roman;serif"/>
          <w:b w:val="false"/>
          <w:color w:val="000000"/>
          <w:sz w:val="24"/>
        </w:rPr>
        <w:t>such Originator shall have submitted a written notice (an “</w:t>
      </w:r>
      <w:r>
        <w:rPr>
          <w:rFonts w:ascii="Times New Roman;serif" w:hAnsi="Times New Roman;serif"/>
          <w:b w:val="false"/>
          <w:color w:val="000000"/>
          <w:sz w:val="24"/>
          <w:u w:val="single"/>
        </w:rPr>
        <w:t>Originator Termination Notice</w:t>
      </w:r>
      <w:r>
        <w:rPr>
          <w:color w:val="000000"/>
        </w:rPr>
        <w:t>”</w:t>
      </w:r>
      <w:r>
        <w:rPr>
          <w:rFonts w:ascii="Times New Roman;serif" w:hAnsi="Times New Roman;serif"/>
          <w:b w:val="false"/>
          <w:color w:val="000000"/>
          <w:sz w:val="24"/>
        </w:rPr>
        <w:t>) to the Buyer, the Administrative Agent and each Group Agent notifying them of its request to terminate its status as an Originator and specifying the date on which such termination is to take effect (an “</w:t>
      </w:r>
      <w:r>
        <w:rPr>
          <w:rFonts w:ascii="Times New Roman;serif" w:hAnsi="Times New Roman;serif"/>
          <w:b w:val="false"/>
          <w:color w:val="000000"/>
          <w:sz w:val="24"/>
          <w:u w:val="single"/>
        </w:rPr>
        <w:t>Originator Termination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74" w:name="i5ddecf33a322417bab920c4e267a461d"/>
      <w:bookmarkEnd w:id="74"/>
      <w:r>
        <w:rPr>
          <w:rFonts w:ascii="Times New Roman;serif" w:hAnsi="Times New Roman;serif"/>
          <w:b w:val="false"/>
          <w:color w:val="010000"/>
          <w:sz w:val="24"/>
        </w:rPr>
        <w:t>(b)</w:t>
      </w:r>
      <w:r>
        <w:rPr>
          <w:rFonts w:ascii="Times New Roman;serif" w:hAnsi="Times New Roman;serif"/>
          <w:b w:val="false"/>
          <w:color w:val="000000"/>
          <w:sz w:val="24"/>
        </w:rPr>
        <w:t>the related Originator Termination Effective Date is at least thirty (30) calendar days after the date of such Originator Termination Notice (or such earlier date as consented to by the Buyer, the Administrative Agent and each Group Agent);</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75" w:name="ie09b3267975a4fba906c3f96fcf3520e"/>
      <w:bookmarkEnd w:id="75"/>
      <w:r>
        <w:rPr>
          <w:rFonts w:ascii="Times New Roman;serif" w:hAnsi="Times New Roman;serif"/>
          <w:b w:val="false"/>
          <w:color w:val="010000"/>
          <w:sz w:val="24"/>
        </w:rPr>
        <w:t>(c)</w:t>
      </w:r>
      <w:r>
        <w:rPr>
          <w:rFonts w:ascii="Times New Roman;serif" w:hAnsi="Times New Roman;serif"/>
          <w:b w:val="false"/>
          <w:color w:val="000000"/>
          <w:sz w:val="24"/>
        </w:rPr>
        <w:t xml:space="preserve">the Servicer shall have delivered a pro forma Interim Report showing that no Borrowing Base Deficit shall exist after giving effect to the requested termination and excluding all Receivables originated by such Originator to be terminated; </w:t>
      </w:r>
    </w:p>
    <w:p>
      <w:pPr>
        <w:pStyle w:val="TextBody"/>
        <w:bidi w:val="0"/>
        <w:spacing w:lineRule="auto" w:line="288" w:before="0" w:after="240"/>
        <w:ind w:left="0" w:right="0" w:firstLine="1440"/>
        <w:jc w:val="both"/>
        <w:rPr/>
      </w:pPr>
      <w:bookmarkStart w:id="76" w:name="iea53a4786e9142bab239bf310285e377"/>
      <w:bookmarkEnd w:id="76"/>
      <w:r>
        <w:rPr>
          <w:rFonts w:ascii="Times New Roman;serif" w:hAnsi="Times New Roman;serif"/>
          <w:b w:val="false"/>
          <w:color w:val="010000"/>
          <w:sz w:val="24"/>
        </w:rPr>
        <w:t>(d)</w:t>
      </w:r>
      <w:r>
        <w:rPr>
          <w:rFonts w:ascii="Times New Roman;serif" w:hAnsi="Times New Roman;serif"/>
          <w:b w:val="false"/>
          <w:color w:val="000000"/>
          <w:sz w:val="24"/>
        </w:rPr>
        <w:t>the Servicer shall have provided such other information with respect to such Originator to be terminated as the Buyer, the Administrative Agent or any Group Agent may reasonably request;</w:t>
      </w:r>
    </w:p>
    <w:p>
      <w:pPr>
        <w:pStyle w:val="TextBody"/>
        <w:bidi w:val="0"/>
        <w:spacing w:lineRule="auto" w:line="288" w:before="0" w:after="240"/>
        <w:ind w:left="0" w:right="0" w:firstLine="1440"/>
        <w:jc w:val="both"/>
        <w:rPr/>
      </w:pPr>
      <w:bookmarkStart w:id="77" w:name="i52d770ba70b84a11a6de44b6fa5600df"/>
      <w:bookmarkEnd w:id="77"/>
      <w:r>
        <w:rPr>
          <w:rFonts w:ascii="Times New Roman;serif" w:hAnsi="Times New Roman;serif"/>
          <w:b w:val="false"/>
          <w:color w:val="010000"/>
          <w:sz w:val="24"/>
        </w:rPr>
        <w:t>(e)</w:t>
      </w:r>
      <w:r>
        <w:rPr>
          <w:rFonts w:ascii="Times New Roman;serif" w:hAnsi="Times New Roman;serif"/>
          <w:b w:val="false"/>
          <w:color w:val="000000"/>
          <w:sz w:val="24"/>
        </w:rPr>
        <w:t xml:space="preserve">no Purchase and Sale Termination Event or Unmatured Purchase and Sale Termination Event shall have occurred and be continuing (except for a Purchase and Sale Termination Event or Unmatured Purchase and Sale Termination Event that would be cured by the removal of the related Originator pursuant to this </w:t>
      </w:r>
      <w:r>
        <w:rPr>
          <w:rFonts w:ascii="Times New Roman;serif" w:hAnsi="Times New Roman;serif"/>
          <w:b w:val="false"/>
          <w:color w:val="000000"/>
          <w:sz w:val="24"/>
          <w:u w:val="single"/>
        </w:rPr>
        <w:t>Section 4.4</w:t>
      </w:r>
      <w:r>
        <w:rPr>
          <w:rFonts w:ascii="Times New Roman;serif" w:hAnsi="Times New Roman;serif"/>
          <w:b w:val="false"/>
          <w:color w:val="000000"/>
          <w:sz w:val="24"/>
        </w:rPr>
        <w:t>); and</w:t>
      </w:r>
    </w:p>
    <w:p>
      <w:pPr>
        <w:pStyle w:val="TextBody"/>
        <w:bidi w:val="0"/>
        <w:spacing w:lineRule="auto" w:line="288" w:before="0" w:after="240"/>
        <w:ind w:left="0" w:right="0" w:firstLine="1440"/>
        <w:jc w:val="both"/>
        <w:rPr/>
      </w:pPr>
      <w:bookmarkStart w:id="78" w:name="i3914b48916be4bb7911ddcbad9c5d8ac"/>
      <w:bookmarkEnd w:id="78"/>
      <w:r>
        <w:rPr>
          <w:rFonts w:ascii="Times New Roman;serif" w:hAnsi="Times New Roman;serif"/>
          <w:b w:val="false"/>
          <w:color w:val="010000"/>
          <w:sz w:val="24"/>
        </w:rPr>
        <w:t>(f)</w:t>
      </w:r>
      <w:r>
        <w:rPr>
          <w:rFonts w:ascii="Times New Roman;serif" w:hAnsi="Times New Roman;serif"/>
          <w:b w:val="false"/>
          <w:color w:val="000000"/>
          <w:sz w:val="24"/>
        </w:rPr>
        <w:t xml:space="preserve">no Event of Default or Unmatured Event of Default shall have occurred and be continuing (except for an Event of Default or Unmatured Event of Default that would be cured by the removal of the related Originator pursuant to this </w:t>
      </w:r>
      <w:r>
        <w:rPr>
          <w:rFonts w:ascii="Times New Roman;serif" w:hAnsi="Times New Roman;serif"/>
          <w:b w:val="false"/>
          <w:color w:val="000000"/>
          <w:sz w:val="24"/>
          <w:u w:val="single"/>
        </w:rPr>
        <w:t>Section 4.4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79" w:name="i0e0ec4d864de4a0a96e191f347c17b8f"/>
      <w:bookmarkEnd w:id="79"/>
      <w:r>
        <w:rPr>
          <w:rFonts w:ascii="Times New Roman;serif" w:hAnsi="Times New Roman;serif"/>
          <w:b w:val="false"/>
          <w:color w:val="010000"/>
          <w:sz w:val="24"/>
        </w:rPr>
        <w:t>(g)</w:t>
      </w:r>
      <w:r>
        <w:rPr>
          <w:rFonts w:ascii="Times New Roman;serif" w:hAnsi="Times New Roman;serif"/>
          <w:b w:val="false"/>
          <w:color w:val="000000"/>
          <w:sz w:val="24"/>
          <w:u w:val="single"/>
        </w:rPr>
        <w:t>Schedules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shall be amended to reflect the termination of such Originator; and</w:t>
      </w:r>
    </w:p>
    <w:p>
      <w:pPr>
        <w:pStyle w:val="TextBody"/>
        <w:bidi w:val="0"/>
        <w:spacing w:lineRule="auto" w:line="288" w:before="0" w:after="240"/>
        <w:ind w:left="0" w:right="0" w:firstLine="1440"/>
        <w:jc w:val="both"/>
        <w:rPr/>
      </w:pPr>
      <w:bookmarkStart w:id="80" w:name="i0693b31eb5c544e18bd0e766bf574b9f"/>
      <w:bookmarkEnd w:id="80"/>
      <w:r>
        <w:rPr>
          <w:rFonts w:ascii="Times New Roman;serif" w:hAnsi="Times New Roman;serif"/>
          <w:b w:val="false"/>
          <w:color w:val="010000"/>
          <w:sz w:val="24"/>
        </w:rPr>
        <w:t>(h)</w:t>
      </w:r>
      <w:r>
        <w:rPr>
          <w:rFonts w:ascii="Times New Roman;serif" w:hAnsi="Times New Roman;serif"/>
          <w:b w:val="false"/>
          <w:color w:val="000000"/>
          <w:sz w:val="24"/>
        </w:rPr>
        <w:t>if such Originator to be removed is the Servicer, the Buyer, the Administrative Agent and each Group Agent shall have approved the successor Servicer in writing.</w:t>
      </w:r>
    </w:p>
    <w:p>
      <w:pPr>
        <w:pStyle w:val="TextBody"/>
        <w:bidi w:val="0"/>
        <w:spacing w:lineRule="auto" w:line="288" w:before="0" w:after="240"/>
        <w:ind w:left="0" w:right="0" w:firstLine="720"/>
        <w:jc w:val="both"/>
        <w:rPr/>
      </w:pPr>
      <w:bookmarkStart w:id="81" w:name="i28202d092eac4a6690287f4fca6888c0"/>
      <w:bookmarkEnd w:id="81"/>
      <w:r>
        <w:rPr>
          <w:rFonts w:ascii="Times New Roman;serif" w:hAnsi="Times New Roman;serif"/>
          <w:b w:val="false"/>
          <w:color w:val="010000"/>
          <w:sz w:val="24"/>
        </w:rPr>
        <w:t>SECTION 4.5</w:t>
      </w:r>
      <w:r>
        <w:rPr>
          <w:rFonts w:ascii="Times New Roman;serif" w:hAnsi="Times New Roman;serif"/>
          <w:b w:val="false"/>
          <w:color w:val="000000"/>
          <w:sz w:val="24"/>
          <w:u w:val="single"/>
        </w:rPr>
        <w:t>Addition or Removal of Excluded Obligors</w:t>
      </w:r>
      <w:r>
        <w:rPr>
          <w:rFonts w:ascii="Times New Roman;serif" w:hAnsi="Times New Roman;serif"/>
          <w:b w:val="false"/>
          <w:color w:val="000000"/>
          <w:sz w:val="24"/>
        </w:rPr>
        <w:t xml:space="preserve">. An Obligor may be added as an Excluded Obligor or an existing Excluded Obligor may be removed as an Excluded Obligor, in each case, with the prior written consent of the Buyer, the Administrative Agent and the Majority Group Agents (which consents may be granted or withheld in their sole discretion);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following conditions are satisfied or waived in writing by the Administrative Agent and the Majority Group Agents on or before the date of such addition:</w:t>
      </w:r>
    </w:p>
    <w:p>
      <w:pPr>
        <w:pStyle w:val="TextBody"/>
        <w:bidi w:val="0"/>
        <w:spacing w:lineRule="auto" w:line="288" w:before="0" w:after="240"/>
        <w:ind w:left="0" w:right="0" w:firstLine="1440"/>
        <w:jc w:val="both"/>
        <w:rPr/>
      </w:pPr>
      <w:bookmarkStart w:id="82" w:name="i190d2641db5448d4b6cfa45e85494052"/>
      <w:bookmarkEnd w:id="82"/>
      <w:r>
        <w:rPr>
          <w:rFonts w:ascii="Times New Roman;serif" w:hAnsi="Times New Roman;serif"/>
          <w:b w:val="false"/>
          <w:color w:val="010000"/>
          <w:sz w:val="24"/>
        </w:rPr>
        <w:t>(a)</w:t>
      </w:r>
      <w:r>
        <w:rPr>
          <w:rFonts w:ascii="Times New Roman;serif" w:hAnsi="Times New Roman;serif"/>
          <w:b w:val="false"/>
          <w:color w:val="000000"/>
          <w:sz w:val="24"/>
        </w:rPr>
        <w:t>the related Originator shall have submitted a written notice (an “</w:t>
      </w:r>
      <w:r>
        <w:rPr>
          <w:rFonts w:ascii="Times New Roman;serif" w:hAnsi="Times New Roman;serif"/>
          <w:b w:val="false"/>
          <w:color w:val="000000"/>
          <w:sz w:val="24"/>
          <w:u w:val="single"/>
        </w:rPr>
        <w:t>Addition or Removal of Excluded Obligor Notice</w:t>
      </w:r>
      <w:r>
        <w:rPr>
          <w:color w:val="000000"/>
        </w:rPr>
        <w:t>”</w:t>
      </w:r>
      <w:r>
        <w:rPr>
          <w:rFonts w:ascii="Times New Roman;serif" w:hAnsi="Times New Roman;serif"/>
          <w:b w:val="false"/>
          <w:color w:val="000000"/>
          <w:sz w:val="24"/>
        </w:rPr>
        <w:t>) to the Buyer, the Administrative Agent and the Majority Group Agents notifying them of its request to add or remove an Obligor as an Excluded Obligor and specifying the date on which such addition or removal is to take effect (an “</w:t>
      </w:r>
      <w:r>
        <w:rPr>
          <w:rFonts w:ascii="Times New Roman;serif" w:hAnsi="Times New Roman;serif"/>
          <w:b w:val="false"/>
          <w:color w:val="000000"/>
          <w:sz w:val="24"/>
          <w:u w:val="single"/>
        </w:rPr>
        <w:t>Addition or Removal of Excluded Obligor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83" w:name="ic8fea222617b46fcaf15cac9e590eae6"/>
      <w:bookmarkEnd w:id="83"/>
      <w:r>
        <w:rPr>
          <w:rFonts w:ascii="Times New Roman;serif" w:hAnsi="Times New Roman;serif"/>
          <w:b w:val="false"/>
          <w:color w:val="010000"/>
          <w:sz w:val="24"/>
        </w:rPr>
        <w:t>(b)</w:t>
      </w:r>
      <w:r>
        <w:rPr>
          <w:rFonts w:ascii="Times New Roman;serif" w:hAnsi="Times New Roman;serif"/>
          <w:b w:val="false"/>
          <w:color w:val="000000"/>
          <w:sz w:val="24"/>
        </w:rPr>
        <w:t>the related Addition or Removal of Excluded Obligor Effective Date is at least thirty (30) calendar days after the date of such Addition or Removal of Excluded Obligor Notice (or such earlier date as consented to by the Buyer, the Administrative Agent and the Majority Group Agents) ;</w:t>
      </w:r>
    </w:p>
    <w:p>
      <w:pPr>
        <w:pStyle w:val="TextBody"/>
        <w:bidi w:val="0"/>
        <w:spacing w:lineRule="auto" w:line="288" w:before="0" w:after="240"/>
        <w:ind w:left="0" w:right="0" w:firstLine="1440"/>
        <w:jc w:val="both"/>
        <w:rPr/>
      </w:pPr>
      <w:bookmarkStart w:id="84" w:name="i5192b09f308e4429b6bdfc59d51ec823"/>
      <w:bookmarkEnd w:id="84"/>
      <w:r>
        <w:rPr>
          <w:rFonts w:ascii="Times New Roman;serif" w:hAnsi="Times New Roman;serif"/>
          <w:b w:val="false"/>
          <w:color w:val="010000"/>
          <w:sz w:val="24"/>
        </w:rPr>
        <w:t>(c)</w:t>
      </w:r>
      <w:r>
        <w:rPr>
          <w:rFonts w:ascii="Times New Roman;serif" w:hAnsi="Times New Roman;serif"/>
          <w:b w:val="false"/>
          <w:color w:val="000000"/>
          <w:sz w:val="24"/>
        </w:rPr>
        <w:t xml:space="preserve">the Servicer shall have delivered a pro forma Interim Report showing that no Borrowing Base Deficit shall exist after giving effect to such addition or removal and the related excluding or adding, as the case may be, of all Receivables from such Obligor to be added or removed as an Excluded Obligor;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85" w:name="ia59e98b7bb2748c0ba596f798ed5be00"/>
      <w:bookmarkEnd w:id="85"/>
      <w:r>
        <w:rPr>
          <w:rFonts w:ascii="Times New Roman;serif" w:hAnsi="Times New Roman;serif"/>
          <w:b w:val="false"/>
          <w:color w:val="010000"/>
          <w:sz w:val="24"/>
        </w:rPr>
        <w:t>(d)</w:t>
      </w:r>
      <w:r>
        <w:rPr>
          <w:rFonts w:ascii="Times New Roman;serif" w:hAnsi="Times New Roman;serif"/>
          <w:b w:val="false"/>
          <w:color w:val="000000"/>
          <w:sz w:val="24"/>
        </w:rPr>
        <w:t>the Servicer shall have provided such other information with respect to such Obligor to be added or removed as an Excluded Obligor as the Buyer, the Administrative Agent or any Group Agent may reasonably request;</w:t>
      </w:r>
    </w:p>
    <w:p>
      <w:pPr>
        <w:pStyle w:val="TextBody"/>
        <w:bidi w:val="0"/>
        <w:spacing w:lineRule="auto" w:line="288" w:before="0" w:after="240"/>
        <w:ind w:left="0" w:right="0" w:firstLine="1440"/>
        <w:jc w:val="both"/>
        <w:rPr/>
      </w:pPr>
      <w:bookmarkStart w:id="86" w:name="ic1b155abf2cf4da7b7c8f6479b17d25d"/>
      <w:bookmarkEnd w:id="86"/>
      <w:r>
        <w:rPr>
          <w:rFonts w:ascii="Times New Roman;serif" w:hAnsi="Times New Roman;serif"/>
          <w:b w:val="false"/>
          <w:color w:val="010000"/>
          <w:sz w:val="24"/>
        </w:rPr>
        <w:t>(e)</w:t>
      </w:r>
      <w:r>
        <w:rPr>
          <w:rFonts w:ascii="Times New Roman;serif" w:hAnsi="Times New Roman;serif"/>
          <w:b w:val="false"/>
          <w:color w:val="000000"/>
          <w:sz w:val="24"/>
        </w:rPr>
        <w:t>no Purchase and Sale Termination Event or Unmatured Purchase and Sale Termination Event shall have occurred and be continuing; and</w:t>
      </w:r>
    </w:p>
    <w:p>
      <w:pPr>
        <w:pStyle w:val="TextBody"/>
        <w:bidi w:val="0"/>
        <w:spacing w:lineRule="auto" w:line="288" w:before="0" w:after="240"/>
        <w:ind w:left="0" w:right="0" w:firstLine="1440"/>
        <w:jc w:val="both"/>
        <w:rPr/>
      </w:pPr>
      <w:bookmarkStart w:id="87" w:name="i2d52aa1a99314ea99eb4da813c30fc14"/>
      <w:bookmarkEnd w:id="87"/>
      <w:r>
        <w:rPr>
          <w:rFonts w:ascii="Times New Roman;serif" w:hAnsi="Times New Roman;serif"/>
          <w:b w:val="false"/>
          <w:color w:val="010000"/>
          <w:sz w:val="24"/>
        </w:rPr>
        <w:t>(f)</w:t>
      </w:r>
      <w:r>
        <w:rPr>
          <w:rFonts w:ascii="Times New Roman;serif" w:hAnsi="Times New Roman;serif"/>
          <w:b w:val="false"/>
          <w:color w:val="000000"/>
          <w:sz w:val="24"/>
        </w:rPr>
        <w:t>no Event of Default or Unmatured Event of Default shall have occurred and be continuing.</w:t>
      </w:r>
    </w:p>
    <w:p>
      <w:pPr>
        <w:pStyle w:val="TextBody"/>
        <w:bidi w:val="0"/>
        <w:spacing w:lineRule="auto" w:line="288" w:before="0" w:after="240"/>
        <w:ind w:left="0" w:right="0" w:firstLine="1440"/>
        <w:jc w:val="both"/>
        <w:rPr/>
      </w:pPr>
      <w:bookmarkStart w:id="88" w:name="i60abcca6e9ad48d6a459c56fa29ad1a6"/>
      <w:bookmarkEnd w:id="88"/>
      <w:r>
        <w:rPr>
          <w:rFonts w:ascii="Times New Roman;serif" w:hAnsi="Times New Roman;serif"/>
          <w:b w:val="false"/>
          <w:color w:val="010000"/>
          <w:sz w:val="24"/>
        </w:rPr>
        <w:t>(g)</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to the Receivables Financing Agreement shall be amended to reflect the addition or removal of such Obligor pursuant to the Receivables Financing Agreement; and</w:t>
      </w:r>
    </w:p>
    <w:p>
      <w:pPr>
        <w:pStyle w:val="TextBody"/>
        <w:bidi w:val="0"/>
        <w:spacing w:lineRule="auto" w:line="288" w:before="0" w:after="240"/>
        <w:ind w:left="0" w:right="0" w:firstLine="1440"/>
        <w:jc w:val="both"/>
        <w:rPr/>
      </w:pPr>
      <w:bookmarkStart w:id="89" w:name="i2b7ad88571c147ceba09fc1e9ccc05a6"/>
      <w:bookmarkEnd w:id="89"/>
      <w:r>
        <w:rPr>
          <w:rFonts w:ascii="Times New Roman;serif" w:hAnsi="Times New Roman;serif"/>
          <w:b w:val="false"/>
          <w:color w:val="010000"/>
          <w:sz w:val="24"/>
        </w:rPr>
        <w:t>(h)</w:t>
      </w:r>
      <w:r>
        <w:rPr>
          <w:rFonts w:ascii="Times New Roman;serif" w:hAnsi="Times New Roman;serif"/>
          <w:b w:val="false"/>
          <w:color w:val="000000"/>
          <w:sz w:val="24"/>
        </w:rPr>
        <w:t xml:space="preserve">with respect to any proposed removal of such Obligor as an Excluded Obligor, the Administrative Agent and each Group Agent have been satisfied that all other action to perfect and protect the security interests of the Buyer and the Administrative Agent, on behalf of the Lenders, in and to the Receivables of such Obligor to be removed and to be sold or contributed by the related Originator hereunder and other Related Rights, as requested by the Administrative Agent or any Group Agent shall have been taken by Integra, including the filing of any UCC financing statements, the preparation and delivery of certificates and other requested documents from any public official and all such other actions required pursuant to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and, if requested by the Administrative Agent, the delivery of executed copies of bring-down or reaffirmation opinions relating to UCC matters (in form and substance satisfactory to the Administrative Agent), in each case, at the expense of Integra.</w:t>
      </w:r>
    </w:p>
    <w:p>
      <w:pPr>
        <w:pStyle w:val="TextBody"/>
        <w:bidi w:val="0"/>
        <w:spacing w:lineRule="auto" w:line="240" w:before="0" w:after="240"/>
        <w:jc w:val="center"/>
        <w:rPr/>
      </w:pPr>
      <w:bookmarkStart w:id="90" w:name="if739e1fc93064678830b00659f1a27b9"/>
      <w:bookmarkEnd w:id="90"/>
      <w:r>
        <w:rPr>
          <w:rFonts w:ascii="Times New Roman;serif" w:hAnsi="Times New Roman;serif"/>
          <w:b w:val="false"/>
          <w:color w:val="010000"/>
          <w:sz w:val="24"/>
        </w:rPr>
        <w:t>ARTICLE V</w:t>
      </w:r>
      <w:r>
        <w:rPr>
          <w:rFonts w:ascii="Times New Roman;serif" w:hAnsi="Times New Roman;serif"/>
          <w:b w:val="false"/>
          <w:color w:val="000000"/>
          <w:sz w:val="24"/>
        </w:rPr>
        <w:br/>
        <w:t>REPRESENTATIONS AND WARRANTIES OF THE ORIGINATORS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order to induce the Buyer to enter into this Agreement and to make purchases hereunder, each Originator hereby represents and warrants with respect to itself that each representation and warranty concerning it or the Receivables sold or contributed by it hereunder that is contained in the Receivables Financing Agreement is true and correct, and hereby makes the representations and warranties set forth in this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91" w:name="ib8acdbd34e974e5eaad45f1e34db3f06"/>
      <w:bookmarkEnd w:id="91"/>
      <w:r>
        <w:rPr>
          <w:rFonts w:ascii="Times New Roman;serif" w:hAnsi="Times New Roman;serif"/>
          <w:b w:val="false"/>
          <w:color w:val="010000"/>
          <w:sz w:val="24"/>
        </w:rPr>
        <w:t>SECTION 5.1</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Such Originator is duly organized and validly existing, in good standing under the laws of its state of organization and has full power and authority under its organizational documents and under the laws of its state of organization to own its properties and to conduct its business as such properties are currently owned and such business is presently conducted.</w:t>
      </w:r>
    </w:p>
    <w:p>
      <w:pPr>
        <w:pStyle w:val="TextBody"/>
        <w:bidi w:val="0"/>
        <w:spacing w:lineRule="auto" w:line="288" w:before="0" w:after="240"/>
        <w:ind w:left="0" w:right="0" w:firstLine="720"/>
        <w:jc w:val="both"/>
        <w:rPr/>
      </w:pPr>
      <w:bookmarkStart w:id="92" w:name="i21acd991abd34711b24282175ee3259a"/>
      <w:bookmarkEnd w:id="92"/>
      <w:r>
        <w:rPr>
          <w:rFonts w:ascii="Times New Roman;serif" w:hAnsi="Times New Roman;serif"/>
          <w:b w:val="false"/>
          <w:color w:val="010000"/>
          <w:sz w:val="24"/>
        </w:rPr>
        <w:t>SECTION 5.2</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Such Originator is duly qualified to do business, is in good standing as a foreign entity and has obtained all necessary licenses and approvals in all jurisdictions in which the conduct of its business requires such qualification, licenses or approvals, except where the failure to do so could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3" w:name="ic5ac58cc39a244e9b4bc7362eb5939c7"/>
      <w:bookmarkEnd w:id="93"/>
      <w:r>
        <w:rPr>
          <w:rFonts w:ascii="Times New Roman;serif" w:hAnsi="Times New Roman;serif"/>
          <w:b w:val="false"/>
          <w:color w:val="010000"/>
          <w:sz w:val="24"/>
        </w:rPr>
        <w:t>SECTION 5.3</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Such Originator (i) has all necessary power and authority to (A) execute and deliver this Agreement and the other Transaction Documents to which it is a party, (B) perform its obligations under this Agreement and the other Transaction Documents to which it is a party and (C) grant a security interest (within the meaning of the applicable UCC) in the Receivables and the Related Rights to the Buyer on the terms and subject to the conditions herein provided and (ii) has duly authorized by all necessary action such grant and the execution, delivery and performance of, and the consummation of the transactions provided for in, this Agreement and the other Transaction Documents to which it is a party.</w:t>
      </w:r>
    </w:p>
    <w:p>
      <w:pPr>
        <w:pStyle w:val="TextBody"/>
        <w:bidi w:val="0"/>
        <w:spacing w:lineRule="auto" w:line="288" w:before="0" w:after="240"/>
        <w:ind w:left="0" w:right="0" w:firstLine="720"/>
        <w:jc w:val="both"/>
        <w:rPr/>
      </w:pPr>
      <w:bookmarkStart w:id="94" w:name="i20015c78a45947d8828c8062b1be848a"/>
      <w:bookmarkEnd w:id="94"/>
      <w:r>
        <w:rPr>
          <w:rFonts w:ascii="Times New Roman;serif" w:hAnsi="Times New Roman;serif"/>
          <w:b w:val="false"/>
          <w:color w:val="010000"/>
          <w:sz w:val="24"/>
        </w:rPr>
        <w:t>SECTION 5.4</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such Originator is a party constitutes legal, valid and binding obligations of such Originator, enforceable against such Originator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bookmarkStart w:id="95" w:name="i51ece1ec67dd43bcab5938c857b26817"/>
      <w:bookmarkEnd w:id="95"/>
      <w:r>
        <w:rPr>
          <w:rFonts w:ascii="Times New Roman;serif" w:hAnsi="Times New Roman;serif"/>
          <w:b w:val="false"/>
          <w:color w:val="010000"/>
          <w:sz w:val="24"/>
        </w:rPr>
        <w:t>SECTION 5.5</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The execution, delivery and performance of, and the consummation of the transactions contemplated by, this Agreement and the other Transaction Documents to which such Originator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such Originator is a party or by which it or any of its properties is bound, (ii) result in the creation or imposition of any Adverse Claim upon any of the Receivables or the Related Rights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lineRule="auto" w:line="288" w:before="0" w:after="240"/>
        <w:ind w:left="0" w:right="0" w:firstLine="720"/>
        <w:jc w:val="both"/>
        <w:rPr/>
      </w:pPr>
      <w:bookmarkStart w:id="96" w:name="ic2f2a5869b464a6998e5b86b27ed7323"/>
      <w:bookmarkEnd w:id="96"/>
      <w:r>
        <w:rPr>
          <w:rFonts w:ascii="Times New Roman;serif" w:hAnsi="Times New Roman;serif"/>
          <w:b w:val="false"/>
          <w:color w:val="010000"/>
          <w:sz w:val="24"/>
        </w:rPr>
        <w:t>SECTION 5.6</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xml:space="preserve">. (i) There is no action, suit, proceeding or investigation pending or, to the best knowledge of such Originator, threatened, against such Originator before any Official Body and (ii) such Originator is not subject to any order, judgment, decree, injunction, stipulation or consent order of or with any Official Body that, in the case of either of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(A) asserts the invalidity of this Agreement or any other Transaction Document, (B) seeks to prevent the sale or contribution of any Receivable or Related Right by such Originator to the Buyer (or the grant of the related security interest thereof), the ownership or acquisition by the Buyer of any Pool Receivables or Related Right or the consummation of any of the transactions contemplated by this Agreement or any other Transaction Document, (C) seeks any determination or ruling that could materially and adversely affect the performance by such Originator of its obligations under, or the validity or enforceability of, this Agreement or any other Transaction Document or (D) individually or in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aggregate for all such actions, suits, proceedings and investigations could reasonably be expected to have a Material Adverse Effect.</w:t>
      </w:r>
    </w:p>
    <w:p>
      <w:pPr>
        <w:pStyle w:val="TextBody"/>
        <w:bidi w:val="0"/>
        <w:spacing w:lineRule="auto" w:line="288" w:before="0" w:after="240"/>
        <w:ind w:left="0" w:right="0" w:firstLine="720"/>
        <w:jc w:val="both"/>
        <w:rPr/>
      </w:pPr>
      <w:bookmarkStart w:id="97" w:name="i913f8e7513114d08943a77ec7ac407c6"/>
      <w:bookmarkEnd w:id="97"/>
      <w:r>
        <w:rPr>
          <w:rFonts w:ascii="Times New Roman;serif" w:hAnsi="Times New Roman;serif"/>
          <w:b w:val="false"/>
          <w:color w:val="010000"/>
          <w:sz w:val="24"/>
        </w:rPr>
        <w:t>SECTION 5.7</w:t>
      </w:r>
      <w:r>
        <w:rPr>
          <w:rFonts w:ascii="Times New Roman;serif" w:hAnsi="Times New Roman;serif"/>
          <w:b w:val="false"/>
          <w:color w:val="000000"/>
          <w:sz w:val="24"/>
          <w:u w:val="single"/>
        </w:rPr>
        <w:t>No Consents</w:t>
      </w:r>
      <w:r>
        <w:rPr>
          <w:rFonts w:ascii="Times New Roman;serif" w:hAnsi="Times New Roman;serif"/>
          <w:b w:val="false"/>
          <w:color w:val="000000"/>
          <w:sz w:val="24"/>
        </w:rPr>
        <w:t>. Such Originator is not required to obtain the consent of any other party or any consent, order, license, approval, registration, authorization, action or declaration of or with any Official Body in connection with the sale or contribution of the Receivables and Related Rights to the Buyer (or the grant of the related security interest thereof) hereunder or the due execution, delivery, or performance by such Originator of this Agreement or any other Transaction Document to which it is a party or the consummation by such Originator of the transactions contemplated by this Agreement or any other Transaction Document to which it is a party that has not already been obtained and are in full force and effect or the failure of which to obtain could not reasonably be expected to have a Material Adverse Effect.</w:t>
      </w:r>
    </w:p>
    <w:p>
      <w:pPr>
        <w:pStyle w:val="TextBody"/>
        <w:bidi w:val="0"/>
        <w:spacing w:lineRule="auto" w:line="288" w:before="0" w:after="240"/>
        <w:ind w:left="0" w:right="0" w:firstLine="720"/>
        <w:jc w:val="both"/>
        <w:rPr/>
      </w:pPr>
      <w:bookmarkStart w:id="98" w:name="ie1791fcf6e3345c29800ce0c20c9927c"/>
      <w:bookmarkEnd w:id="98"/>
      <w:r>
        <w:rPr>
          <w:rFonts w:ascii="Times New Roman;serif" w:hAnsi="Times New Roman;serif"/>
          <w:b w:val="false"/>
          <w:color w:val="010000"/>
          <w:sz w:val="24"/>
        </w:rPr>
        <w:t>SECTION 5.8</w:t>
      </w:r>
      <w:r>
        <w:rPr>
          <w:rFonts w:ascii="Times New Roman;serif" w:hAnsi="Times New Roman;serif"/>
          <w:b w:val="false"/>
          <w:color w:val="000000"/>
          <w:sz w:val="24"/>
          <w:u w:val="single"/>
        </w:rPr>
        <w:t>Names and Location</w:t>
      </w:r>
      <w:r>
        <w:rPr>
          <w:rFonts w:ascii="Times New Roman;serif" w:hAnsi="Times New Roman;serif"/>
          <w:b w:val="false"/>
          <w:color w:val="000000"/>
          <w:sz w:val="24"/>
        </w:rPr>
        <w:t xml:space="preserve">. Except as described in </w:t>
      </w:r>
      <w:r>
        <w:rPr>
          <w:rFonts w:ascii="Times New Roman;serif" w:hAnsi="Times New Roman;serif"/>
          <w:b w:val="false"/>
          <w:color w:val="000000"/>
          <w:sz w:val="24"/>
          <w:u w:val="single"/>
        </w:rPr>
        <w:t>Schedule III</w:t>
      </w:r>
      <w:r>
        <w:rPr>
          <w:rFonts w:ascii="Times New Roman;serif" w:hAnsi="Times New Roman;serif"/>
          <w:b w:val="false"/>
          <w:color w:val="000000"/>
          <w:sz w:val="24"/>
        </w:rPr>
        <w:t xml:space="preserve">, such Originator has not used any corporate names, trade names or assumed names since the date occurring five (5) calendar years prior to the Closing Date other than its name set forth on the signature pages hereto. Such Originator is “located” (as such term is defined in the applicable UCC) in the jurisdiction specified in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and since the date occurring five (5) calendar years prior to the Closing Date, has not been “located” (as such term is defined in the applicable UCC) in any other jurisdiction (except as specified in </w:t>
      </w:r>
      <w:r>
        <w:rPr>
          <w:rFonts w:ascii="Times New Roman;serif" w:hAnsi="Times New Roman;serif"/>
          <w:b w:val="false"/>
          <w:color w:val="000000"/>
          <w:sz w:val="24"/>
          <w:u w:val="single"/>
        </w:rPr>
        <w:t>Schedule I</w:t>
      </w:r>
      <w:r>
        <w:rPr>
          <w:rFonts w:ascii="Times New Roman;serif" w:hAnsi="Times New Roman;serif"/>
          <w:b w:val="false"/>
          <w:color w:val="000000"/>
          <w:sz w:val="24"/>
        </w:rPr>
        <w:t xml:space="preserve">). The office(s) where such Originator keeps its records concerning the Receivables is at the address(es) set forth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as such address(es) may be updated with thirty (30) days’ prior written notice to the Buyer and the Administrative Agent.</w:t>
      </w:r>
    </w:p>
    <w:p>
      <w:pPr>
        <w:pStyle w:val="TextBody"/>
        <w:bidi w:val="0"/>
        <w:spacing w:lineRule="auto" w:line="288" w:before="0" w:after="240"/>
        <w:ind w:left="0" w:right="0" w:firstLine="720"/>
        <w:jc w:val="both"/>
        <w:rPr/>
      </w:pPr>
      <w:bookmarkStart w:id="99" w:name="i65021f53ec4d4da89fb64285588ca39b"/>
      <w:bookmarkEnd w:id="99"/>
      <w:r>
        <w:rPr>
          <w:rFonts w:ascii="Times New Roman;serif" w:hAnsi="Times New Roman;serif"/>
          <w:b w:val="false"/>
          <w:color w:val="010000"/>
          <w:sz w:val="24"/>
        </w:rPr>
        <w:t>SECTION 5.9</w:t>
      </w:r>
      <w:r>
        <w:rPr>
          <w:rFonts w:ascii="Times New Roman;serif" w:hAnsi="Times New Roman;serif"/>
          <w:b w:val="false"/>
          <w:color w:val="000000"/>
          <w:sz w:val="24"/>
          <w:u w:val="single"/>
        </w:rPr>
        <w:t>Investment Company Act; Volcker Rule</w:t>
      </w:r>
      <w:r>
        <w:rPr>
          <w:rFonts w:ascii="Times New Roman;serif" w:hAnsi="Times New Roman;serif"/>
          <w:b w:val="false"/>
          <w:color w:val="000000"/>
          <w:sz w:val="24"/>
        </w:rPr>
        <w:t xml:space="preserve">. Such Originator (i) is not, and is not controlled by, an “investment company” registered or required to be registered under the Investment Company Act and (ii) is not a “covered fund” under the Volcker Rule. </w:t>
      </w:r>
    </w:p>
    <w:p>
      <w:pPr>
        <w:pStyle w:val="TextBody"/>
        <w:bidi w:val="0"/>
        <w:spacing w:lineRule="auto" w:line="288" w:before="0" w:after="240"/>
        <w:ind w:left="0" w:right="0" w:firstLine="720"/>
        <w:jc w:val="both"/>
        <w:rPr/>
      </w:pPr>
      <w:bookmarkStart w:id="100" w:name="ieb556f29a77543988afb6e022173ba3b"/>
      <w:bookmarkEnd w:id="100"/>
      <w:r>
        <w:rPr>
          <w:rFonts w:ascii="Times New Roman;serif" w:hAnsi="Times New Roman;serif"/>
          <w:b w:val="false"/>
          <w:color w:val="010000"/>
          <w:sz w:val="24"/>
        </w:rPr>
        <w:t>SECTION 5.10</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September 30, 2018, there has been no Material Adverse Effect with respect to such Originator.</w:t>
      </w:r>
    </w:p>
    <w:p>
      <w:pPr>
        <w:pStyle w:val="TextBody"/>
        <w:bidi w:val="0"/>
        <w:spacing w:lineRule="auto" w:line="288" w:before="0" w:after="240"/>
        <w:ind w:left="0" w:right="0" w:firstLine="720"/>
        <w:jc w:val="both"/>
        <w:rPr/>
      </w:pPr>
      <w:bookmarkStart w:id="101" w:name="ife12606998f945ffa1d8fe83508b074e"/>
      <w:bookmarkEnd w:id="101"/>
      <w:r>
        <w:rPr>
          <w:rFonts w:ascii="Times New Roman;serif" w:hAnsi="Times New Roman;serif"/>
          <w:b w:val="false"/>
          <w:color w:val="010000"/>
          <w:sz w:val="24"/>
        </w:rPr>
        <w:t>SECTION 5.11</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certificates, reports, Purchase Reports, statements, documents and other information, other than financial projections, furnished to the Buyer, Administrative Agent or any other Credit Party by or on behalf of such Originator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Buyer, Administrative Agent or such other Credit Party, and, do not contain any material misstatement of fact or omit to state a material fact or any fact necessary to make the statements contained therein not misleading.</w:t>
      </w:r>
    </w:p>
    <w:p>
      <w:pPr>
        <w:pStyle w:val="TextBody"/>
        <w:bidi w:val="0"/>
        <w:spacing w:lineRule="auto" w:line="288" w:before="0" w:after="240"/>
        <w:ind w:left="0" w:right="0" w:firstLine="720"/>
        <w:jc w:val="both"/>
        <w:rPr/>
      </w:pPr>
      <w:bookmarkStart w:id="102" w:name="ic795558458324832bee8001eb758e2eb"/>
      <w:bookmarkEnd w:id="102"/>
      <w:r>
        <w:rPr>
          <w:rFonts w:ascii="Times New Roman;serif" w:hAnsi="Times New Roman;serif"/>
          <w:b w:val="false"/>
          <w:color w:val="010000"/>
          <w:sz w:val="24"/>
        </w:rPr>
        <w:t>SECTION 5.12</w:t>
      </w:r>
      <w:r>
        <w:rPr>
          <w:rFonts w:ascii="Times New Roman;serif" w:hAnsi="Times New Roman;serif"/>
          <w:b w:val="false"/>
          <w:color w:val="000000"/>
          <w:sz w:val="24"/>
          <w:u w:val="single"/>
        </w:rPr>
        <w:t>Sanctions/Anti-Corruption Laws/Anti-Money Laundering Laws/International Trade Law Compliance</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Originator, and each of such Originator’s directors, officers, and any employee, and to the knowledge of such Originator, any agent, or Affiliate acting on behalf of such Originator: (a) is not a Sanctioned Person; (b) does not do business in or with, or derive any of its income, directly or indirectly, from any Sanctioned Person or any Sanctioned Jurisdiction (except, solely as to such business or derivation of income by any Covered Entity that is not an Integra Party, as disclosed by the Borrower or the Servicer to the Administrative Agent); and (c) is not in violation of, and is not, directly or indirectly, taking any action that could cause such Originator to be in violation of, applicable International Trade Laws, Sanctions, Anti-Money Laundering Laws or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Such Originator, and each of such Originator’s directors, officers and employees, and to the knowledge of such Originator, any agent or Affiliate acting on behalf of such Originator: (x) is not in receipt of any notice or communication from any Compliance Authority that alleges, or otherwise pertains to, an actual or potential violation of any International Trade Laws, Sanctions, Anti-Money Laundering Laws or Anti-Corruption Laws; and (y) is not the target or subject of any investigation, nor has it received any request for information, involving any allegation relating to a violation of any International Trade Laws, Sanctions, Anti-Money Laundering Laws or Anti-Corruption Laws by an Official Body.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Such Originator has instituted, maintains, and enforces policies and procedures reasonably designed to ensure compliance with applicable International Trade Laws, Sanctions, Anti- Money Laundering Laws and Anti-Corruption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is no Covered Property pledged as Collateral.</w:t>
      </w:r>
    </w:p>
    <w:p>
      <w:pPr>
        <w:pStyle w:val="TextBody"/>
        <w:bidi w:val="0"/>
        <w:spacing w:lineRule="auto" w:line="288" w:before="0" w:after="240"/>
        <w:ind w:left="0" w:right="0" w:firstLine="720"/>
        <w:jc w:val="both"/>
        <w:rPr/>
      </w:pPr>
      <w:bookmarkStart w:id="103" w:name="i135bfc0f51b24b449290c67e067213d4"/>
      <w:bookmarkEnd w:id="103"/>
      <w:r>
        <w:rPr>
          <w:rFonts w:ascii="Times New Roman;serif" w:hAnsi="Times New Roman;serif"/>
          <w:b w:val="false"/>
          <w:color w:val="010000"/>
          <w:sz w:val="24"/>
        </w:rPr>
        <w:t>SECTION 5.13</w:t>
      </w:r>
      <w:r>
        <w:rPr>
          <w:rFonts w:ascii="Times New Roman;serif" w:hAnsi="Times New Roman;serif"/>
          <w:b w:val="false"/>
          <w:color w:val="000000"/>
          <w:sz w:val="24"/>
          <w:u w:val="single"/>
        </w:rPr>
        <w:t>Transaction Information.</w:t>
      </w:r>
      <w:r>
        <w:rPr>
          <w:color w:val="000000"/>
        </w:rPr>
        <w:t xml:space="preserve"> </w:t>
      </w:r>
      <w:r>
        <w:rPr>
          <w:rFonts w:ascii="Times New Roman;serif" w:hAnsi="Times New Roman;serif"/>
          <w:b w:val="false"/>
          <w:color w:val="000000"/>
          <w:sz w:val="24"/>
        </w:rPr>
        <w:t>None of such Originator, any Affiliate of such Originator nor any third party with which such Originator or any Affiliate thereof has contracted, has delivered, in writing or orally, to any Rating Agency, or monitoring a rating of, any Notes,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w:t>
      </w:r>
    </w:p>
    <w:p>
      <w:pPr>
        <w:pStyle w:val="TextBody"/>
        <w:bidi w:val="0"/>
        <w:spacing w:lineRule="auto" w:line="288" w:before="0" w:after="240"/>
        <w:ind w:left="0" w:right="0" w:firstLine="720"/>
        <w:jc w:val="both"/>
        <w:rPr/>
      </w:pPr>
      <w:bookmarkStart w:id="104" w:name="ie9e5147b133a4632b53edbe185250bc7"/>
      <w:bookmarkEnd w:id="104"/>
      <w:r>
        <w:rPr>
          <w:rFonts w:ascii="Times New Roman;serif" w:hAnsi="Times New Roman;serif"/>
          <w:b w:val="false"/>
          <w:color w:val="010000"/>
          <w:sz w:val="24"/>
        </w:rPr>
        <w:t>SECTION 5.14</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Such Originator has complied with all Applicable Laws to which it may be subject, except to the extent that any such noncompliance could not reasonably be expected to have a Material Adverse Effect.</w:t>
      </w:r>
    </w:p>
    <w:p>
      <w:pPr>
        <w:pStyle w:val="TextBody"/>
        <w:bidi w:val="0"/>
        <w:spacing w:lineRule="auto" w:line="288" w:before="0" w:after="240"/>
        <w:ind w:left="0" w:right="0" w:firstLine="720"/>
        <w:jc w:val="both"/>
        <w:rPr/>
      </w:pPr>
      <w:bookmarkStart w:id="105" w:name="i0765c071954749c9bce8e0279ace0e63"/>
      <w:bookmarkEnd w:id="105"/>
      <w:r>
        <w:rPr>
          <w:rFonts w:ascii="Times New Roman;serif" w:hAnsi="Times New Roman;serif"/>
          <w:b w:val="false"/>
          <w:color w:val="010000"/>
          <w:sz w:val="24"/>
        </w:rPr>
        <w:t>SECTION 5.15</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Each Receivable sold, contributed, transferred or assigned hereunder, other than any Receivable designated as not being an Eligible Receivable by the applicable Originator (or by the Servicer on behalf of such Originator), is an Eligible Receivable on the date of such sale, contribution, transfer or assignment.</w:t>
      </w:r>
    </w:p>
    <w:p>
      <w:pPr>
        <w:pStyle w:val="TextBody"/>
        <w:bidi w:val="0"/>
        <w:spacing w:lineRule="auto" w:line="288" w:before="0" w:after="240"/>
        <w:ind w:left="0" w:right="0" w:firstLine="720"/>
        <w:jc w:val="both"/>
        <w:rPr/>
      </w:pPr>
      <w:bookmarkStart w:id="106" w:name="ib5bc36b7e24246788df1be37e7aca473"/>
      <w:bookmarkEnd w:id="106"/>
      <w:r>
        <w:rPr>
          <w:rFonts w:ascii="Times New Roman;serif" w:hAnsi="Times New Roman;serif"/>
          <w:b w:val="false"/>
          <w:color w:val="010000"/>
          <w:sz w:val="24"/>
        </w:rPr>
        <w:t>SECTION 5.16</w:t>
      </w:r>
      <w:r>
        <w:rPr>
          <w:rFonts w:ascii="Times New Roman;serif" w:hAnsi="Times New Roman;serif"/>
          <w:b w:val="false"/>
          <w:color w:val="000000"/>
          <w:sz w:val="24"/>
          <w:u w:val="single"/>
        </w:rPr>
        <w:t>Bulk Sales Act</w:t>
      </w:r>
      <w:r>
        <w:rPr>
          <w:rFonts w:ascii="Times New Roman;serif" w:hAnsi="Times New Roman;serif"/>
          <w:b w:val="false"/>
          <w:color w:val="000000"/>
          <w:sz w:val="24"/>
        </w:rPr>
        <w:t>. No transaction contemplated by this Agreement requires compliance by such Originator with any bulk sales act or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07" w:name="i281d333b9270452d802e70c21785affd"/>
      <w:bookmarkEnd w:id="107"/>
      <w:r>
        <w:rPr>
          <w:rFonts w:ascii="Times New Roman;serif" w:hAnsi="Times New Roman;serif"/>
          <w:b w:val="false"/>
          <w:color w:val="010000"/>
          <w:sz w:val="24"/>
        </w:rPr>
        <w:t>SECTION 5.17</w:t>
      </w:r>
      <w:r>
        <w:rPr>
          <w:rFonts w:ascii="Times New Roman;serif" w:hAnsi="Times New Roman;serif"/>
          <w:b w:val="false"/>
          <w:color w:val="000000"/>
          <w:sz w:val="24"/>
          <w:u w:val="single"/>
        </w:rPr>
        <w:t>Taxes</w:t>
      </w:r>
      <w:r>
        <w:rPr>
          <w:rFonts w:ascii="Times New Roman;serif" w:hAnsi="Times New Roman;serif"/>
          <w:b w:val="false"/>
          <w:color w:val="000000"/>
          <w:sz w:val="24"/>
        </w:rPr>
        <w:t>. Such Originator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to the extent that any such non-filing or non-payment could not reasonably be expected to have a Material Adverse Effect.</w:t>
      </w:r>
    </w:p>
    <w:p>
      <w:pPr>
        <w:pStyle w:val="TextBody"/>
        <w:bidi w:val="0"/>
        <w:spacing w:lineRule="auto" w:line="288" w:before="0" w:after="240"/>
        <w:ind w:left="0" w:right="0" w:firstLine="720"/>
        <w:jc w:val="both"/>
        <w:rPr/>
      </w:pPr>
      <w:bookmarkStart w:id="108" w:name="i3d652163b73a47e796553749818839ba"/>
      <w:bookmarkEnd w:id="108"/>
      <w:r>
        <w:rPr>
          <w:rFonts w:ascii="Times New Roman;serif" w:hAnsi="Times New Roman;serif"/>
          <w:b w:val="false"/>
          <w:color w:val="010000"/>
          <w:sz w:val="24"/>
        </w:rPr>
        <w:t>SECTION 5.18</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such Originator, the Receivables sold or contributed by it hereunder,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88" w:before="0" w:after="240"/>
        <w:ind w:left="0" w:right="0" w:firstLine="720"/>
        <w:jc w:val="both"/>
        <w:rPr/>
      </w:pPr>
      <w:bookmarkStart w:id="109" w:name="ie9ae55a94254462ea07f998e7459d229"/>
      <w:bookmarkEnd w:id="109"/>
      <w:r>
        <w:rPr>
          <w:rFonts w:ascii="Times New Roman;serif" w:hAnsi="Times New Roman;serif"/>
          <w:b w:val="false"/>
          <w:color w:val="010000"/>
          <w:sz w:val="24"/>
        </w:rPr>
        <w:t>SECTION 5.19</w:t>
      </w:r>
      <w:r>
        <w:rPr>
          <w:rFonts w:ascii="Times New Roman;serif" w:hAnsi="Times New Roman;serif"/>
          <w:b w:val="false"/>
          <w:color w:val="000000"/>
          <w:sz w:val="24"/>
          <w:u w:val="single"/>
        </w:rPr>
        <w:t>Other Transaction Documents</w:t>
      </w:r>
      <w:r>
        <w:rPr>
          <w:rFonts w:ascii="Times New Roman;serif" w:hAnsi="Times New Roman;serif"/>
          <w:b w:val="false"/>
          <w:color w:val="000000"/>
          <w:sz w:val="24"/>
        </w:rPr>
        <w:t>. Each representation and warranty made by such Originator under each other Transaction Document to which it is a party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pStyle w:val="TextBody"/>
        <w:bidi w:val="0"/>
        <w:spacing w:lineRule="auto" w:line="288" w:before="0" w:after="240"/>
        <w:ind w:left="0" w:right="0" w:firstLine="720"/>
        <w:jc w:val="both"/>
        <w:rPr/>
      </w:pPr>
      <w:bookmarkStart w:id="110" w:name="i51b567baf7ca4f758bc08d9c89956f8b"/>
      <w:bookmarkEnd w:id="110"/>
      <w:r>
        <w:rPr>
          <w:rFonts w:ascii="Times New Roman;serif" w:hAnsi="Times New Roman;serif"/>
          <w:b w:val="false"/>
          <w:color w:val="010000"/>
          <w:sz w:val="24"/>
        </w:rPr>
        <w:t>SECTION 5.20</w:t>
      </w:r>
      <w:r>
        <w:rPr>
          <w:rFonts w:ascii="Times New Roman;serif" w:hAnsi="Times New Roman;serif"/>
          <w:b w:val="false"/>
          <w:color w:val="000000"/>
          <w:sz w:val="24"/>
          <w:u w:val="single"/>
        </w:rPr>
        <w:t>No Linked Accounts</w:t>
      </w:r>
      <w:r>
        <w:rPr>
          <w:rFonts w:ascii="Times New Roman;serif" w:hAnsi="Times New Roman;serif"/>
          <w:b w:val="false"/>
          <w:color w:val="000000"/>
          <w:sz w:val="24"/>
        </w:rPr>
        <w:t>. There are no Linked Accounts with respect to any Collection Account.</w:t>
      </w:r>
    </w:p>
    <w:p>
      <w:pPr>
        <w:pStyle w:val="TextBody"/>
        <w:bidi w:val="0"/>
        <w:spacing w:lineRule="auto" w:line="288" w:before="0" w:after="240"/>
        <w:ind w:left="0" w:right="0" w:firstLine="720"/>
        <w:jc w:val="both"/>
        <w:rPr/>
      </w:pPr>
      <w:bookmarkStart w:id="111" w:name="ia4c5cb0394304fc6b90aa065d035f0e2"/>
      <w:bookmarkEnd w:id="111"/>
      <w:r>
        <w:rPr>
          <w:rFonts w:ascii="Times New Roman;serif" w:hAnsi="Times New Roman;serif"/>
          <w:b w:val="false"/>
          <w:color w:val="010000"/>
          <w:sz w:val="24"/>
        </w:rPr>
        <w:t>SECTION 5.21</w:t>
      </w:r>
      <w:r>
        <w:rPr>
          <w:rFonts w:ascii="Times New Roman;serif" w:hAnsi="Times New Roman;serif"/>
          <w:b w:val="false"/>
          <w:color w:val="000000"/>
          <w:sz w:val="24"/>
          <w:u w:val="single"/>
        </w:rPr>
        <w:t>Margin Regulations</w:t>
      </w:r>
      <w:r>
        <w:rPr>
          <w:rFonts w:ascii="Times New Roman;serif" w:hAnsi="Times New Roman;serif"/>
          <w:b w:val="false"/>
          <w:color w:val="000000"/>
          <w:sz w:val="24"/>
        </w:rPr>
        <w:t>. Such Originator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bidi w:val="0"/>
        <w:spacing w:lineRule="auto" w:line="288" w:before="0" w:after="240"/>
        <w:ind w:left="0" w:right="0" w:firstLine="720"/>
        <w:jc w:val="both"/>
        <w:rPr/>
      </w:pPr>
      <w:bookmarkStart w:id="112" w:name="i72316b6dd0f64f8bb8e356b2abe80b07"/>
      <w:bookmarkEnd w:id="112"/>
      <w:r>
        <w:rPr>
          <w:rFonts w:ascii="Times New Roman;serif" w:hAnsi="Times New Roman;serif"/>
          <w:b w:val="false"/>
          <w:color w:val="010000"/>
          <w:sz w:val="24"/>
        </w:rPr>
        <w:t>SECTION 5.22</w:t>
      </w:r>
      <w:r>
        <w:rPr>
          <w:rFonts w:ascii="Times New Roman;serif" w:hAnsi="Times New Roman;serif"/>
          <w:b w:val="false"/>
          <w:color w:val="000000"/>
          <w:sz w:val="24"/>
          <w:u w:val="single"/>
        </w:rPr>
        <w:t>Solvency</w:t>
      </w:r>
      <w:r>
        <w:rPr>
          <w:rFonts w:ascii="Times New Roman;serif" w:hAnsi="Times New Roman;serif"/>
          <w:b w:val="false"/>
          <w:color w:val="000000"/>
          <w:sz w:val="24"/>
        </w:rPr>
        <w:t>. After giving effect to the transactions contemplated by this Agreement and the other Transaction Documents, such Originator is Solvent.</w:t>
      </w:r>
    </w:p>
    <w:p>
      <w:pPr>
        <w:pStyle w:val="TextBody"/>
        <w:bidi w:val="0"/>
        <w:spacing w:lineRule="auto" w:line="288" w:before="0" w:after="240"/>
        <w:ind w:left="0" w:right="0" w:firstLine="720"/>
        <w:jc w:val="both"/>
        <w:rPr/>
      </w:pPr>
      <w:bookmarkStart w:id="113" w:name="i0eff5470e02c4421aa2abdde7538d484"/>
      <w:bookmarkEnd w:id="113"/>
      <w:r>
        <w:rPr>
          <w:rFonts w:ascii="Times New Roman;serif" w:hAnsi="Times New Roman;serif"/>
          <w:b w:val="false"/>
          <w:color w:val="010000"/>
          <w:sz w:val="24"/>
        </w:rPr>
        <w:t>SECTION 5.23</w:t>
      </w:r>
      <w:r>
        <w:rPr>
          <w:rFonts w:ascii="Times New Roman;serif" w:hAnsi="Times New Roman;serif"/>
          <w:b w:val="false"/>
          <w:color w:val="000000"/>
          <w:sz w:val="24"/>
          <w:u w:val="single"/>
        </w:rPr>
        <w:t xml:space="preserve">Perfection Representations </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14" w:name="i633d8a721efe42a1a1925114a5a73c16"/>
      <w:bookmarkEnd w:id="114"/>
      <w:r>
        <w:rPr>
          <w:rFonts w:ascii="Times New Roman;serif" w:hAnsi="Times New Roman;serif"/>
          <w:b w:val="false"/>
          <w:color w:val="010000"/>
          <w:sz w:val="24"/>
        </w:rPr>
        <w:t>(a)</w:t>
      </w:r>
      <w:r>
        <w:rPr>
          <w:rFonts w:ascii="Times New Roman;serif" w:hAnsi="Times New Roman;serif"/>
          <w:b w:val="false"/>
          <w:color w:val="000000"/>
          <w:sz w:val="24"/>
        </w:rPr>
        <w:t>This Agreement creates a valid and continuing security interest (which, as defined in the applicable UCC, includes (among other things) both (1) an interest in personal property which secures payment or performance of an obligation and (2) an ownership interest of a buyer of an account or payment intangible) in such Originator’s right, title and interest in, to and under the Receivables and Related Rights originated by such Originator, which (A) security interest has been perfected and is enforceable against creditors of and purchasers from such Originator and (B) will be free of all Adverse Claims.</w:t>
      </w:r>
    </w:p>
    <w:p>
      <w:pPr>
        <w:pStyle w:val="TextBody"/>
        <w:bidi w:val="0"/>
        <w:spacing w:lineRule="auto" w:line="288" w:before="0" w:after="240"/>
        <w:ind w:left="0" w:right="0" w:firstLine="1440"/>
        <w:jc w:val="both"/>
        <w:rPr/>
      </w:pPr>
      <w:bookmarkStart w:id="115" w:name="i5440ef5d11b34189bd246a8fca810df5"/>
      <w:bookmarkEnd w:id="115"/>
      <w:r>
        <w:rPr>
          <w:rFonts w:ascii="Times New Roman;serif" w:hAnsi="Times New Roman;serif"/>
          <w:b w:val="false"/>
          <w:color w:val="010000"/>
          <w:sz w:val="24"/>
        </w:rPr>
        <w:t>(b)</w:t>
      </w:r>
      <w:r>
        <w:rPr>
          <w:rFonts w:ascii="Times New Roman;serif" w:hAnsi="Times New Roman;serif"/>
          <w:b w:val="false"/>
          <w:color w:val="000000"/>
          <w:sz w:val="24"/>
        </w:rPr>
        <w:t>The Receivables originated by such Originator constitute “accounts” or “payment intangibles” within the meaning of Section 9-102 of the UCC.</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16" w:name="ic26dac19347d44b19bea0f83fcc6fd5b"/>
      <w:bookmarkEnd w:id="116"/>
      <w:r>
        <w:rPr>
          <w:rFonts w:ascii="Times New Roman;serif" w:hAnsi="Times New Roman;serif"/>
          <w:b w:val="false"/>
          <w:color w:val="010000"/>
          <w:sz w:val="24"/>
        </w:rPr>
        <w:t>(c)</w:t>
      </w:r>
      <w:r>
        <w:rPr>
          <w:rFonts w:ascii="Times New Roman;serif" w:hAnsi="Times New Roman;serif"/>
          <w:b w:val="false"/>
          <w:color w:val="000000"/>
          <w:sz w:val="24"/>
        </w:rPr>
        <w:t>Such Originator owns and has good and marketable title to the Receivables and Related Rights being sold or contributed or purportedly sold or contributed by it hereunder free and clear of any Adverse Claim of any Person.</w:t>
      </w:r>
    </w:p>
    <w:p>
      <w:pPr>
        <w:pStyle w:val="TextBody"/>
        <w:bidi w:val="0"/>
        <w:spacing w:lineRule="auto" w:line="288" w:before="0" w:after="240"/>
        <w:ind w:left="0" w:right="0" w:firstLine="1440"/>
        <w:jc w:val="both"/>
        <w:rPr/>
      </w:pPr>
      <w:bookmarkStart w:id="117" w:name="id1c6f35042e341ebad9d25ad82bb3cd6"/>
      <w:bookmarkEnd w:id="117"/>
      <w:r>
        <w:rPr>
          <w:rFonts w:ascii="Times New Roman;serif" w:hAnsi="Times New Roman;serif"/>
          <w:b w:val="false"/>
          <w:color w:val="010000"/>
          <w:sz w:val="24"/>
        </w:rPr>
        <w:t>(d)</w:t>
      </w:r>
      <w:r>
        <w:rPr>
          <w:rFonts w:ascii="Times New Roman;serif" w:hAnsi="Times New Roman;serif"/>
          <w:b w:val="false"/>
          <w:color w:val="000000"/>
          <w:sz w:val="24"/>
        </w:rPr>
        <w:t>All appropriate financing statements, financing statement amendments and continuation statements have been filed in the proper filing office in the appropriate jurisdictions under Applicable Law in order to perfect (and continue the perfection of) the sale or assignment and contribution of such Receivables and Related Rights from each Originator to the Buyer pursuant to this Agreement.</w:t>
      </w:r>
    </w:p>
    <w:p>
      <w:pPr>
        <w:pStyle w:val="TextBody"/>
        <w:bidi w:val="0"/>
        <w:spacing w:lineRule="auto" w:line="288" w:before="0" w:after="240"/>
        <w:ind w:left="0" w:right="0" w:firstLine="1440"/>
        <w:jc w:val="both"/>
        <w:rPr/>
      </w:pPr>
      <w:bookmarkStart w:id="118" w:name="i5d156a088d304f4ca19f4c64b1def65e"/>
      <w:bookmarkEnd w:id="118"/>
      <w:r>
        <w:rPr>
          <w:rFonts w:ascii="Times New Roman;serif" w:hAnsi="Times New Roman;serif"/>
          <w:b w:val="false"/>
          <w:color w:val="010000"/>
          <w:sz w:val="24"/>
        </w:rPr>
        <w:t>(e)</w:t>
      </w:r>
      <w:r>
        <w:rPr>
          <w:rFonts w:ascii="Times New Roman;serif" w:hAnsi="Times New Roman;serif"/>
          <w:b w:val="false"/>
          <w:color w:val="000000"/>
          <w:sz w:val="24"/>
        </w:rPr>
        <w:t>Other than the security interest granted to the Buyer pursuant to this Agreement, such Originator has not pledged, assigned, sold, contributed, granted a security interest in, or otherwise conveyed any of the Receivables originated by such Originator or Related Rights except as permitted by this Agreement and the other Transaction Documents. Such Originator has not authorized the filing of and is not aware of any financing statements filed against such Originator that include a description of collateral covering the Receivables originated by such Originator and Related Rights other than any financing statement (i) in favor of the Buyer or (ii) that has been terminated or amended to reflect the release of any security interest in the Receivables and Related Rights. Such Originator is not aware of any judgment lien, ERISA lien or tax lien filings against such Originator.</w:t>
      </w:r>
    </w:p>
    <w:p>
      <w:pPr>
        <w:pStyle w:val="TextBody"/>
        <w:bidi w:val="0"/>
        <w:spacing w:lineRule="auto" w:line="288" w:before="0" w:after="240"/>
        <w:ind w:left="0" w:right="0" w:firstLine="1440"/>
        <w:jc w:val="both"/>
        <w:rPr/>
      </w:pPr>
      <w:bookmarkStart w:id="119" w:name="i8c236ef4085541d0b24a30978762c41a"/>
      <w:bookmarkEnd w:id="119"/>
      <w:r>
        <w:rPr>
          <w:rFonts w:ascii="Times New Roman;serif" w:hAnsi="Times New Roman;serif"/>
          <w:b w:val="false"/>
          <w:color w:val="010000"/>
          <w:sz w:val="24"/>
        </w:rPr>
        <w:t>(f)</w:t>
      </w:r>
      <w:r>
        <w:rPr>
          <w:rFonts w:ascii="Times New Roman;serif" w:hAnsi="Times New Roman;serif"/>
          <w:b w:val="false"/>
          <w:color w:val="000000"/>
          <w:sz w:val="24"/>
        </w:rPr>
        <w:t xml:space="preserve">Notwithstanding any other provision of this Agreement or any other Transaction Document, the representations contained in this </w:t>
      </w:r>
      <w:r>
        <w:rPr>
          <w:rFonts w:ascii="Times New Roman;serif" w:hAnsi="Times New Roman;serif"/>
          <w:b w:val="false"/>
          <w:color w:val="000000"/>
          <w:sz w:val="24"/>
          <w:u w:val="single"/>
        </w:rPr>
        <w:t>Section 5.23</w:t>
      </w:r>
      <w:r>
        <w:rPr>
          <w:color w:val="000000"/>
        </w:rPr>
        <w:t xml:space="preserve"> </w:t>
      </w:r>
      <w:r>
        <w:rPr>
          <w:rFonts w:ascii="Times New Roman;serif" w:hAnsi="Times New Roman;serif"/>
          <w:b w:val="false"/>
          <w:color w:val="000000"/>
          <w:sz w:val="24"/>
        </w:rPr>
        <w:t>shall be continuing and remain in full force and effect until the Final Payout Date.</w:t>
      </w:r>
    </w:p>
    <w:p>
      <w:pPr>
        <w:pStyle w:val="TextBody"/>
        <w:bidi w:val="0"/>
        <w:spacing w:lineRule="auto" w:line="288" w:before="0" w:after="240"/>
        <w:ind w:left="0" w:right="0" w:firstLine="720"/>
        <w:jc w:val="both"/>
        <w:rPr/>
      </w:pPr>
      <w:bookmarkStart w:id="120" w:name="i5f8cb9a66c334614902b5b8b6025959f"/>
      <w:bookmarkEnd w:id="120"/>
      <w:r>
        <w:rPr>
          <w:rFonts w:ascii="Times New Roman;serif" w:hAnsi="Times New Roman;serif"/>
          <w:b w:val="false"/>
          <w:color w:val="010000"/>
          <w:sz w:val="24"/>
        </w:rPr>
        <w:t>SECTION 5.24</w:t>
      </w:r>
      <w:r>
        <w:rPr>
          <w:rFonts w:ascii="Times New Roman;serif" w:hAnsi="Times New Roman;serif"/>
          <w:b w:val="false"/>
          <w:color w:val="000000"/>
          <w:sz w:val="24"/>
          <w:u w:val="single"/>
        </w:rPr>
        <w:t>Ordinary Course of Business</w:t>
      </w:r>
      <w:r>
        <w:rPr>
          <w:rFonts w:ascii="Times New Roman;serif" w:hAnsi="Times New Roman;serif"/>
          <w:b w:val="false"/>
          <w:color w:val="000000"/>
          <w:sz w:val="24"/>
        </w:rPr>
        <w:t>. If (but only to the extent that ) the sale or absolute assignment and contribution of any property described herein is not characterized by a court or other Official Body as a sale or absolute assignment and contribution, then each remittance of Collections by such Originator to the Buyer under this Agreement will have been (i) in payment of a debt incurred by such Originator in the ordinary course of business or financial affairs of such Originator and the Buyer and (ii) made in the ordinary course of business or financial affairs of such Originator and the Buyer.</w:t>
      </w:r>
    </w:p>
    <w:p>
      <w:pPr>
        <w:pStyle w:val="TextBody"/>
        <w:bidi w:val="0"/>
        <w:spacing w:lineRule="auto" w:line="288" w:before="0" w:after="240"/>
        <w:ind w:left="0" w:right="0" w:firstLine="720"/>
        <w:jc w:val="both"/>
        <w:rPr/>
      </w:pPr>
      <w:bookmarkStart w:id="121" w:name="i5ed93666e55a4a70b874eb20a5f55375"/>
      <w:bookmarkEnd w:id="121"/>
      <w:r>
        <w:rPr>
          <w:rFonts w:ascii="Times New Roman;serif" w:hAnsi="Times New Roman;serif"/>
          <w:b w:val="false"/>
          <w:color w:val="010000"/>
          <w:sz w:val="24"/>
        </w:rPr>
        <w:t>SECTION 5.25</w:t>
      </w:r>
      <w:r>
        <w:rPr>
          <w:rFonts w:ascii="Times New Roman;serif" w:hAnsi="Times New Roman;serif"/>
          <w:b w:val="false"/>
          <w:color w:val="000000"/>
          <w:sz w:val="24"/>
          <w:u w:val="single"/>
        </w:rPr>
        <w:t>Credit and Collection Procedures</w:t>
      </w:r>
      <w:r>
        <w:rPr>
          <w:rFonts w:ascii="Times New Roman;serif" w:hAnsi="Times New Roman;serif"/>
          <w:b w:val="false"/>
          <w:color w:val="000000"/>
          <w:sz w:val="24"/>
        </w:rPr>
        <w:t>. Such Originator has complied in all material respects with the Credit and Collection Procedures (or, prior to the existence thereof in documented form, the substance thereof) with regard to each Receivable and related Contract sold, contributed, transferred or assigned by it hereunder.</w:t>
      </w:r>
    </w:p>
    <w:p>
      <w:pPr>
        <w:pStyle w:val="TextBody"/>
        <w:bidi w:val="0"/>
        <w:spacing w:lineRule="auto" w:line="288" w:before="0" w:after="240"/>
        <w:ind w:left="0" w:right="0" w:firstLine="720"/>
        <w:jc w:val="both"/>
        <w:rPr/>
      </w:pPr>
      <w:bookmarkStart w:id="122" w:name="i943f38505edb48b1955a85d14ccdf72d"/>
      <w:bookmarkEnd w:id="122"/>
      <w:r>
        <w:rPr>
          <w:rFonts w:ascii="Times New Roman;serif" w:hAnsi="Times New Roman;serif"/>
          <w:b w:val="false"/>
          <w:color w:val="010000"/>
          <w:sz w:val="24"/>
        </w:rPr>
        <w:t>SECTION 5.26</w:t>
      </w:r>
      <w:r>
        <w:rPr>
          <w:rFonts w:ascii="Times New Roman;serif" w:hAnsi="Times New Roman;serif"/>
          <w:b w:val="false"/>
          <w:color w:val="000000"/>
          <w:sz w:val="24"/>
          <w:u w:val="single"/>
        </w:rPr>
        <w:t>Servicing Programs</w:t>
      </w:r>
      <w:r>
        <w:rPr>
          <w:rFonts w:ascii="Times New Roman;serif" w:hAnsi="Times New Roman;serif"/>
          <w:b w:val="false"/>
          <w:color w:val="000000"/>
          <w:sz w:val="24"/>
        </w:rPr>
        <w:t>. No license or approval is required for the Buyer’s or Administrative Agent’s use of any software or other computer program used by such Originator, Servicer or any Sub-Servicer in the servicing of the Receivables, other than those which have been obtained and are in full force and effect.</w:t>
      </w:r>
    </w:p>
    <w:p>
      <w:pPr>
        <w:pStyle w:val="TextBody"/>
        <w:bidi w:val="0"/>
        <w:spacing w:lineRule="auto" w:line="288" w:before="0" w:after="240"/>
        <w:ind w:left="0" w:right="0" w:firstLine="720"/>
        <w:jc w:val="both"/>
        <w:rPr/>
      </w:pPr>
      <w:bookmarkStart w:id="123" w:name="i9d833b04840b402a981580dd78af0e8a"/>
      <w:bookmarkEnd w:id="123"/>
      <w:r>
        <w:rPr>
          <w:rFonts w:ascii="Times New Roman;serif" w:hAnsi="Times New Roman;serif"/>
          <w:b w:val="false"/>
          <w:color w:val="010000"/>
          <w:sz w:val="24"/>
        </w:rPr>
        <w:t>SECTION 5.27</w:t>
      </w:r>
      <w:r>
        <w:rPr>
          <w:rFonts w:ascii="Times New Roman;serif" w:hAnsi="Times New Roman;serif"/>
          <w:b w:val="false"/>
          <w:color w:val="000000"/>
          <w:sz w:val="24"/>
          <w:u w:val="single"/>
        </w:rPr>
        <w:t>Servicing of Pool Receivables</w:t>
      </w:r>
      <w:r>
        <w:rPr>
          <w:rFonts w:ascii="Times New Roman;serif" w:hAnsi="Times New Roman;serif"/>
          <w:b w:val="false"/>
          <w:color w:val="000000"/>
          <w:sz w:val="24"/>
        </w:rPr>
        <w:t xml:space="preserve">. To the extent such Originator is acting as Sub-Servicer for the Servicer in accordance with the Receivables Financing Agreement, since the Closing Date, there has been no material adverse change in the ability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7"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Originator acting as Sub-Servicer to service and collect the Pool Receivables and the Related Security.</w:t>
      </w:r>
    </w:p>
    <w:p>
      <w:pPr>
        <w:pStyle w:val="TextBody"/>
        <w:bidi w:val="0"/>
        <w:spacing w:lineRule="auto" w:line="288" w:before="0" w:after="240"/>
        <w:ind w:left="0" w:right="0" w:firstLine="720"/>
        <w:jc w:val="both"/>
        <w:rPr/>
      </w:pPr>
      <w:bookmarkStart w:id="124" w:name="i537139344b244cafbecfc794b111873f"/>
      <w:bookmarkEnd w:id="124"/>
      <w:r>
        <w:rPr>
          <w:rFonts w:ascii="Times New Roman;serif" w:hAnsi="Times New Roman;serif"/>
          <w:b w:val="false"/>
          <w:color w:val="010000"/>
          <w:sz w:val="24"/>
        </w:rPr>
        <w:t>SECTION 5.28</w:t>
      </w:r>
      <w:r>
        <w:rPr>
          <w:rFonts w:ascii="Times New Roman;serif" w:hAnsi="Times New Roman;serif"/>
          <w:b w:val="false"/>
          <w:color w:val="000000"/>
          <w:sz w:val="24"/>
          <w:u w:val="single"/>
        </w:rPr>
        <w:t>Financial Condition</w:t>
      </w:r>
      <w:r>
        <w:rPr>
          <w:rFonts w:ascii="Times New Roman;serif" w:hAnsi="Times New Roman;serif"/>
          <w:b w:val="false"/>
          <w:color w:val="000000"/>
          <w:sz w:val="24"/>
        </w:rPr>
        <w:t>. The consolidated balance sheets of the Parent and its consolidated Subsidiaries as of September 30, 2018 and the related statements of income and shareholders’ equity of the Parent and its consolidated Subsidiaries for the fiscal quarter then ended, copies of which have been furnished to the Buyer, Administrative Agent and the Lenders, present fairly in all material respects the consolidated financial position of such Originator and its consolidated Subsidiaries for the period ended on such date, all in accordance with GAAP, subject to (x) adjustments of the type which would occur as a result of a year-end audit and (y) the absence of notes.</w:t>
      </w:r>
    </w:p>
    <w:p>
      <w:pPr>
        <w:pStyle w:val="TextBody"/>
        <w:bidi w:val="0"/>
        <w:spacing w:lineRule="auto" w:line="288" w:before="0" w:after="240"/>
        <w:ind w:left="0" w:right="0" w:firstLine="720"/>
        <w:jc w:val="both"/>
        <w:rPr/>
      </w:pPr>
      <w:bookmarkStart w:id="125" w:name="i218363934669430c8cf6526a7bd5a7d5"/>
      <w:bookmarkEnd w:id="125"/>
      <w:r>
        <w:rPr>
          <w:rFonts w:ascii="Times New Roman;serif" w:hAnsi="Times New Roman;serif"/>
          <w:b w:val="false"/>
          <w:color w:val="010000"/>
          <w:sz w:val="24"/>
        </w:rPr>
        <w:t>SECTION 5.29</w:t>
      </w:r>
      <w:r>
        <w:rPr>
          <w:rFonts w:ascii="Times New Roman;serif" w:hAnsi="Times New Roman;serif"/>
          <w:b w:val="false"/>
          <w:color w:val="000000"/>
          <w:sz w:val="24"/>
          <w:u w:val="single"/>
        </w:rPr>
        <w:t>Valid Sale</w:t>
      </w:r>
      <w:r>
        <w:rPr>
          <w:rFonts w:ascii="Times New Roman;serif" w:hAnsi="Times New Roman;serif"/>
          <w:b w:val="false"/>
          <w:color w:val="000000"/>
          <w:sz w:val="24"/>
        </w:rPr>
        <w:t>. Each sale, transfer or assignment of Receivables and the Related Rights made by such Originator pursuant to this Agreement shall constitute a valid sale, transfer and assignment of Receivables and Related Rights to the Buyer, enforceable against creditors of, and purchasers from, such Originator,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bookmarkStart w:id="126" w:name="i5fc085c908874c80a0362f614a2c8eab"/>
      <w:bookmarkEnd w:id="126"/>
      <w:r>
        <w:rPr>
          <w:rFonts w:ascii="Times New Roman;serif" w:hAnsi="Times New Roman;serif"/>
          <w:b w:val="false"/>
          <w:color w:val="010000"/>
          <w:sz w:val="24"/>
        </w:rPr>
        <w:t>SECTION 5.30</w:t>
      </w:r>
      <w:r>
        <w:rPr>
          <w:rFonts w:ascii="Times New Roman;serif" w:hAnsi="Times New Roman;serif"/>
          <w:b w:val="false"/>
          <w:color w:val="000000"/>
          <w:sz w:val="24"/>
          <w:u w:val="single"/>
        </w:rPr>
        <w:t>Good Title</w:t>
      </w:r>
      <w:r>
        <w:rPr>
          <w:rFonts w:ascii="Times New Roman;serif" w:hAnsi="Times New Roman;serif"/>
          <w:b w:val="false"/>
          <w:color w:val="000000"/>
          <w:sz w:val="24"/>
        </w:rPr>
        <w:t>. Immediately preceding its sale, transfer or assignment of each Receivable hereunder, such Originator was the owner of such Receivable sold or purported to be sold free and clear of any Adverse Claims, and each such sale, transfer or assignment hereunder constitutes a valid sale, transfer and assignment of all of such Originator’s right, title and interest in, to and under the Receivables sold by it, free and clear of any Adverse Claims. On or before the date hereof and before the generation by such Originator of any new Receivable to be sold or otherwise conveyed hereunder, all financing statements and other documents, if any, required to be recorded or filed in order to perfect and protect the Buyer’s security interest (within the meaning of the applicable UCC) in such Receivable against all creditors of and purchasers from such Originator will have been duly filed in each filing office necessary for such purpose, and all filing fees and taxes, if any, payable in connection with such filings shall have been paid in full. Upon the creation of each new Receivable sold or otherwise conveyed or purported to be conveyed hereunder and on the Closing Date for then existing Receivables, the Buyer shall have a valid and perfected first priority security interest (within the meaning of the applicable UCC) in each Receivable sold to it hereunder, free and clear of any Adverse Claim.</w:t>
      </w:r>
    </w:p>
    <w:p>
      <w:pPr>
        <w:pStyle w:val="TextBody"/>
        <w:bidi w:val="0"/>
        <w:spacing w:lineRule="auto" w:line="288" w:before="0" w:after="240"/>
        <w:ind w:left="0" w:right="0" w:firstLine="720"/>
        <w:jc w:val="both"/>
        <w:rPr/>
      </w:pPr>
      <w:bookmarkStart w:id="127" w:name="i2406de9880f946a9be6c61c7ba94da00"/>
      <w:bookmarkEnd w:id="127"/>
      <w:r>
        <w:rPr>
          <w:rFonts w:ascii="Times New Roman;serif" w:hAnsi="Times New Roman;serif"/>
          <w:b w:val="false"/>
          <w:color w:val="010000"/>
          <w:sz w:val="24"/>
        </w:rPr>
        <w:t>SECTION 5.31</w:t>
      </w:r>
      <w:r>
        <w:rPr>
          <w:rFonts w:ascii="Times New Roman;serif" w:hAnsi="Times New Roman;serif"/>
          <w:b w:val="false"/>
          <w:color w:val="000000"/>
          <w:sz w:val="24"/>
          <w:u w:val="single"/>
        </w:rPr>
        <w:t>Reliance on Separate Legal Identity</w:t>
      </w:r>
      <w:r>
        <w:rPr>
          <w:rFonts w:ascii="Times New Roman;serif" w:hAnsi="Times New Roman;serif"/>
          <w:b w:val="false"/>
          <w:color w:val="000000"/>
          <w:sz w:val="24"/>
        </w:rPr>
        <w:t>. Such Originator acknowledges that each of the Lenders and the Administrative Agent are entering into the Transaction Documents to which they are parties in reliance upon the Buyer’s identity as a legal entity separate from such Originator.</w:t>
      </w:r>
    </w:p>
    <w:p>
      <w:pPr>
        <w:pStyle w:val="TextBody"/>
        <w:bidi w:val="0"/>
        <w:spacing w:lineRule="auto" w:line="288" w:before="0" w:after="240"/>
        <w:ind w:left="0" w:right="0" w:firstLine="720"/>
        <w:jc w:val="both"/>
        <w:rPr/>
      </w:pPr>
      <w:bookmarkStart w:id="128" w:name="i6468c1b6319648d89538640c2d9b2dab"/>
      <w:bookmarkEnd w:id="128"/>
      <w:r>
        <w:rPr>
          <w:rFonts w:ascii="Times New Roman;serif" w:hAnsi="Times New Roman;serif"/>
          <w:b w:val="false"/>
          <w:color w:val="010000"/>
          <w:sz w:val="24"/>
        </w:rPr>
        <w:t>SECTION 5.32</w:t>
      </w:r>
      <w:r>
        <w:rPr>
          <w:rFonts w:ascii="Times New Roman;serif" w:hAnsi="Times New Roman;serif"/>
          <w:b w:val="false"/>
          <w:color w:val="000000"/>
          <w:sz w:val="24"/>
          <w:u w:val="single"/>
        </w:rPr>
        <w:t>Adverse Change in Receivables</w:t>
      </w:r>
      <w:r>
        <w:rPr>
          <w:rFonts w:ascii="Times New Roman;serif" w:hAnsi="Times New Roman;serif"/>
          <w:b w:val="false"/>
          <w:color w:val="000000"/>
          <w:sz w:val="24"/>
        </w:rPr>
        <w:t>. Since September 30, 2018, there has been no material adverse change in either the collectibility or the payment history of the Receivables originated by such Originator.</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8"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129" w:name="ia9dd8c12375147b48a5b5fe261b3bbc8"/>
      <w:bookmarkEnd w:id="129"/>
      <w:r>
        <w:rPr>
          <w:rFonts w:ascii="Times New Roman;serif" w:hAnsi="Times New Roman;serif"/>
          <w:b w:val="false"/>
          <w:color w:val="010000"/>
          <w:sz w:val="24"/>
        </w:rPr>
        <w:t>SECTION 5.33</w:t>
      </w:r>
      <w:r>
        <w:rPr>
          <w:rFonts w:ascii="Times New Roman;serif" w:hAnsi="Times New Roman;serif"/>
          <w:b w:val="false"/>
          <w:color w:val="000000"/>
          <w:sz w:val="24"/>
          <w:u w:val="single"/>
        </w:rPr>
        <w:t>No Fraudulent Conveyance</w:t>
      </w:r>
      <w:r>
        <w:rPr>
          <w:rFonts w:ascii="Times New Roman;serif" w:hAnsi="Times New Roman;serif"/>
          <w:b w:val="false"/>
          <w:color w:val="000000"/>
          <w:sz w:val="24"/>
        </w:rPr>
        <w:t>. No sale, contribution, transfer or assignment hereunder constitutes a fraudulent transfer or conveyance under any United States federal or applicable state bankruptcy or insolvency laws or is otherwise void or voidable under such or similar laws or principles or for any other reason.</w:t>
      </w:r>
    </w:p>
    <w:p>
      <w:pPr>
        <w:pStyle w:val="TextBody"/>
        <w:bidi w:val="0"/>
        <w:spacing w:lineRule="auto" w:line="288" w:before="0" w:after="240"/>
        <w:ind w:left="0" w:right="0" w:firstLine="720"/>
        <w:jc w:val="both"/>
        <w:rPr/>
      </w:pPr>
      <w:bookmarkStart w:id="130" w:name="i5ef6c92e338043dcbb1dba3aecc20284"/>
      <w:bookmarkEnd w:id="130"/>
      <w:r>
        <w:rPr>
          <w:rFonts w:ascii="Times New Roman;serif" w:hAnsi="Times New Roman;serif"/>
          <w:b w:val="false"/>
          <w:color w:val="010000"/>
          <w:sz w:val="24"/>
        </w:rPr>
        <w:t>SECTION 5.34</w:t>
      </w:r>
      <w:r>
        <w:rPr>
          <w:rFonts w:ascii="Times New Roman;serif" w:hAnsi="Times New Roman;serif"/>
          <w:b w:val="false"/>
          <w:color w:val="000000"/>
          <w:sz w:val="24"/>
          <w:u w:val="single"/>
        </w:rPr>
        <w:t>Nature of Pool Receivables</w:t>
      </w:r>
      <w:r>
        <w:rPr>
          <w:rFonts w:ascii="Times New Roman;serif" w:hAnsi="Times New Roman;serif"/>
          <w:b w:val="false"/>
          <w:color w:val="000000"/>
          <w:sz w:val="24"/>
        </w:rPr>
        <w:t>. All Pool Receivables sold, transferred or assigned or purportedly sold, transferred or assigned by such Originator hereunder: (i) were originated by such Originator in the ordinary course of its business, (ii) were sold, transferred or assigned to Buyer for consideration equal to the fair market value, fair consideration and reasonably equivalent value of such Receivables and (iii) represent all, or a portion of the purchase price of merchandise, insurance or services within the meaning of Section 3(c)(5)(A) of the Investment Company Act.</w:t>
      </w:r>
    </w:p>
    <w:p>
      <w:pPr>
        <w:pStyle w:val="TextBody"/>
        <w:bidi w:val="0"/>
        <w:spacing w:lineRule="auto" w:line="288" w:before="0" w:after="240"/>
        <w:ind w:left="0" w:right="0" w:firstLine="720"/>
        <w:jc w:val="both"/>
        <w:rPr/>
      </w:pPr>
      <w:bookmarkStart w:id="131" w:name="i362f03a4ec584314bc8367837843cf1f"/>
      <w:bookmarkEnd w:id="131"/>
      <w:r>
        <w:rPr>
          <w:rFonts w:ascii="Times New Roman;serif" w:hAnsi="Times New Roman;serif"/>
          <w:b w:val="false"/>
          <w:color w:val="010000"/>
          <w:sz w:val="24"/>
        </w:rPr>
        <w:t>SECTION 5.35</w:t>
      </w:r>
      <w:r>
        <w:rPr>
          <w:rFonts w:ascii="Times New Roman;serif" w:hAnsi="Times New Roman;serif"/>
          <w:b w:val="false"/>
          <w:color w:val="000000"/>
          <w:sz w:val="24"/>
          <w:u w:val="single"/>
        </w:rPr>
        <w:t>Enforceability of Contracts</w:t>
      </w:r>
      <w:r>
        <w:rPr>
          <w:rFonts w:ascii="Times New Roman;serif" w:hAnsi="Times New Roman;serif"/>
          <w:b w:val="false"/>
          <w:color w:val="000000"/>
          <w:sz w:val="24"/>
        </w:rPr>
        <w:t>. Each Contract related to any Receivable sold by such Originator hereunder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such Originator has fully performed its obligations under such Contract.</w:t>
      </w:r>
    </w:p>
    <w:p>
      <w:pPr>
        <w:pStyle w:val="TextBody"/>
        <w:bidi w:val="0"/>
        <w:spacing w:lineRule="auto" w:line="288" w:before="0" w:after="240"/>
        <w:ind w:left="0" w:right="0" w:firstLine="720"/>
        <w:jc w:val="both"/>
        <w:rPr/>
      </w:pPr>
      <w:bookmarkStart w:id="132" w:name="ie737c70ef973474398312cf628716038"/>
      <w:bookmarkEnd w:id="132"/>
      <w:r>
        <w:rPr>
          <w:rFonts w:ascii="Times New Roman;serif" w:hAnsi="Times New Roman;serif"/>
          <w:b w:val="false"/>
          <w:color w:val="010000"/>
          <w:sz w:val="24"/>
        </w:rPr>
        <w:t>SECTION 5.36</w:t>
      </w:r>
      <w:r>
        <w:rPr>
          <w:rFonts w:ascii="Times New Roman;serif" w:hAnsi="Times New Roman;serif"/>
          <w:b w:val="false"/>
          <w:color w:val="000000"/>
          <w:sz w:val="24"/>
          <w:u w:val="single"/>
        </w:rPr>
        <w:t>Reaffirmation of Representations and Warranties by each Originator</w:t>
      </w:r>
      <w:r>
        <w:rPr>
          <w:rFonts w:ascii="Times New Roman;serif" w:hAnsi="Times New Roman;serif"/>
          <w:b w:val="false"/>
          <w:color w:val="000000"/>
          <w:sz w:val="24"/>
        </w:rPr>
        <w:t xml:space="preserve">. On each day that a new Receivable is created, and when sold to the Buyer hereunder, such Originator shall be deemed to have certified that (i) all representations and warranties set forth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are true and correct in all material respects (unless such representations and warranties contain a materiality qualifier, in which case such representations and warranties shall be true and correct as made) on and as of such day as 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the creation and sale of such Receivable.</w:t>
      </w:r>
    </w:p>
    <w:p>
      <w:pPr>
        <w:pStyle w:val="TextBody"/>
        <w:bidi w:val="0"/>
        <w:spacing w:lineRule="auto" w:line="240" w:before="0" w:after="240"/>
        <w:jc w:val="center"/>
        <w:rPr/>
      </w:pPr>
      <w:bookmarkStart w:id="133" w:name="ib18a239c1ff44cf9a204af49bf4ccef5"/>
      <w:bookmarkEnd w:id="133"/>
      <w:r>
        <w:rPr>
          <w:rFonts w:ascii="Times New Roman;serif" w:hAnsi="Times New Roman;serif"/>
          <w:b w:val="false"/>
          <w:color w:val="010000"/>
          <w:sz w:val="24"/>
        </w:rPr>
        <w:t>ARTICLE VI</w:t>
      </w:r>
      <w:r>
        <w:rPr>
          <w:rFonts w:ascii="Times New Roman;serif" w:hAnsi="Times New Roman;serif"/>
          <w:b w:val="false"/>
          <w:color w:val="000000"/>
          <w:sz w:val="24"/>
        </w:rPr>
        <w:br/>
        <w:t>COVENANTS OF THE ORIGINATORS</w:t>
      </w:r>
    </w:p>
    <w:p>
      <w:pPr>
        <w:pStyle w:val="TextBody"/>
        <w:bidi w:val="0"/>
        <w:spacing w:lineRule="auto" w:line="288" w:before="0" w:after="240"/>
        <w:ind w:left="0" w:right="0" w:firstLine="720"/>
        <w:jc w:val="both"/>
        <w:rPr/>
      </w:pPr>
      <w:bookmarkStart w:id="134" w:name="i05fcbc8bab974ee7a4895b021d38923c"/>
      <w:bookmarkEnd w:id="134"/>
      <w:r>
        <w:rPr>
          <w:rFonts w:ascii="Times New Roman;serif" w:hAnsi="Times New Roman;serif"/>
          <w:b w:val="false"/>
          <w:color w:val="010000"/>
          <w:sz w:val="24"/>
        </w:rPr>
        <w:t>SECTION 6.1</w:t>
      </w:r>
      <w:r>
        <w:rPr>
          <w:rFonts w:ascii="Times New Roman;serif" w:hAnsi="Times New Roman;serif"/>
          <w:b w:val="false"/>
          <w:color w:val="000000"/>
          <w:sz w:val="24"/>
          <w:u w:val="single"/>
        </w:rPr>
        <w:t>Covenants</w:t>
      </w:r>
      <w:r>
        <w:rPr>
          <w:rFonts w:ascii="Times New Roman;serif" w:hAnsi="Times New Roman;serif"/>
          <w:b w:val="false"/>
          <w:color w:val="000000"/>
          <w:sz w:val="24"/>
        </w:rPr>
        <w:t>. From the date hereof until the Final Payout Date, each Originator will, unless the Administrative Agent and the Buyer shall otherwise consent in writing, perform the following covenants:</w:t>
      </w:r>
    </w:p>
    <w:p>
      <w:pPr>
        <w:pStyle w:val="TextBody"/>
        <w:bidi w:val="0"/>
        <w:spacing w:lineRule="auto" w:line="288" w:before="0" w:after="240"/>
        <w:ind w:left="0" w:right="0" w:firstLine="1440"/>
        <w:jc w:val="both"/>
        <w:rPr/>
      </w:pPr>
      <w:bookmarkStart w:id="135" w:name="i6d1a46345ab14f82af7e7c2d3bba3d09"/>
      <w:bookmarkEnd w:id="135"/>
      <w:r>
        <w:rPr>
          <w:rFonts w:ascii="Times New Roman;serif" w:hAnsi="Times New Roman;serif"/>
          <w:b w:val="false"/>
          <w:color w:val="010000"/>
          <w:sz w:val="24"/>
        </w:rPr>
        <w:t>(a)</w:t>
      </w:r>
      <w:r>
        <w:rPr>
          <w:rFonts w:ascii="Times New Roman;serif" w:hAnsi="Times New Roman;serif"/>
          <w:b w:val="false"/>
          <w:color w:val="000000"/>
          <w:sz w:val="24"/>
          <w:u w:val="single"/>
        </w:rPr>
        <w:t>Existence</w:t>
      </w:r>
      <w:r>
        <w:rPr>
          <w:rFonts w:ascii="Times New Roman;serif" w:hAnsi="Times New Roman;serif"/>
          <w:b w:val="false"/>
          <w:color w:val="000000"/>
          <w:sz w:val="24"/>
        </w:rPr>
        <w:t>. Such Originator shall keep in full force and effect its existence and rights as a limited liability company, corporation or other entity, as applicable, under the laws of its state of organization, and shall obtain and preserve its qualification to do business in each jurisdiction in which such qualification is or shall be necessary to protect the validity and enforceability of this Agreement, the other Transaction Documents and the Receivables and Related Rights.</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9"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36" w:name="ib4ebe9504e9046409e32f5657b7a11f8"/>
      <w:bookmarkEnd w:id="136"/>
      <w:r>
        <w:rPr>
          <w:rFonts w:ascii="Times New Roman;serif" w:hAnsi="Times New Roman;serif"/>
          <w:b w:val="false"/>
          <w:color w:val="010000"/>
          <w:sz w:val="24"/>
        </w:rPr>
        <w:t>(b)</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Such Originator will maintain a system of accounting established and administered in accordance with GAAP, and such Originator shall furnish to the Servicer such information as the Servicer may from time to time reasonably request relating to such system.</w:t>
      </w:r>
    </w:p>
    <w:p>
      <w:pPr>
        <w:pStyle w:val="TextBody"/>
        <w:bidi w:val="0"/>
        <w:spacing w:lineRule="auto" w:line="288" w:before="0" w:after="240"/>
        <w:ind w:left="0" w:right="0" w:firstLine="1440"/>
        <w:jc w:val="both"/>
        <w:rPr/>
      </w:pPr>
      <w:bookmarkStart w:id="137" w:name="i86295f0828894d258e8ad7fb20cab962"/>
      <w:bookmarkEnd w:id="137"/>
      <w:r>
        <w:rPr>
          <w:rFonts w:ascii="Times New Roman;serif" w:hAnsi="Times New Roman;serif"/>
          <w:b w:val="false"/>
          <w:color w:val="010000"/>
          <w:sz w:val="24"/>
        </w:rPr>
        <w:t>(c)</w:t>
      </w:r>
      <w:r>
        <w:rPr>
          <w:rFonts w:ascii="Times New Roman;serif" w:hAnsi="Times New Roman;serif"/>
          <w:b w:val="false"/>
          <w:color w:val="000000"/>
          <w:sz w:val="24"/>
          <w:u w:val="single"/>
        </w:rPr>
        <w:t>Notices</w:t>
      </w:r>
      <w:r>
        <w:rPr>
          <w:rFonts w:ascii="Times New Roman;serif" w:hAnsi="Times New Roman;serif"/>
          <w:b w:val="false"/>
          <w:color w:val="000000"/>
          <w:sz w:val="24"/>
        </w:rPr>
        <w:t>. Such Originator will notify the Servicer in writing of any of the following events promptly upon (but, unless otherwise noted below, in no event later than three (3) Business Days after) a Financial Officer or other officer of such Originator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1440"/>
        <w:jc w:val="both"/>
        <w:rPr/>
      </w:pPr>
      <w:bookmarkStart w:id="138" w:name="i1df721e74f1f4fe39118e1394e04466b"/>
      <w:bookmarkEnd w:id="138"/>
      <w:r>
        <w:rPr>
          <w:rFonts w:ascii="Times New Roman;serif" w:hAnsi="Times New Roman;serif"/>
          <w:b w:val="false"/>
          <w:color w:val="010000"/>
          <w:sz w:val="24"/>
        </w:rPr>
        <w:t>(i)</w:t>
      </w:r>
      <w:r>
        <w:rPr>
          <w:rFonts w:ascii="Times New Roman;serif" w:hAnsi="Times New Roman;serif"/>
          <w:b w:val="false"/>
          <w:color w:val="000000"/>
          <w:sz w:val="24"/>
          <w:u w:val="single"/>
        </w:rPr>
        <w:t>Notice of Purchase and Sale Termination Event or Unmatured Purchase and Sale Termination Event</w:t>
      </w:r>
      <w:r>
        <w:rPr>
          <w:rFonts w:ascii="Times New Roman;serif" w:hAnsi="Times New Roman;serif"/>
          <w:b w:val="false"/>
          <w:color w:val="000000"/>
          <w:sz w:val="24"/>
        </w:rPr>
        <w:t>. A statement of a Financial Officer of such Originator setting forth details of any Purchase and Sale Termination Event or Unmatured Purchase and Sale Termination Event that has occurred and is continuing and the action which such Originator proposes to take with respect thereto.</w:t>
      </w:r>
    </w:p>
    <w:p>
      <w:pPr>
        <w:pStyle w:val="TextBody"/>
        <w:bidi w:val="0"/>
        <w:spacing w:lineRule="auto" w:line="288" w:before="0" w:after="240"/>
        <w:ind w:left="0" w:right="0" w:firstLine="1440"/>
        <w:jc w:val="both"/>
        <w:rPr/>
      </w:pPr>
      <w:bookmarkStart w:id="139" w:name="i4a837e1a404b45d6800e44c309978c7a"/>
      <w:bookmarkEnd w:id="139"/>
      <w:r>
        <w:rPr>
          <w:rFonts w:ascii="Times New Roman;serif" w:hAnsi="Times New Roman;serif"/>
          <w:b w:val="false"/>
          <w:color w:val="010000"/>
          <w:sz w:val="24"/>
        </w:rPr>
        <w:t>(ii)</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to be made by such Originator under this Agreement or any other Transaction Document to be true and correct in any material respect when made.</w:t>
      </w:r>
    </w:p>
    <w:p>
      <w:pPr>
        <w:pStyle w:val="TextBody"/>
        <w:bidi w:val="0"/>
        <w:spacing w:lineRule="auto" w:line="288" w:before="0" w:after="240"/>
        <w:ind w:left="0" w:right="0" w:firstLine="1440"/>
        <w:jc w:val="both"/>
        <w:rPr/>
      </w:pPr>
      <w:bookmarkStart w:id="140" w:name="ifca20a01e7454aa7ac56ecbe909c6c7b"/>
      <w:bookmarkEnd w:id="140"/>
      <w:r>
        <w:rPr>
          <w:rFonts w:ascii="Times New Roman;serif" w:hAnsi="Times New Roman;serif"/>
          <w:b w:val="false"/>
          <w:color w:val="010000"/>
          <w:sz w:val="24"/>
        </w:rPr>
        <w:t>(iii)</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on such Originator, which could reasonably be expected to have a Material Adverse Effect.</w:t>
      </w:r>
    </w:p>
    <w:p>
      <w:pPr>
        <w:pStyle w:val="TextBody"/>
        <w:bidi w:val="0"/>
        <w:spacing w:lineRule="auto" w:line="288" w:before="0" w:after="240"/>
        <w:ind w:left="0" w:right="0" w:firstLine="1440"/>
        <w:jc w:val="both"/>
        <w:rPr/>
      </w:pPr>
      <w:bookmarkStart w:id="141" w:name="i61c88b4e1eb049f6b23d33dea9ccec6a"/>
      <w:bookmarkEnd w:id="141"/>
      <w:r>
        <w:rPr>
          <w:rFonts w:ascii="Times New Roman;serif" w:hAnsi="Times New Roman;serif"/>
          <w:b w:val="false"/>
          <w:color w:val="010000"/>
          <w:sz w:val="24"/>
        </w:rPr>
        <w:t>(iv)</w:t>
      </w:r>
      <w:r>
        <w:rPr>
          <w:rFonts w:ascii="Times New Roman;serif" w:hAnsi="Times New Roman;serif"/>
          <w:b w:val="false"/>
          <w:color w:val="000000"/>
          <w:sz w:val="24"/>
          <w:u w:val="single"/>
        </w:rPr>
        <w:t>Adverse Claim</w:t>
      </w:r>
      <w:r>
        <w:rPr>
          <w:rFonts w:ascii="Times New Roman;serif" w:hAnsi="Times New Roman;serif"/>
          <w:b w:val="false"/>
          <w:color w:val="000000"/>
          <w:sz w:val="24"/>
        </w:rPr>
        <w:t>. (A) Any Person shall obtain an Adverse Claim upon Receivables originated by the Originator or Related Rights or any portion thereof, (B) any Person other than the Buyer,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bidi w:val="0"/>
        <w:spacing w:lineRule="auto" w:line="288" w:before="0" w:after="240"/>
        <w:ind w:left="0" w:right="0" w:firstLine="1440"/>
        <w:jc w:val="both"/>
        <w:rPr/>
      </w:pPr>
      <w:bookmarkStart w:id="142" w:name="i6258b00f822a4d0ab31023baddda7df3"/>
      <w:bookmarkEnd w:id="142"/>
      <w:r>
        <w:rPr>
          <w:rFonts w:ascii="Times New Roman;serif" w:hAnsi="Times New Roman;serif"/>
          <w:b w:val="false"/>
          <w:color w:val="010000"/>
          <w:sz w:val="24"/>
        </w:rPr>
        <w:t>(v)</w:t>
      </w:r>
      <w:r>
        <w:rPr>
          <w:rFonts w:ascii="Times New Roman;serif" w:hAnsi="Times New Roman;serif"/>
          <w:b w:val="false"/>
          <w:color w:val="000000"/>
          <w:sz w:val="24"/>
          <w:u w:val="single"/>
        </w:rPr>
        <w:t>Name Changes</w:t>
      </w:r>
      <w:r>
        <w:rPr>
          <w:rFonts w:ascii="Times New Roman;serif" w:hAnsi="Times New Roman;serif"/>
          <w:b w:val="false"/>
          <w:color w:val="000000"/>
          <w:sz w:val="24"/>
        </w:rPr>
        <w:t xml:space="preserve">. At least thirty (30) calendar days’ prior notice before any change described in </w:t>
      </w:r>
      <w:r>
        <w:rPr>
          <w:rFonts w:ascii="Times New Roman;serif" w:hAnsi="Times New Roman;serif"/>
          <w:b w:val="false"/>
          <w:color w:val="000000"/>
          <w:sz w:val="24"/>
          <w:u w:val="single"/>
        </w:rPr>
        <w:t>Section 6.1(r)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43" w:name="i0a294723b76248a289bed09d10c79b04"/>
      <w:bookmarkEnd w:id="143"/>
      <w:r>
        <w:rPr>
          <w:rFonts w:ascii="Times New Roman;serif" w:hAnsi="Times New Roman;serif"/>
          <w:b w:val="false"/>
          <w:color w:val="010000"/>
          <w:sz w:val="24"/>
        </w:rPr>
        <w:t>(vi)</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(i) the external accountants of such Originator or (ii) any material accounting policy of such Originator that is relevant to the transactions contemplated by this Agreement or any other Transaction Document (it being understood that any change to the manner in which such Originator accounts for the Pool Receivables shall be deemed “material” for such purpose).</w:t>
      </w:r>
    </w:p>
    <w:p>
      <w:pPr>
        <w:pStyle w:val="TextBody"/>
        <w:bidi w:val="0"/>
        <w:spacing w:lineRule="auto" w:line="288" w:before="0" w:after="240"/>
        <w:ind w:left="0" w:right="0" w:firstLine="1440"/>
        <w:jc w:val="both"/>
        <w:rPr/>
      </w:pPr>
      <w:bookmarkStart w:id="144" w:name="i7a8605d9825942f2a71c3be0473c658d"/>
      <w:bookmarkEnd w:id="144"/>
      <w:r>
        <w:rPr>
          <w:rFonts w:ascii="Times New Roman;serif" w:hAnsi="Times New Roman;serif"/>
          <w:b w:val="false"/>
          <w:color w:val="010000"/>
          <w:sz w:val="24"/>
        </w:rPr>
        <w:t>(vii)</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Promptly after the occurrence thereof, notice of any material adverse change in the business, operations, property or financial or other condition of such Originator.</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40"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45" w:name="i43fc2054d074458099c7e12426fc46b6"/>
      <w:bookmarkEnd w:id="145"/>
      <w:r>
        <w:rPr>
          <w:rFonts w:ascii="Times New Roman;serif" w:hAnsi="Times New Roman;serif"/>
          <w:b w:val="false"/>
          <w:color w:val="010000"/>
          <w:sz w:val="24"/>
        </w:rPr>
        <w:t>(d)</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Such Originator will carry on and conduct its business in substantially the same manner and in substantially the same fields of enterprise as it is presently conducted and in businesses reasonably similar or related thereto, and will do all things necessary to remain duly organized, validly existing and in good standing as a domestic organization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lineRule="auto" w:line="288" w:before="0" w:after="240"/>
        <w:ind w:left="0" w:right="0" w:firstLine="1440"/>
        <w:jc w:val="both"/>
        <w:rPr/>
      </w:pPr>
      <w:bookmarkStart w:id="146" w:name="i5501f63c1f0149788d1c2a5add06c694"/>
      <w:bookmarkEnd w:id="146"/>
      <w:r>
        <w:rPr>
          <w:rFonts w:ascii="Times New Roman;serif" w:hAnsi="Times New Roman;serif"/>
          <w:b w:val="false"/>
          <w:color w:val="010000"/>
          <w:sz w:val="24"/>
        </w:rPr>
        <w:t>(e)</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Such Originator will comply with all Applicable Laws to which it may be subject if the failure to comply could reasonably be expected to have a Material Adverse Effect.</w:t>
      </w:r>
    </w:p>
    <w:p>
      <w:pPr>
        <w:pStyle w:val="TextBody"/>
        <w:bidi w:val="0"/>
        <w:spacing w:lineRule="auto" w:line="288" w:before="0" w:after="240"/>
        <w:ind w:left="0" w:right="0" w:firstLine="1440"/>
        <w:jc w:val="both"/>
        <w:rPr/>
      </w:pPr>
      <w:bookmarkStart w:id="147" w:name="i4267ef880c3c45c289582c70cf2c9a77"/>
      <w:bookmarkEnd w:id="147"/>
      <w:r>
        <w:rPr>
          <w:rFonts w:ascii="Times New Roman;serif" w:hAnsi="Times New Roman;serif"/>
          <w:b w:val="false"/>
          <w:color w:val="010000"/>
          <w:sz w:val="24"/>
        </w:rPr>
        <w:t>(f)</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Such Originator will furnish or cause to be furnished to the Buyer, Administrative Agent and each Group Agent from time to time such information with respect to the Pool Receivables and the Related Rights as the Administrative Agent or any Group Agent may reasonably request. Such Originator will, (i) at such Originator’s expense, during regular business hours with prior written notice permit the Administrative Agent and each Group Agent or their respective agents or representatives to (A) examine and make copies of and abstracts from all books and records relating to the Pool Receivables and the Related Rights, (B) visit the offices and properties of such Originator for the purpose of examining such books and records and (C) discuss matters relating to the Pool Receivables and the Related Rights or such Originator’s performance hereunder or under the other Transaction Documents to which it is a party with any of the officers, directors, employees or independent public accountants of such Originator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such Originator’s expense, upon prior written notice from the Administrative Agent, permit certified public accountants or other auditors acceptable to the Buyer and the Administrative Agent to conduct a review of its books and records with respect to such Pool Receivables and the Related Rights;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Originator shall be required to reimburse the Buyer and Administrative Agent for only one (1) such review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in any twelve-month period, unless a Purchase and Sale Termination Event or an Event of Default has occurred and is continuing.</w:t>
      </w:r>
    </w:p>
    <w:p>
      <w:pPr>
        <w:pStyle w:val="TextBody"/>
        <w:bidi w:val="0"/>
        <w:spacing w:lineRule="auto" w:line="288" w:before="0" w:after="240"/>
        <w:ind w:left="0" w:right="0" w:firstLine="1440"/>
        <w:jc w:val="both"/>
        <w:rPr/>
      </w:pPr>
      <w:bookmarkStart w:id="148" w:name="i7a79cfc4e80f4b2a87ff996660552f77"/>
      <w:bookmarkEnd w:id="148"/>
      <w:r>
        <w:rPr>
          <w:rFonts w:ascii="Times New Roman;serif" w:hAnsi="Times New Roman;serif"/>
          <w:b w:val="false"/>
          <w:color w:val="010000"/>
          <w:sz w:val="24"/>
        </w:rPr>
        <w:t>(g)</w:t>
      </w:r>
      <w:r>
        <w:rPr>
          <w:rFonts w:ascii="Times New Roman;serif" w:hAnsi="Times New Roman;serif"/>
          <w:b w:val="false"/>
          <w:color w:val="000000"/>
          <w:sz w:val="24"/>
          <w:u w:val="single"/>
        </w:rPr>
        <w:t>Payments on Receivables, Collection Accounts.</w:t>
      </w:r>
      <w:r>
        <w:rPr>
          <w:color w:val="000000"/>
        </w:rPr>
        <w:t xml:space="preserve"> </w:t>
      </w:r>
      <w:r>
        <w:rPr>
          <w:rFonts w:ascii="Times New Roman;serif" w:hAnsi="Times New Roman;serif"/>
          <w:b w:val="false"/>
          <w:color w:val="000000"/>
          <w:sz w:val="24"/>
        </w:rPr>
        <w:t xml:space="preserve">Such Originator (or the Servicer or a Sub-Servicer on its behalf) will, at all times, instruct all Obligors to deliver payments on the Pool Receivables (originated by such Originator) to a Collection Account or a Lock-Box. Such Originator (or the Servicer or a Sub-Servicer on its behalf) will, at all times, maintain such books and records as are necessary to identify Collections received from time to time on Pool Receivables originated by such Originator and to segregate such Collections from other property of the Servicer, the Sub-Servicers and the other Originators. If any payments on such Pool Receivables or other Collections are received by such Originator, it shall hold such payments in trust for the benefit of the Buyer, the Administrative Agent, the Group Agents and the other Secured Parties and promptly (but in any event within two (2) Business Days after receipt) remit such funds into a Collection Account. Such Originator shall not permit funds other than Collections on Pool Receivables and other Collateral to be deposited into any Collection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1"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Account. If such funds are nevertheless deposited into any Collection Account, such Originator (or the Servicer or Sub-Servicer on its behalf) shall within two (2) Business Days, (x) identify and transfer such funds to the appropriate Person entitled to such funds and (y) instruct such Person to no longer deposit any such funds into any such Collection Account. Such Originator will not, and will not permit the Servicer, any Sub-Servicer, any other Originator or any other Person to commingle Collections or other funds to which the Administrative Agent, any Group Agent or any other Secured Party is entitled with any other funds.</w:t>
      </w:r>
    </w:p>
    <w:p>
      <w:pPr>
        <w:pStyle w:val="TextBody"/>
        <w:bidi w:val="0"/>
        <w:spacing w:lineRule="auto" w:line="288" w:before="0" w:after="240"/>
        <w:ind w:left="0" w:right="0" w:firstLine="1440"/>
        <w:jc w:val="both"/>
        <w:rPr/>
      </w:pPr>
      <w:bookmarkStart w:id="149" w:name="i6a7d026808864b9580e27fde20ddeab7"/>
      <w:bookmarkEnd w:id="149"/>
      <w:r>
        <w:rPr>
          <w:rFonts w:ascii="Times New Roman;serif" w:hAnsi="Times New Roman;serif"/>
          <w:b w:val="false"/>
          <w:color w:val="010000"/>
          <w:sz w:val="24"/>
        </w:rPr>
        <w:t>(h)</w:t>
      </w:r>
      <w:r>
        <w:rPr>
          <w:rFonts w:ascii="Times New Roman;serif" w:hAnsi="Times New Roman;serif"/>
          <w:b w:val="false"/>
          <w:color w:val="000000"/>
          <w:sz w:val="24"/>
          <w:u w:val="single"/>
        </w:rPr>
        <w:t>Sales, Liens, etc</w:t>
      </w:r>
      <w:r>
        <w:rPr>
          <w:rFonts w:ascii="Times New Roman;serif" w:hAnsi="Times New Roman;serif"/>
          <w:b w:val="false"/>
          <w:color w:val="000000"/>
          <w:sz w:val="24"/>
        </w:rPr>
        <w:t>. Except as otherwise provided herein, such Originator will not sell, assign (by operation of law or otherwise) or otherwise dispose of, or create or suffer to exist any Adverse Claim upon (including, without limitation, the filing of any financing statement) or with respect to, any Pool Receivable originated by such Originator or other Related Rights, or assign any right to receive income in respect thereof.</w:t>
      </w:r>
    </w:p>
    <w:p>
      <w:pPr>
        <w:pStyle w:val="TextBody"/>
        <w:bidi w:val="0"/>
        <w:spacing w:lineRule="auto" w:line="288" w:before="0" w:after="240"/>
        <w:ind w:left="0" w:right="0" w:firstLine="1440"/>
        <w:jc w:val="both"/>
        <w:rPr/>
      </w:pPr>
      <w:bookmarkStart w:id="150" w:name="i122a3062ee71473a89024fbe8e3ee09e"/>
      <w:bookmarkEnd w:id="150"/>
      <w:r>
        <w:rPr>
          <w:rFonts w:ascii="Times New Roman;serif" w:hAnsi="Times New Roman;serif"/>
          <w:b w:val="false"/>
          <w:color w:val="010000"/>
          <w:sz w:val="24"/>
        </w:rPr>
        <w:t>(i)</w:t>
      </w:r>
      <w:r>
        <w:rPr>
          <w:rFonts w:ascii="Times New Roman;serif" w:hAnsi="Times New Roman;serif"/>
          <w:b w:val="false"/>
          <w:color w:val="000000"/>
          <w:sz w:val="24"/>
          <w:u w:val="single"/>
        </w:rPr>
        <w:t>Extension or Amendment of Pool Receivables</w:t>
      </w:r>
      <w:r>
        <w:rPr>
          <w:rFonts w:ascii="Times New Roman;serif" w:hAnsi="Times New Roman;serif"/>
          <w:b w:val="false"/>
          <w:color w:val="000000"/>
          <w:sz w:val="24"/>
        </w:rPr>
        <w:t>. Except as otherwise permitted by the Receivables Financing Agreement, such Originator will not, and will not permit the Servicer or any Sub-Servicer to, alter the delinquency status or adjust the Outstanding Balance or otherwise modify the terms of any Pool Receivable originated by such Originator in any material respect, or amend, modify or waive, in any material respect, any term or condition of any related Contract. Such Originator shall at its expense, timely and fully perform and comply in all material respects with all provisions, covenants and other promises required to be observed by it under the Contracts related to the Pool Receivables originated by such Originator, and timely and fully comply with the Credit and Collection Procedures with regard to each Pool Receivable and the related Contract.</w:t>
      </w:r>
    </w:p>
    <w:p>
      <w:pPr>
        <w:pStyle w:val="TextBody"/>
        <w:bidi w:val="0"/>
        <w:spacing w:lineRule="auto" w:line="288" w:before="0" w:after="240"/>
        <w:ind w:left="0" w:right="0" w:firstLine="1440"/>
        <w:jc w:val="both"/>
        <w:rPr/>
      </w:pPr>
      <w:bookmarkStart w:id="151" w:name="id86bed6320064544baa456d9b09d4c0b"/>
      <w:bookmarkEnd w:id="151"/>
      <w:r>
        <w:rPr>
          <w:rFonts w:ascii="Times New Roman;serif" w:hAnsi="Times New Roman;serif"/>
          <w:b w:val="false"/>
          <w:color w:val="010000"/>
          <w:sz w:val="24"/>
        </w:rPr>
        <w:t>(j)</w:t>
      </w:r>
      <w:r>
        <w:rPr>
          <w:rFonts w:ascii="Times New Roman;serif" w:hAnsi="Times New Roman;serif"/>
          <w:b w:val="false"/>
          <w:color w:val="000000"/>
          <w:sz w:val="24"/>
          <w:u w:val="single"/>
        </w:rPr>
        <w:t>Change in Credit and Collection Procedures</w:t>
      </w:r>
      <w:r>
        <w:rPr>
          <w:rFonts w:ascii="Times New Roman;serif" w:hAnsi="Times New Roman;serif"/>
          <w:b w:val="false"/>
          <w:color w:val="000000"/>
          <w:sz w:val="24"/>
        </w:rPr>
        <w:t>. Such Originator will not make any change that could be reasonably expected to have a Material Adverse Effect in the Credit and Collection Procedures without the prior written consent of the Administrative Agent and the Majority Group Agents, which consent shall not be unreasonably withheld or delayed. Promptly following any change in the Credit and Collection Procedures, such Originator will deliver a copy of the updated Credit and Collection Procedures to the Buyer, Administrative Agent and each Lender.</w:t>
      </w:r>
    </w:p>
    <w:p>
      <w:pPr>
        <w:pStyle w:val="TextBody"/>
        <w:bidi w:val="0"/>
        <w:spacing w:lineRule="auto" w:line="288" w:before="0" w:after="240"/>
        <w:ind w:left="0" w:right="0" w:firstLine="1440"/>
        <w:jc w:val="both"/>
        <w:rPr/>
      </w:pPr>
      <w:bookmarkStart w:id="152" w:name="i64efbeca4f59423cb14eee27f37fc6a5"/>
      <w:bookmarkEnd w:id="152"/>
      <w:r>
        <w:rPr>
          <w:rFonts w:ascii="Times New Roman;serif" w:hAnsi="Times New Roman;serif"/>
          <w:b w:val="false"/>
          <w:color w:val="010000"/>
          <w:sz w:val="24"/>
        </w:rPr>
        <w:t>(k)</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Such Originator shall maintain and implement (or cause the Servicer to maintain and implement) administrative and operating procedures (including an ability to recreate records evidencing Pool Receivables originated by such Originator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originated by such Originator (including records adequate to permit the daily identification of each Pool Receivable originated by such Originator and all Collections of and adjustments to each existing Pool Receivable originated by such Originator).</w:t>
      </w:r>
    </w:p>
    <w:p>
      <w:pPr>
        <w:pStyle w:val="TextBody"/>
        <w:bidi w:val="0"/>
        <w:spacing w:lineRule="auto" w:line="288" w:before="0" w:after="240"/>
        <w:ind w:left="0" w:right="0" w:firstLine="1440"/>
        <w:jc w:val="both"/>
        <w:rPr/>
      </w:pPr>
      <w:bookmarkStart w:id="153" w:name="i924c84b7d9b74ccdaf97b11ec5e72bfd"/>
      <w:bookmarkEnd w:id="153"/>
      <w:r>
        <w:rPr>
          <w:rFonts w:ascii="Times New Roman;serif" w:hAnsi="Times New Roman;serif"/>
          <w:b w:val="false"/>
          <w:color w:val="010000"/>
          <w:sz w:val="24"/>
        </w:rPr>
        <w:t>(l)</w:t>
      </w:r>
      <w:r>
        <w:rPr>
          <w:rFonts w:ascii="Times New Roman;serif" w:hAnsi="Times New Roman;serif"/>
          <w:b w:val="false"/>
          <w:color w:val="000000"/>
          <w:sz w:val="24"/>
          <w:u w:val="single"/>
        </w:rPr>
        <w:t>Identification of Records</w:t>
      </w:r>
      <w:r>
        <w:rPr>
          <w:rFonts w:ascii="Times New Roman;serif" w:hAnsi="Times New Roman;serif"/>
          <w:b w:val="false"/>
          <w:color w:val="000000"/>
          <w:sz w:val="24"/>
        </w:rPr>
        <w:t xml:space="preserve">. Such Originator shall identify (or cause the Servicer to identify) its master data processing records relating to Pool Receivables and related Contracts originated by such Originator with a legend that indicates that the Pool Receivables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2"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have been sold or contributed in accordance with this Agreement and pledged in accordance with the Receivables Financing Agreement.</w:t>
      </w:r>
    </w:p>
    <w:p>
      <w:pPr>
        <w:pStyle w:val="TextBody"/>
        <w:bidi w:val="0"/>
        <w:spacing w:lineRule="auto" w:line="288" w:before="0" w:after="240"/>
        <w:ind w:left="0" w:right="0" w:firstLine="1440"/>
        <w:jc w:val="both"/>
        <w:rPr/>
      </w:pPr>
      <w:bookmarkStart w:id="154" w:name="i5be0a6ed6c4049778d2f2191a76eba66"/>
      <w:bookmarkEnd w:id="154"/>
      <w:r>
        <w:rPr>
          <w:rFonts w:ascii="Times New Roman;serif" w:hAnsi="Times New Roman;serif"/>
          <w:b w:val="false"/>
          <w:color w:val="010000"/>
          <w:sz w:val="24"/>
        </w:rPr>
        <w:t>(m)</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Such Originator shall not make any change in its (or their) instructions to the Obligors regarding payments to be made to the Collection Accounts (or any related Lock-Box), other than any instruction to remit payments to a different Collection Account (or any related Lock-Box).</w:t>
      </w:r>
    </w:p>
    <w:p>
      <w:pPr>
        <w:pStyle w:val="TextBody"/>
        <w:bidi w:val="0"/>
        <w:spacing w:lineRule="auto" w:line="288" w:before="0" w:after="240"/>
        <w:ind w:left="0" w:right="0" w:firstLine="1440"/>
        <w:jc w:val="both"/>
        <w:rPr/>
      </w:pPr>
      <w:bookmarkStart w:id="155" w:name="i285abdd3c2d9433c8235317cf8a0dd12"/>
      <w:bookmarkEnd w:id="155"/>
      <w:r>
        <w:rPr>
          <w:rFonts w:ascii="Times New Roman;serif" w:hAnsi="Times New Roman;serif"/>
          <w:b w:val="false"/>
          <w:color w:val="010000"/>
          <w:sz w:val="24"/>
        </w:rPr>
        <w:t>(n)</w:t>
      </w:r>
      <w:r>
        <w:rPr>
          <w:rFonts w:ascii="Times New Roman;serif" w:hAnsi="Times New Roman;serif"/>
          <w:b w:val="false"/>
          <w:color w:val="000000"/>
          <w:sz w:val="24"/>
          <w:u w:val="single"/>
        </w:rPr>
        <w:t>Security Interest, Etc</w:t>
      </w:r>
      <w:r>
        <w:rPr>
          <w:rFonts w:ascii="Times New Roman;serif" w:hAnsi="Times New Roman;serif"/>
          <w:b w:val="false"/>
          <w:color w:val="000000"/>
          <w:sz w:val="24"/>
        </w:rPr>
        <w:t>. Such Originator shall (and shall cause the Servicer to), at its expense, take all action necessary or reasonably desirable to establish and maintain a valid and enforceable first priority perfected security interest (within the meaning of the applicable UCC) in the Receivables and the Related Rights, in each case free and clear of any Adverse Claim, in favor of the Buyer, including taking such action to perfect, protect or more fully evidence the security interest of the Buyer. In order to evidence the security interests (within the meaning of the applicable UCC) of the Buyer under this Agreement, such Originator shall, from time to time take such action, or execute and deliver such instruments as may be necessary (including, without limitation, such actions as are reasonably requested by the Buyer or by the Administrative Agent) to maintain and perfect, as a first-priority interest, the Buyer’s security interest (within the meaning of the applicable UCC) in the Receivables, Related Security and Collections. Such Originator shall, from time to time and within the time limits established by law, prepare and present to the Buyer and the Administrative Agent for the Administrative Agent’s authorization and approval, all financing statements, amendments, continuations or initial financing statements in lieu of a continuation statement, or other filings necessary to continue, maintain and perfect the Buyer’s security interest (within the meaning of the applicable UCC) as a first-priority interest. Notwithstanding anything else in the Transaction Documents to the contrary, such Originator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88" w:before="0" w:after="240"/>
        <w:ind w:left="0" w:right="0" w:firstLine="1440"/>
        <w:jc w:val="both"/>
        <w:rPr/>
      </w:pPr>
      <w:bookmarkStart w:id="156" w:name="i5371fdb56ce54113b89ed7fcb1745ae1"/>
      <w:bookmarkEnd w:id="156"/>
      <w:r>
        <w:rPr>
          <w:rFonts w:ascii="Times New Roman;serif" w:hAnsi="Times New Roman;serif"/>
          <w:b w:val="false"/>
          <w:color w:val="010000"/>
          <w:sz w:val="24"/>
        </w:rPr>
        <w:t>(o)</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bookmarkStart w:id="157" w:name="i7184c985a0434c76b37e3e21fb81cb0d"/>
      <w:bookmarkEnd w:id="157"/>
      <w:r>
        <w:rPr>
          <w:rFonts w:ascii="Times New Roman;serif" w:hAnsi="Times New Roman;serif"/>
          <w:b w:val="false"/>
          <w:color w:val="010000"/>
          <w:sz w:val="24"/>
        </w:rPr>
        <w:t>(i)</w:t>
      </w:r>
      <w:r>
        <w:rPr>
          <w:rFonts w:ascii="Times New Roman;serif" w:hAnsi="Times New Roman;serif"/>
          <w:b w:val="false"/>
          <w:color w:val="000000"/>
          <w:sz w:val="24"/>
        </w:rPr>
        <w:t>Such Originator hereby authorizes and hereby agrees from time to time, at its own expense, promptly to execute (if necessary) and deliver all further instruments and documents, and to take all further actions, that may be necessary or desirable, or that the Buyer or the Administrative Agent may reasonably request, to perfect, protect or more fully evidence purchases or contributions made hereunder, or to enable the Buyer or the Administrative Agent (on behalf of the Secured Parties) to exercise and enforce their respective rights and remedies under this Agreement or any other Transaction Document. Without limiting the foregoing, such Originator hereby authorizes, and will, upon the request of the Buyer or the Administrative Agent, at such Originator’s own expense, execute (if necessary) and file such financing statements or continuation statements, or amendments thereto, and such other instruments and documents, that may be necessary or desirable, or that the Buyer or Administrative Agent may reasonably request, to perfect, protect or evidence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58" w:name="ic9f5d4caab454c82815083fafd3be116"/>
      <w:bookmarkEnd w:id="158"/>
      <w:r>
        <w:rPr>
          <w:rFonts w:ascii="Times New Roman;serif" w:hAnsi="Times New Roman;serif"/>
          <w:b w:val="false"/>
          <w:color w:val="010000"/>
          <w:sz w:val="24"/>
        </w:rPr>
        <w:t>(ii)</w:t>
      </w:r>
      <w:r>
        <w:rPr>
          <w:rFonts w:ascii="Times New Roman;serif" w:hAnsi="Times New Roman;serif"/>
          <w:b w:val="false"/>
          <w:color w:val="000000"/>
          <w:sz w:val="24"/>
        </w:rPr>
        <w:t>Such Originator authorizes the Buyer and the Administrative Agent to file financing statements, continuation statements and amendments thereto and assignments thereof relating to the Receivables, the Related Security and the related Contracts, Collections with respect thereto.</w:t>
      </w:r>
    </w:p>
    <w:p>
      <w:pPr>
        <w:pStyle w:val="TextBody"/>
        <w:bidi w:val="0"/>
        <w:spacing w:lineRule="auto" w:line="288" w:before="0" w:after="240"/>
        <w:ind w:left="0" w:right="0" w:firstLine="1440"/>
        <w:jc w:val="both"/>
        <w:rPr/>
      </w:pPr>
      <w:bookmarkStart w:id="159" w:name="i6fa054f323864e4789d1a8a3be120d9d"/>
      <w:bookmarkEnd w:id="159"/>
      <w:r>
        <w:rPr>
          <w:rFonts w:ascii="Times New Roman;serif" w:hAnsi="Times New Roman;serif"/>
          <w:b w:val="false"/>
          <w:color w:val="010000"/>
          <w:sz w:val="24"/>
        </w:rPr>
        <w:t>(p)</w:t>
      </w:r>
      <w:r>
        <w:rPr>
          <w:rFonts w:ascii="Times New Roman;serif" w:hAnsi="Times New Roman;serif"/>
          <w:b w:val="false"/>
          <w:color w:val="000000"/>
          <w:sz w:val="24"/>
          <w:u w:val="single"/>
        </w:rPr>
        <w:t>Transaction Information</w:t>
      </w:r>
      <w:r>
        <w:rPr>
          <w:rFonts w:ascii="Times New Roman;serif" w:hAnsi="Times New Roman;serif"/>
          <w:b w:val="false"/>
          <w:color w:val="000000"/>
          <w:sz w:val="24"/>
        </w:rPr>
        <w:t>. None of the Originators, any Affiliate of an Originator or any third party with which an Originator or any Affiliate thereof has contracted,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bidi w:val="0"/>
        <w:spacing w:lineRule="auto" w:line="288" w:before="0" w:after="240"/>
        <w:ind w:left="0" w:right="0" w:firstLine="1440"/>
        <w:jc w:val="both"/>
        <w:rPr/>
      </w:pPr>
      <w:bookmarkStart w:id="160" w:name="if7691c3e948948fcb9d1319882f3d78a"/>
      <w:bookmarkEnd w:id="160"/>
      <w:r>
        <w:rPr>
          <w:rFonts w:ascii="Times New Roman;serif" w:hAnsi="Times New Roman;serif"/>
          <w:b w:val="false"/>
          <w:color w:val="010000"/>
          <w:sz w:val="24"/>
        </w:rPr>
        <w:t>(q)</w:t>
      </w:r>
      <w:r>
        <w:rPr>
          <w:rFonts w:ascii="Times New Roman;serif" w:hAnsi="Times New Roman;serif"/>
          <w:b w:val="false"/>
          <w:color w:val="000000"/>
          <w:sz w:val="24"/>
          <w:u w:val="single"/>
        </w:rPr>
        <w:t>Sanctions/Anti-Corruption Laws/Anti-Money Laundering Laws/International Trade Laws</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bookmarkStart w:id="161" w:name="i9d2686e6ab1b43388839dadf2e47d058"/>
      <w:bookmarkEnd w:id="161"/>
      <w:r>
        <w:rPr>
          <w:rFonts w:ascii="Times New Roman;serif" w:hAnsi="Times New Roman;serif"/>
          <w:b w:val="false"/>
          <w:color w:val="010000"/>
          <w:sz w:val="24"/>
        </w:rPr>
        <w:t>(i)</w:t>
      </w:r>
      <w:r>
        <w:rPr>
          <w:rFonts w:ascii="Times New Roman;serif" w:hAnsi="Times New Roman;serif"/>
          <w:b w:val="false"/>
          <w:color w:val="000000"/>
          <w:sz w:val="24"/>
        </w:rPr>
        <w:t>Such Originator shall: (A) promptly notify the Administrative Agent in the event that any Collateral becomes Covered Property;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such Originator, each of such Originator’s directors and officers, and any employee, agent or Affiliate acting on behalf of such Originator in connection with this Agreement; and (C) not, and not permit any of such Originator’s agents or Affiliates acting on behalf of such Originator in connection with this Agreement to, (I) become a Sanctioned Person or (II) repay in whole or in part any Loan hereunder with proceeds derived from investments in or transactions with any Sanctioned Jurisdiction or Sanctioned Person, or otherwise, in violation of Sanctions.</w:t>
      </w:r>
    </w:p>
    <w:p>
      <w:pPr>
        <w:pStyle w:val="TextBody"/>
        <w:bidi w:val="0"/>
        <w:spacing w:lineRule="auto" w:line="288" w:before="0" w:after="240"/>
        <w:ind w:left="0" w:right="0" w:firstLine="2160"/>
        <w:jc w:val="both"/>
        <w:rPr/>
      </w:pPr>
      <w:bookmarkStart w:id="162" w:name="i5da812a4ac654ceeb39c21f2e836a16c"/>
      <w:bookmarkEnd w:id="162"/>
      <w:r>
        <w:rPr>
          <w:rFonts w:ascii="Times New Roman;serif" w:hAnsi="Times New Roman;serif"/>
          <w:b w:val="false"/>
          <w:color w:val="010000"/>
          <w:sz w:val="24"/>
        </w:rPr>
        <w:t>(ii)</w:t>
      </w:r>
      <w:r>
        <w:rPr>
          <w:rFonts w:ascii="Times New Roman;serif" w:hAnsi="Times New Roman;serif"/>
          <w:b w:val="false"/>
          <w:color w:val="000000"/>
          <w:sz w:val="24"/>
        </w:rPr>
        <w:t>Such Originator shall promptly notify the Administrative Agent in the event such Originator learns that such Originator or any of such Originator’s directors or officers, or any employee, or to the knowledge of such Originator, any of such Originator’s agents or Affiliates acting on behalf of such Originator in connection with this Agreement: (A) becomes a Sanctioned Person; (B) directly or indirectly (through a third party or otherwise) provides, uses, or makes available the proceeds of any Purchase Price hereunder (1) to fund or facilitate any activities or business of, with, or for the benefit of any Sanctioned Person, (2) to fund or facilitate any activities or business of or in any Sanctioned Jurisdiction, or (3)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violates Sanctions; or (D) does business in or with, or derive any of its income, directly or indirectly, from any Sanctioned Jurisdiction or Sanctioned Person.</w:t>
      </w:r>
    </w:p>
    <w:p>
      <w:pPr>
        <w:pStyle w:val="TextBody"/>
        <w:bidi w:val="0"/>
        <w:spacing w:lineRule="auto" w:line="288" w:before="0" w:after="240"/>
        <w:ind w:left="0" w:right="0" w:firstLine="1440"/>
        <w:jc w:val="both"/>
        <w:rPr/>
      </w:pPr>
      <w:bookmarkStart w:id="163" w:name="i47b51ed477b34838b2599db3bacb3c9b"/>
      <w:bookmarkEnd w:id="163"/>
      <w:r>
        <w:rPr>
          <w:rFonts w:ascii="Times New Roman;serif" w:hAnsi="Times New Roman;serif"/>
          <w:b w:val="false"/>
          <w:color w:val="010000"/>
          <w:sz w:val="24"/>
        </w:rPr>
        <w:t>(r)</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Such Originator shall not make any change in its name or location of organization or any other change in its identity or corporate structure that could impair or otherwise render any UCC financing statement filed in connection with this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Agreement or the Receivables Financing Agreement “seriously misleading” as such term (or similar term) is used in the applicable UCC, in each case, unless the Buyer, the Administrative Agent and each Group Agent have each (A) received thirty (30) days’ prior notice thereof, (B) consented in writing thereto (such consent not to be unreasonably withheld), (C) received executed copies of all documents, certificates and opinions (including, without limitation, opinions relating to bankruptcy and UCC matters) as the Buyer or the Administrative Agent shall reasonably request and (D) been reasonably satisfied that all other action to perfect and protect the interests of the Buyer and the Administrative Agent, on behalf of the Lenders, in and to the Receivables to be sold by it hereunder and other Related Rights, as reasonably requested by the Buyer or the Administrative Agent shall have been taken by, and at the expense of, such Originator (including the filing of any UCC financing statements, the receipt of certificates and other requested documents from public officials and all such other actions required pursuant to </w:t>
      </w:r>
      <w:r>
        <w:rPr>
          <w:rFonts w:ascii="Times New Roman;serif" w:hAnsi="Times New Roman;serif"/>
          <w:b w:val="false"/>
          <w:color w:val="000000"/>
          <w:sz w:val="24"/>
          <w:u w:val="single"/>
        </w:rPr>
        <w:t>Section 7.3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64" w:name="i9e45acf0b0244d679a4ef2fc5d6c71e7"/>
      <w:bookmarkEnd w:id="164"/>
      <w:r>
        <w:rPr>
          <w:rFonts w:ascii="Times New Roman;serif" w:hAnsi="Times New Roman;serif"/>
          <w:b w:val="false"/>
          <w:color w:val="010000"/>
          <w:sz w:val="24"/>
        </w:rPr>
        <w:t>(s)</w:t>
      </w:r>
      <w:r>
        <w:rPr>
          <w:rFonts w:ascii="Times New Roman;serif" w:hAnsi="Times New Roman;serif"/>
          <w:b w:val="false"/>
          <w:color w:val="000000"/>
          <w:sz w:val="24"/>
          <w:u w:val="single"/>
        </w:rPr>
        <w:t>Certain Agreements</w:t>
      </w:r>
      <w:r>
        <w:rPr>
          <w:rFonts w:ascii="Times New Roman;serif" w:hAnsi="Times New Roman;serif"/>
          <w:b w:val="false"/>
          <w:color w:val="000000"/>
          <w:sz w:val="24"/>
        </w:rPr>
        <w:t>. Without the prior written consent of the Administrative Agent and the Majority Group Agents, such Originator shall not amend, modify, waive, revoke or terminate any Transaction Document to which it is a party.</w:t>
      </w:r>
    </w:p>
    <w:p>
      <w:pPr>
        <w:pStyle w:val="TextBody"/>
        <w:bidi w:val="0"/>
        <w:spacing w:lineRule="auto" w:line="288" w:before="0" w:after="240"/>
        <w:ind w:left="0" w:right="0" w:firstLine="1440"/>
        <w:jc w:val="both"/>
        <w:rPr/>
      </w:pPr>
      <w:bookmarkStart w:id="165" w:name="i00bff18b4ad541f6a7e14ed2453954bd"/>
      <w:bookmarkEnd w:id="165"/>
      <w:r>
        <w:rPr>
          <w:rFonts w:ascii="Times New Roman;serif" w:hAnsi="Times New Roman;serif"/>
          <w:b w:val="false"/>
          <w:color w:val="010000"/>
          <w:sz w:val="24"/>
        </w:rPr>
        <w:t>(t)</w:t>
      </w:r>
      <w:r>
        <w:rPr>
          <w:rFonts w:ascii="Times New Roman;serif" w:hAnsi="Times New Roman;serif"/>
          <w:b w:val="false"/>
          <w:color w:val="000000"/>
          <w:sz w:val="24"/>
          <w:u w:val="single"/>
        </w:rPr>
        <w:t>Mergers, Acquisitions, Sales, etc</w:t>
      </w:r>
      <w:r>
        <w:rPr>
          <w:rFonts w:ascii="Times New Roman;serif" w:hAnsi="Times New Roman;serif"/>
          <w:b w:val="false"/>
          <w:color w:val="000000"/>
          <w:sz w:val="24"/>
        </w:rPr>
        <w:t xml:space="preserve">. No Originator shall (i) be a party to any merger, consolidation or other restructuring, except where such a merger, consolidation or other restructuring (x) complies with terms of </w:t>
      </w:r>
      <w:r>
        <w:rPr>
          <w:rFonts w:ascii="Times New Roman;serif" w:hAnsi="Times New Roman;serif"/>
          <w:b w:val="false"/>
          <w:color w:val="000000"/>
          <w:sz w:val="24"/>
          <w:u w:val="single"/>
        </w:rPr>
        <w:t>Section 6(c)</w:t>
      </w:r>
      <w:r>
        <w:rPr>
          <w:color w:val="000000"/>
        </w:rPr>
        <w:t xml:space="preserve"> </w:t>
      </w:r>
      <w:r>
        <w:rPr>
          <w:rFonts w:ascii="Times New Roman;serif" w:hAnsi="Times New Roman;serif"/>
          <w:b w:val="false"/>
          <w:color w:val="000000"/>
          <w:sz w:val="24"/>
        </w:rPr>
        <w:t xml:space="preserve">of the Performance Guaranty or (y) where the Buyer, the Administrative Agent and each Group Agent have each (A) received thirty (30) days’ prior notice thereof, (B) consented in writing thereto (such consent not to be unreasonably withheld), (C) received executed copies of all documents, certificates and opinions (including, without limitation, opinions relating to bankruptcy and UCC matters) as the Buyer or the Administrative Agent shall reasonably request and (D) been reasonably satisfied that all other action to perfect and protect the interests of the Buyer and the Administrative Agent, on behalf of the Lenders, in and to the Receivables to be sold by it hereunder and other Related Rights, as reasonably requested by the Buyer or the Administrative Agent shall have been taken by, and at the expense of, such Originator (including the filing of any UCC financing statements, the receipt of certificates and other requested documents from public officials and all such other actions required pursuant to </w:t>
      </w:r>
      <w:r>
        <w:rPr>
          <w:rFonts w:ascii="Times New Roman;serif" w:hAnsi="Times New Roman;serif"/>
          <w:b w:val="false"/>
          <w:color w:val="000000"/>
          <w:sz w:val="24"/>
          <w:u w:val="single"/>
        </w:rPr>
        <w:t>Section 7.3</w:t>
      </w:r>
      <w:r>
        <w:rPr>
          <w:rFonts w:ascii="Times New Roman;serif" w:hAnsi="Times New Roman;serif"/>
          <w:b w:val="false"/>
          <w:color w:val="000000"/>
          <w:sz w:val="24"/>
        </w:rPr>
        <w:t>) or (ii) directly or indirectly sell, transfer, assign, convey or lease (A) whether in one or a series of transactions, all or substantially all of its assets or (B) any Receivables or any interest therein (other than pursuant to this Agreement).</w:t>
      </w:r>
    </w:p>
    <w:p>
      <w:pPr>
        <w:pStyle w:val="TextBody"/>
        <w:bidi w:val="0"/>
        <w:spacing w:lineRule="auto" w:line="288" w:before="0" w:after="240"/>
        <w:ind w:left="0" w:right="0" w:firstLine="1440"/>
        <w:jc w:val="both"/>
        <w:rPr/>
      </w:pPr>
      <w:bookmarkStart w:id="166" w:name="i2bd70797efc942618d623ca743fb15bc"/>
      <w:bookmarkEnd w:id="166"/>
      <w:r>
        <w:rPr>
          <w:rFonts w:ascii="Times New Roman;serif" w:hAnsi="Times New Roman;serif"/>
          <w:b w:val="false"/>
          <w:color w:val="010000"/>
          <w:sz w:val="24"/>
        </w:rPr>
        <w:t>(u)</w:t>
      </w:r>
      <w:r>
        <w:rPr>
          <w:rFonts w:ascii="Times New Roman;serif" w:hAnsi="Times New Roman;serif"/>
          <w:b w:val="false"/>
          <w:color w:val="000000"/>
          <w:sz w:val="24"/>
          <w:u w:val="single"/>
        </w:rPr>
        <w:t>Frequency of Billing</w:t>
      </w:r>
      <w:r>
        <w:rPr>
          <w:rFonts w:ascii="Times New Roman;serif" w:hAnsi="Times New Roman;serif"/>
          <w:b w:val="false"/>
          <w:color w:val="000000"/>
          <w:sz w:val="24"/>
        </w:rPr>
        <w:t>. Such Originator shall prepare and deliver (or cause to be prepared and delivered) invoices with respect to all Receivables in accordance with the Credit and Collection Procedures, but in any event no less frequently than as required under the Contract related to such Receivable.</w:t>
      </w:r>
    </w:p>
    <w:p>
      <w:pPr>
        <w:pStyle w:val="TextBody"/>
        <w:bidi w:val="0"/>
        <w:spacing w:lineRule="auto" w:line="288" w:before="0" w:after="240"/>
        <w:ind w:left="0" w:right="0" w:firstLine="1440"/>
        <w:jc w:val="both"/>
        <w:rPr/>
      </w:pPr>
      <w:bookmarkStart w:id="167" w:name="i3e083eeafd35442c804c7678c3b30c39"/>
      <w:bookmarkEnd w:id="167"/>
      <w:r>
        <w:rPr>
          <w:rFonts w:ascii="Times New Roman;serif" w:hAnsi="Times New Roman;serif"/>
          <w:b w:val="false"/>
          <w:color w:val="010000"/>
          <w:sz w:val="24"/>
        </w:rPr>
        <w:t>(v)</w:t>
      </w:r>
      <w:r>
        <w:rPr>
          <w:rFonts w:ascii="Times New Roman;serif" w:hAnsi="Times New Roman;serif"/>
          <w:b w:val="false"/>
          <w:color w:val="000000"/>
          <w:sz w:val="24"/>
          <w:u w:val="single"/>
        </w:rPr>
        <w:t>Receivables Not to Be Evidenced by Promissory Notes or Chattel Paper</w:t>
      </w:r>
      <w:r>
        <w:rPr>
          <w:rFonts w:ascii="Times New Roman;serif" w:hAnsi="Times New Roman;serif"/>
          <w:b w:val="false"/>
          <w:color w:val="000000"/>
          <w:sz w:val="24"/>
        </w:rPr>
        <w:t>. No Originator shall take any action to cause or permit any Receivable created, acquired or originated by it to become evidenced by any “instrument” or “chattel paper” (as defined in the applicable UCC) without the prior written consent of the Buyer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68" w:name="i448633317250432c9207e0f932281822"/>
      <w:bookmarkEnd w:id="168"/>
      <w:r>
        <w:rPr>
          <w:rFonts w:ascii="Times New Roman;serif" w:hAnsi="Times New Roman;serif"/>
          <w:b w:val="false"/>
          <w:color w:val="010000"/>
          <w:sz w:val="24"/>
        </w:rPr>
        <w:t>(w)</w:t>
      </w:r>
      <w:r>
        <w:rPr>
          <w:rFonts w:ascii="Times New Roman;serif" w:hAnsi="Times New Roman;serif"/>
          <w:b w:val="false"/>
          <w:color w:val="000000"/>
          <w:sz w:val="24"/>
          <w:u w:val="single"/>
        </w:rPr>
        <w:t>Insurance</w:t>
      </w:r>
      <w:r>
        <w:rPr>
          <w:rFonts w:ascii="Times New Roman;serif" w:hAnsi="Times New Roman;serif"/>
          <w:b w:val="false"/>
          <w:color w:val="000000"/>
          <w:sz w:val="24"/>
        </w:rPr>
        <w:t>. Such Originator will maintain in effect, at such Originator’s expense, such casualty and liability insurance as such Originator deems appropriate in its good faith business judgment.</w:t>
      </w:r>
    </w:p>
    <w:p>
      <w:pPr>
        <w:pStyle w:val="TextBody"/>
        <w:bidi w:val="0"/>
        <w:spacing w:lineRule="auto" w:line="288" w:before="0" w:after="240"/>
        <w:ind w:left="0" w:right="0" w:firstLine="1440"/>
        <w:jc w:val="both"/>
        <w:rPr/>
      </w:pPr>
      <w:bookmarkStart w:id="169" w:name="i55acfc6f39fc4c789008b49e7a3316f0"/>
      <w:bookmarkEnd w:id="169"/>
      <w:r>
        <w:rPr>
          <w:rFonts w:ascii="Times New Roman;serif" w:hAnsi="Times New Roman;serif"/>
          <w:b w:val="false"/>
          <w:color w:val="010000"/>
          <w:sz w:val="24"/>
        </w:rPr>
        <w:t>(x)</w:t>
      </w:r>
      <w:r>
        <w:rPr>
          <w:rFonts w:ascii="Times New Roman;serif" w:hAnsi="Times New Roman;serif"/>
          <w:b w:val="false"/>
          <w:color w:val="000000"/>
          <w:sz w:val="24"/>
          <w:u w:val="single"/>
        </w:rPr>
        <w:t>Subordinated Notes, Etc</w:t>
      </w:r>
      <w:r>
        <w:rPr>
          <w:rFonts w:ascii="Times New Roman;serif" w:hAnsi="Times New Roman;serif"/>
          <w:b w:val="false"/>
          <w:color w:val="000000"/>
          <w:sz w:val="24"/>
        </w:rPr>
        <w:t>. Such Originator will not sell, assign (by operation of law or otherwise) or otherwise dispose of, or grant any option with respect to, or create or suffer to exist any Adverse Claim upon (including, without limitation, the filing of any financing statement) or with respect to, the Subordinated Note issued to such Originator.</w:t>
      </w:r>
    </w:p>
    <w:p>
      <w:pPr>
        <w:pStyle w:val="TextBody"/>
        <w:bidi w:val="0"/>
        <w:spacing w:lineRule="auto" w:line="288" w:before="0" w:after="240"/>
        <w:ind w:left="0" w:right="0" w:firstLine="720"/>
        <w:jc w:val="both"/>
        <w:rPr/>
      </w:pPr>
      <w:bookmarkStart w:id="170" w:name="i6d8c2c2effed494287890699279610c4"/>
      <w:bookmarkEnd w:id="170"/>
      <w:r>
        <w:rPr>
          <w:rFonts w:ascii="Times New Roman;serif" w:hAnsi="Times New Roman;serif"/>
          <w:b w:val="false"/>
          <w:color w:val="010000"/>
          <w:sz w:val="24"/>
        </w:rPr>
        <w:t>SECTION 6.2</w:t>
      </w:r>
      <w:r>
        <w:rPr>
          <w:rFonts w:ascii="Times New Roman;serif" w:hAnsi="Times New Roman;serif"/>
          <w:b w:val="false"/>
          <w:color w:val="000000"/>
          <w:sz w:val="24"/>
          <w:u w:val="single"/>
        </w:rPr>
        <w:t>Separateness Covenants</w:t>
      </w:r>
      <w:r>
        <w:rPr>
          <w:rFonts w:ascii="Times New Roman;serif" w:hAnsi="Times New Roman;serif"/>
          <w:b w:val="false"/>
          <w:color w:val="000000"/>
          <w:sz w:val="24"/>
        </w:rPr>
        <w:t>. Each Originator hereby acknowledges that this Agreement and the other Transaction Documents are being entered into in reliance upon the Buyer’s identity as a legal entity separate from such Originator and its Affiliates. Therefore, from and after the date hereof, each Originator shall take all reasonable steps necessary to make it apparent to third Persons that the Buyer is an entity with assets and liabilities distinct from those of such Originator and any other Person, and is not a division of such Originator, its Affiliates or any other Person. Without limiting the generality of the foregoing and in addition to and consistent with the other covenants set forth herein, such Originator shall take such actions as shall be required in order that:</w:t>
      </w:r>
    </w:p>
    <w:p>
      <w:pPr>
        <w:pStyle w:val="TextBody"/>
        <w:bidi w:val="0"/>
        <w:spacing w:lineRule="auto" w:line="288" w:before="0" w:after="240"/>
        <w:ind w:left="0" w:right="0" w:firstLine="1440"/>
        <w:jc w:val="both"/>
        <w:rPr/>
      </w:pPr>
      <w:bookmarkStart w:id="171" w:name="ieb191d8d0961420ea3250cb0c39c2ff4"/>
      <w:bookmarkEnd w:id="171"/>
      <w:r>
        <w:rPr>
          <w:rFonts w:ascii="Times New Roman;serif" w:hAnsi="Times New Roman;serif"/>
          <w:b w:val="false"/>
          <w:color w:val="010000"/>
          <w:sz w:val="24"/>
        </w:rPr>
        <w:t>(a)</w:t>
      </w:r>
      <w:r>
        <w:rPr>
          <w:rFonts w:ascii="Times New Roman;serif" w:hAnsi="Times New Roman;serif"/>
          <w:b w:val="false"/>
          <w:color w:val="000000"/>
          <w:sz w:val="24"/>
        </w:rPr>
        <w:t>such Originator shall not be involved in the day to day management of the Buyer;</w:t>
      </w:r>
    </w:p>
    <w:p>
      <w:pPr>
        <w:pStyle w:val="TextBody"/>
        <w:bidi w:val="0"/>
        <w:spacing w:lineRule="auto" w:line="288" w:before="0" w:after="240"/>
        <w:ind w:left="0" w:right="0" w:firstLine="1440"/>
        <w:jc w:val="both"/>
        <w:rPr/>
      </w:pPr>
      <w:bookmarkStart w:id="172" w:name="ifde44e9aeb984fef997688d4f3f39df4"/>
      <w:bookmarkEnd w:id="172"/>
      <w:r>
        <w:rPr>
          <w:rFonts w:ascii="Times New Roman;serif" w:hAnsi="Times New Roman;serif"/>
          <w:b w:val="false"/>
          <w:color w:val="010000"/>
          <w:sz w:val="24"/>
        </w:rPr>
        <w:t>(b)</w:t>
      </w:r>
      <w:r>
        <w:rPr>
          <w:rFonts w:ascii="Times New Roman;serif" w:hAnsi="Times New Roman;serif"/>
          <w:b w:val="false"/>
          <w:color w:val="000000"/>
          <w:sz w:val="24"/>
        </w:rPr>
        <w:t>such Originator shall maintain separate corporate records and books of account from the Buyer and otherwise will observe corporate formalities and have a separate area from the Buyer for its business (which may be located at the same address as the Buyer, and, to the extent that it and the Buyer have offices in the same location, there shall be a fair and appropriate allocation of overhead costs between them, and each shall bear its fair share of such expenses);</w:t>
      </w:r>
    </w:p>
    <w:p>
      <w:pPr>
        <w:pStyle w:val="TextBody"/>
        <w:bidi w:val="0"/>
        <w:spacing w:lineRule="auto" w:line="288" w:before="0" w:after="240"/>
        <w:ind w:left="0" w:right="0" w:firstLine="1440"/>
        <w:jc w:val="both"/>
        <w:rPr/>
      </w:pPr>
      <w:bookmarkStart w:id="173" w:name="i91386f83bdfb47739a436574ce83d40a"/>
      <w:bookmarkEnd w:id="173"/>
      <w:r>
        <w:rPr>
          <w:rFonts w:ascii="Times New Roman;serif" w:hAnsi="Times New Roman;serif"/>
          <w:b w:val="false"/>
          <w:color w:val="010000"/>
          <w:sz w:val="24"/>
        </w:rPr>
        <w:t>(c)</w:t>
      </w:r>
      <w:r>
        <w:rPr>
          <w:rFonts w:ascii="Times New Roman;serif" w:hAnsi="Times New Roman;serif"/>
          <w:b w:val="false"/>
          <w:color w:val="000000"/>
          <w:sz w:val="24"/>
        </w:rPr>
        <w:t>the financial statements and books and records of such Originator shall be prepared after the date of creation of the Buyer to reflect and shall reflect the separate existence of the Buyer;</w:t>
      </w:r>
    </w:p>
    <w:p>
      <w:pPr>
        <w:pStyle w:val="TextBody"/>
        <w:bidi w:val="0"/>
        <w:spacing w:lineRule="auto" w:line="288" w:before="0" w:after="240"/>
        <w:ind w:left="0" w:right="0" w:firstLine="1440"/>
        <w:jc w:val="both"/>
        <w:rPr/>
      </w:pPr>
      <w:bookmarkStart w:id="174" w:name="idbb9d9a980bc41e484e9dd7cc1a9b842"/>
      <w:bookmarkEnd w:id="174"/>
      <w:r>
        <w:rPr>
          <w:rFonts w:ascii="Times New Roman;serif" w:hAnsi="Times New Roman;serif"/>
          <w:b w:val="false"/>
          <w:color w:val="010000"/>
          <w:sz w:val="24"/>
        </w:rPr>
        <w:t>(d)</w:t>
      </w:r>
      <w:r>
        <w:rPr>
          <w:rFonts w:ascii="Times New Roman;serif" w:hAnsi="Times New Roman;serif"/>
          <w:b w:val="false"/>
          <w:color w:val="000000"/>
          <w:sz w:val="24"/>
        </w:rPr>
        <w:t>except as permitted by the Receivables Financing Agreement, (i) such Originator shall maintain its assets (including, without limitation, deposit accounts) separately from the assets (including, without limitation, deposit accounts) of the Buyer and (ii) the Buyer’s assets, and records relating thereto, have not been, are not, and shall not be, commingled with those of the Buyer;</w:t>
      </w:r>
    </w:p>
    <w:p>
      <w:pPr>
        <w:pStyle w:val="TextBody"/>
        <w:bidi w:val="0"/>
        <w:spacing w:lineRule="auto" w:line="288" w:before="0" w:after="240"/>
        <w:ind w:left="0" w:right="0" w:firstLine="1440"/>
        <w:jc w:val="both"/>
        <w:rPr/>
      </w:pPr>
      <w:bookmarkStart w:id="175" w:name="i99f098cdf576406b90ce475582fa99f3"/>
      <w:bookmarkEnd w:id="175"/>
      <w:r>
        <w:rPr>
          <w:rFonts w:ascii="Times New Roman;serif" w:hAnsi="Times New Roman;serif"/>
          <w:b w:val="false"/>
          <w:color w:val="010000"/>
          <w:sz w:val="24"/>
        </w:rPr>
        <w:t>(e)</w:t>
      </w:r>
      <w:r>
        <w:rPr>
          <w:rFonts w:ascii="Times New Roman;serif" w:hAnsi="Times New Roman;serif"/>
          <w:b w:val="false"/>
          <w:color w:val="000000"/>
          <w:sz w:val="24"/>
        </w:rPr>
        <w:t>such Originator shall not act as an agent for the Buyer (except in the capacity of Servicer or a Sub-Servicer in accordance with the Transaction Documents);</w:t>
      </w:r>
    </w:p>
    <w:p>
      <w:pPr>
        <w:pStyle w:val="TextBody"/>
        <w:bidi w:val="0"/>
        <w:spacing w:lineRule="auto" w:line="288" w:before="0" w:after="240"/>
        <w:ind w:left="0" w:right="0" w:firstLine="1440"/>
        <w:jc w:val="both"/>
        <w:rPr/>
      </w:pPr>
      <w:bookmarkStart w:id="176" w:name="ic55a043b4abb4769a66ac0c34b68c36b"/>
      <w:bookmarkEnd w:id="176"/>
      <w:r>
        <w:rPr>
          <w:rFonts w:ascii="Times New Roman;serif" w:hAnsi="Times New Roman;serif"/>
          <w:b w:val="false"/>
          <w:color w:val="010000"/>
          <w:sz w:val="24"/>
        </w:rPr>
        <w:t>(f)</w:t>
      </w:r>
      <w:r>
        <w:rPr>
          <w:rFonts w:ascii="Times New Roman;serif" w:hAnsi="Times New Roman;serif"/>
          <w:b w:val="false"/>
          <w:color w:val="000000"/>
          <w:sz w:val="24"/>
        </w:rPr>
        <w:t>such Originator shall not conduct any of the business of the Buyer in its own name (except in the capacity of Servicer or a Sub-Servicer in accordance with the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177" w:name="ie539afedb90c4beca21621086fc1eba2"/>
      <w:bookmarkEnd w:id="177"/>
      <w:r>
        <w:rPr>
          <w:rFonts w:ascii="Times New Roman;serif" w:hAnsi="Times New Roman;serif"/>
          <w:b w:val="false"/>
          <w:color w:val="010000"/>
          <w:sz w:val="24"/>
        </w:rPr>
        <w:t>(g)</w:t>
      </w:r>
      <w:r>
        <w:rPr>
          <w:rFonts w:ascii="Times New Roman;serif" w:hAnsi="Times New Roman;serif"/>
          <w:b w:val="false"/>
          <w:color w:val="000000"/>
          <w:sz w:val="24"/>
        </w:rPr>
        <w:t>such Originator shall not pay any liabilities of the Buyer out of its own funds or assets;</w:t>
      </w:r>
    </w:p>
    <w:p>
      <w:pPr>
        <w:pStyle w:val="TextBody"/>
        <w:bidi w:val="0"/>
        <w:spacing w:lineRule="auto" w:line="288" w:before="0" w:after="240"/>
        <w:ind w:left="0" w:right="0" w:firstLine="1440"/>
        <w:jc w:val="both"/>
        <w:rPr/>
      </w:pPr>
      <w:bookmarkStart w:id="178" w:name="i1f7de47dabdf4f99944384b380abff92"/>
      <w:bookmarkEnd w:id="178"/>
      <w:r>
        <w:rPr>
          <w:rFonts w:ascii="Times New Roman;serif" w:hAnsi="Times New Roman;serif"/>
          <w:b w:val="false"/>
          <w:color w:val="010000"/>
          <w:sz w:val="24"/>
        </w:rPr>
        <w:t>(h)</w:t>
      </w:r>
      <w:r>
        <w:rPr>
          <w:rFonts w:ascii="Times New Roman;serif" w:hAnsi="Times New Roman;serif"/>
          <w:b w:val="false"/>
          <w:color w:val="000000"/>
          <w:sz w:val="24"/>
        </w:rPr>
        <w:t>such Originator shall maintain an arm’s-length relationship with the Buyer;</w:t>
      </w:r>
    </w:p>
    <w:p>
      <w:pPr>
        <w:pStyle w:val="TextBody"/>
        <w:bidi w:val="0"/>
        <w:spacing w:lineRule="auto" w:line="288" w:before="0" w:after="240"/>
        <w:ind w:left="0" w:right="0" w:firstLine="1440"/>
        <w:jc w:val="both"/>
        <w:rPr/>
      </w:pPr>
      <w:bookmarkStart w:id="179" w:name="ief7107f53f364bbd9245d0888ec237dd"/>
      <w:bookmarkEnd w:id="179"/>
      <w:r>
        <w:rPr>
          <w:rFonts w:ascii="Times New Roman;serif" w:hAnsi="Times New Roman;serif"/>
          <w:b w:val="false"/>
          <w:color w:val="010000"/>
          <w:sz w:val="24"/>
        </w:rPr>
        <w:t>(i)</w:t>
      </w:r>
      <w:r>
        <w:rPr>
          <w:rFonts w:ascii="Times New Roman;serif" w:hAnsi="Times New Roman;serif"/>
          <w:b w:val="false"/>
          <w:color w:val="000000"/>
          <w:sz w:val="24"/>
        </w:rPr>
        <w:t>such Originator shall not assume or guarantee or become obligated for the debts of the Buyer or hold out its credit as being available to satisfy the obligations of the Buyer;</w:t>
      </w:r>
    </w:p>
    <w:p>
      <w:pPr>
        <w:pStyle w:val="TextBody"/>
        <w:bidi w:val="0"/>
        <w:spacing w:lineRule="auto" w:line="288" w:before="0" w:after="240"/>
        <w:ind w:left="0" w:right="0" w:firstLine="1440"/>
        <w:jc w:val="both"/>
        <w:rPr/>
      </w:pPr>
      <w:bookmarkStart w:id="180" w:name="i2d84152d69504deeb2a94062eb682e4f"/>
      <w:bookmarkEnd w:id="180"/>
      <w:r>
        <w:rPr>
          <w:rFonts w:ascii="Times New Roman;serif" w:hAnsi="Times New Roman;serif"/>
          <w:b w:val="false"/>
          <w:color w:val="010000"/>
          <w:sz w:val="24"/>
        </w:rPr>
        <w:t>(j)</w:t>
      </w:r>
      <w:r>
        <w:rPr>
          <w:rFonts w:ascii="Times New Roman;serif" w:hAnsi="Times New Roman;serif"/>
          <w:b w:val="false"/>
          <w:color w:val="000000"/>
          <w:sz w:val="24"/>
        </w:rPr>
        <w:t>such Originator shall not acquire obligations of the Buyer (other than the Subordinated Notes);</w:t>
      </w:r>
    </w:p>
    <w:p>
      <w:pPr>
        <w:pStyle w:val="TextBody"/>
        <w:bidi w:val="0"/>
        <w:spacing w:lineRule="auto" w:line="288" w:before="0" w:after="240"/>
        <w:ind w:left="0" w:right="0" w:firstLine="1440"/>
        <w:jc w:val="both"/>
        <w:rPr/>
      </w:pPr>
      <w:bookmarkStart w:id="181" w:name="i973e84daf2db4c2fb9a648a9627c0120"/>
      <w:bookmarkEnd w:id="181"/>
      <w:r>
        <w:rPr>
          <w:rFonts w:ascii="Times New Roman;serif" w:hAnsi="Times New Roman;serif"/>
          <w:b w:val="false"/>
          <w:color w:val="010000"/>
          <w:sz w:val="24"/>
        </w:rPr>
        <w:t>(k)</w:t>
      </w:r>
      <w:r>
        <w:rPr>
          <w:rFonts w:ascii="Times New Roman;serif" w:hAnsi="Times New Roman;serif"/>
          <w:b w:val="false"/>
          <w:color w:val="000000"/>
          <w:sz w:val="24"/>
        </w:rPr>
        <w:t>such Originator shall allocate fairly and reasonably overhead or other expenses that are properly shared with the Buyer, including, without limitation, shared office space;</w:t>
      </w:r>
    </w:p>
    <w:p>
      <w:pPr>
        <w:pStyle w:val="TextBody"/>
        <w:bidi w:val="0"/>
        <w:spacing w:lineRule="auto" w:line="288" w:before="0" w:after="240"/>
        <w:ind w:left="0" w:right="0" w:firstLine="1440"/>
        <w:jc w:val="both"/>
        <w:rPr/>
      </w:pPr>
      <w:bookmarkStart w:id="182" w:name="i9c956fdf8abe46a7a5ed5580e7ad3258"/>
      <w:bookmarkEnd w:id="182"/>
      <w:r>
        <w:rPr>
          <w:rFonts w:ascii="Times New Roman;serif" w:hAnsi="Times New Roman;serif"/>
          <w:b w:val="false"/>
          <w:color w:val="010000"/>
          <w:sz w:val="24"/>
        </w:rPr>
        <w:t>(l)</w:t>
      </w:r>
      <w:r>
        <w:rPr>
          <w:rFonts w:ascii="Times New Roman;serif" w:hAnsi="Times New Roman;serif"/>
          <w:b w:val="false"/>
          <w:color w:val="000000"/>
          <w:sz w:val="24"/>
        </w:rPr>
        <w:t>such Originator shall identify and hold itself out as a separate and distinct entity from the Buyer;</w:t>
      </w:r>
    </w:p>
    <w:p>
      <w:pPr>
        <w:pStyle w:val="TextBody"/>
        <w:bidi w:val="0"/>
        <w:spacing w:lineRule="auto" w:line="288" w:before="0" w:after="240"/>
        <w:ind w:left="0" w:right="0" w:firstLine="1440"/>
        <w:jc w:val="both"/>
        <w:rPr/>
      </w:pPr>
      <w:bookmarkStart w:id="183" w:name="iccbfc3d0bfff49f094bfe3bc364240d4"/>
      <w:bookmarkEnd w:id="183"/>
      <w:r>
        <w:rPr>
          <w:rFonts w:ascii="Times New Roman;serif" w:hAnsi="Times New Roman;serif"/>
          <w:b w:val="false"/>
          <w:color w:val="010000"/>
          <w:sz w:val="24"/>
        </w:rPr>
        <w:t>(m)</w:t>
      </w:r>
      <w:r>
        <w:rPr>
          <w:rFonts w:ascii="Times New Roman;serif" w:hAnsi="Times New Roman;serif"/>
          <w:b w:val="false"/>
          <w:color w:val="000000"/>
          <w:sz w:val="24"/>
        </w:rPr>
        <w:t>such Originator shall correct any misunderstanding respecting its separate identity from the Buyer of which such Originator has actual knowledge;</w:t>
      </w:r>
    </w:p>
    <w:p>
      <w:pPr>
        <w:pStyle w:val="TextBody"/>
        <w:bidi w:val="0"/>
        <w:spacing w:lineRule="auto" w:line="288" w:before="0" w:after="240"/>
        <w:ind w:left="0" w:right="0" w:firstLine="1440"/>
        <w:jc w:val="both"/>
        <w:rPr/>
      </w:pPr>
      <w:bookmarkStart w:id="184" w:name="i8f3d1bb473f748f7865034460ddb1d6e"/>
      <w:bookmarkEnd w:id="184"/>
      <w:r>
        <w:rPr>
          <w:rFonts w:ascii="Times New Roman;serif" w:hAnsi="Times New Roman;serif"/>
          <w:b w:val="false"/>
          <w:color w:val="010000"/>
          <w:sz w:val="24"/>
        </w:rPr>
        <w:t>(n)</w:t>
      </w:r>
      <w:r>
        <w:rPr>
          <w:rFonts w:ascii="Times New Roman;serif" w:hAnsi="Times New Roman;serif"/>
          <w:b w:val="false"/>
          <w:color w:val="000000"/>
          <w:sz w:val="24"/>
        </w:rPr>
        <w:t>such Originator shall not enter into, or be a party to, any transaction with the Buyer, except in the ordinary course of its business and on terms which are intrinsically fair and not less favorable to it than would be obtained in a comparable arm’s-length transaction with an unrelated third party;</w:t>
      </w:r>
    </w:p>
    <w:p>
      <w:pPr>
        <w:pStyle w:val="TextBody"/>
        <w:bidi w:val="0"/>
        <w:spacing w:lineRule="auto" w:line="288" w:before="0" w:after="240"/>
        <w:ind w:left="0" w:right="0" w:firstLine="1440"/>
        <w:jc w:val="both"/>
        <w:rPr/>
      </w:pPr>
      <w:bookmarkStart w:id="185" w:name="iadec72961ca14fc8a411de96f667f419"/>
      <w:bookmarkEnd w:id="185"/>
      <w:r>
        <w:rPr>
          <w:rFonts w:ascii="Times New Roman;serif" w:hAnsi="Times New Roman;serif"/>
          <w:b w:val="false"/>
          <w:color w:val="010000"/>
          <w:sz w:val="24"/>
        </w:rPr>
        <w:t>(o)</w:t>
      </w:r>
      <w:r>
        <w:rPr>
          <w:rFonts w:ascii="Times New Roman;serif" w:hAnsi="Times New Roman;serif"/>
          <w:b w:val="false"/>
          <w:color w:val="000000"/>
          <w:sz w:val="24"/>
        </w:rPr>
        <w:t>such Originator shall not pay the salaries of the Buyer’s employees, if any; and</w:t>
      </w:r>
    </w:p>
    <w:p>
      <w:pPr>
        <w:pStyle w:val="TextBody"/>
        <w:bidi w:val="0"/>
        <w:spacing w:lineRule="auto" w:line="288" w:before="0" w:after="240"/>
        <w:ind w:left="0" w:right="0" w:firstLine="1440"/>
        <w:jc w:val="both"/>
        <w:rPr/>
      </w:pPr>
      <w:bookmarkStart w:id="186" w:name="ida69d6a9ef514f539960eeea772c3326"/>
      <w:bookmarkEnd w:id="186"/>
      <w:r>
        <w:rPr>
          <w:rFonts w:ascii="Times New Roman;serif" w:hAnsi="Times New Roman;serif"/>
          <w:b w:val="false"/>
          <w:color w:val="010000"/>
          <w:sz w:val="24"/>
        </w:rPr>
        <w:t>(p)</w:t>
      </w:r>
      <w:r>
        <w:rPr>
          <w:rFonts w:ascii="Times New Roman;serif" w:hAnsi="Times New Roman;serif"/>
          <w:b w:val="false"/>
          <w:color w:val="000000"/>
          <w:sz w:val="24"/>
        </w:rPr>
        <w:t xml:space="preserve">to the extent not already covered in </w:t>
      </w:r>
      <w:r>
        <w:rPr>
          <w:rFonts w:ascii="Times New Roman;serif" w:hAnsi="Times New Roman;serif"/>
          <w:b w:val="false"/>
          <w:color w:val="000000"/>
          <w:sz w:val="24"/>
          <w:u w:val="single"/>
        </w:rPr>
        <w:t>paragraphs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(o)</w:t>
      </w:r>
      <w:r>
        <w:rPr>
          <w:color w:val="000000"/>
        </w:rPr>
        <w:t xml:space="preserve"> </w:t>
      </w:r>
      <w:r>
        <w:rPr>
          <w:rFonts w:ascii="Times New Roman;serif" w:hAnsi="Times New Roman;serif"/>
          <w:b w:val="false"/>
          <w:color w:val="000000"/>
          <w:sz w:val="24"/>
        </w:rPr>
        <w:t>above, such Originator shall comply and/or act in accordance with all of the other separateness covenants set forth in Section 7.03 of the Receivables Financing Agreement.</w:t>
      </w:r>
    </w:p>
    <w:p>
      <w:pPr>
        <w:pStyle w:val="TextBody"/>
        <w:bidi w:val="0"/>
        <w:spacing w:before="0" w:after="0"/>
        <w:jc w:val="left"/>
        <w:rPr/>
      </w:pPr>
      <w:r>
        <w:rPr/>
      </w:r>
    </w:p>
    <w:p>
      <w:pPr>
        <w:pStyle w:val="TextBody"/>
        <w:bidi w:val="0"/>
        <w:spacing w:lineRule="auto" w:line="240" w:before="0" w:after="240"/>
        <w:jc w:val="center"/>
        <w:rPr/>
      </w:pPr>
      <w:bookmarkStart w:id="187" w:name="i340839a01d9a4401a26620b326bf9605"/>
      <w:bookmarkEnd w:id="187"/>
      <w:r>
        <w:rPr>
          <w:rFonts w:ascii="Times New Roman;serif" w:hAnsi="Times New Roman;serif"/>
          <w:b w:val="false"/>
          <w:color w:val="010000"/>
          <w:sz w:val="24"/>
        </w:rPr>
        <w:t>ARTICLE VII</w:t>
      </w:r>
      <w:r>
        <w:rPr>
          <w:rFonts w:ascii="Times New Roman;serif" w:hAnsi="Times New Roman;serif"/>
          <w:b w:val="false"/>
          <w:color w:val="000000"/>
          <w:sz w:val="24"/>
        </w:rPr>
        <w:br/>
        <w:t>ADDITIONAL RIGHTS AND OBLIGATIONS</w:t>
        <w:br/>
        <w:t>IN RESPECT OF RECEIVABLES</w:t>
      </w:r>
    </w:p>
    <w:p>
      <w:pPr>
        <w:pStyle w:val="TextBody"/>
        <w:bidi w:val="0"/>
        <w:spacing w:lineRule="auto" w:line="288" w:before="0" w:after="240"/>
        <w:ind w:left="0" w:right="0" w:firstLine="720"/>
        <w:jc w:val="both"/>
        <w:rPr/>
      </w:pPr>
      <w:bookmarkStart w:id="188" w:name="i5e0d58b598024e76aeb2bdb8e6668eda"/>
      <w:bookmarkEnd w:id="188"/>
      <w:r>
        <w:rPr>
          <w:rFonts w:ascii="Times New Roman;serif" w:hAnsi="Times New Roman;serif"/>
          <w:b w:val="false"/>
          <w:color w:val="010000"/>
          <w:sz w:val="24"/>
        </w:rPr>
        <w:t>SECTION 7.1</w:t>
      </w:r>
      <w:r>
        <w:rPr>
          <w:rFonts w:ascii="Times New Roman;serif" w:hAnsi="Times New Roman;serif"/>
          <w:b w:val="false"/>
          <w:color w:val="000000"/>
          <w:sz w:val="24"/>
          <w:u w:val="single"/>
        </w:rPr>
        <w:t>Rights of the Buyer</w:t>
      </w:r>
      <w:r>
        <w:rPr>
          <w:rFonts w:ascii="Times New Roman;serif" w:hAnsi="Times New Roman;serif"/>
          <w:b w:val="false"/>
          <w:color w:val="000000"/>
          <w:sz w:val="24"/>
        </w:rPr>
        <w:t xml:space="preserve">. Each Originator hereby authorizes the Buyer, the Servicer or their respective designees or assignees under this Agreement or the Receivables Financing Agreement (including, without limitation, the Administrative Agent) to take any and all steps in such Originator’s name necessary or desirable, in their respective determination, to collect all amounts due under any and all Receivables sold, contributed or otherwise conveyed or purported to be sold, contributed or otherwise conveyed by it hereunder, including, without limitation, endorsing the name of such Originator on checks and other instruments representing Collections and enforcing such Receivables and the provisions of the related Contracts that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concern payment and/or enforcement of rights to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the Administrative Agent shall not take any of the foregoing actions unless a Purchase and Sale Termination Event or an Event of Default has occurred and is continuing.</w:t>
      </w:r>
    </w:p>
    <w:p>
      <w:pPr>
        <w:pStyle w:val="TextBody"/>
        <w:bidi w:val="0"/>
        <w:spacing w:lineRule="auto" w:line="288" w:before="0" w:after="240"/>
        <w:ind w:left="0" w:right="0" w:firstLine="720"/>
        <w:jc w:val="both"/>
        <w:rPr/>
      </w:pPr>
      <w:bookmarkStart w:id="189" w:name="i9a3507b876774c30a1a4a1691af5cfbd"/>
      <w:bookmarkEnd w:id="189"/>
      <w:r>
        <w:rPr>
          <w:rFonts w:ascii="Times New Roman;serif" w:hAnsi="Times New Roman;serif"/>
          <w:b w:val="false"/>
          <w:color w:val="010000"/>
          <w:sz w:val="24"/>
        </w:rPr>
        <w:t>SECTION 7.2</w:t>
      </w:r>
      <w:r>
        <w:rPr>
          <w:rFonts w:ascii="Times New Roman;serif" w:hAnsi="Times New Roman;serif"/>
          <w:b w:val="false"/>
          <w:color w:val="000000"/>
          <w:sz w:val="24"/>
          <w:u w:val="single"/>
        </w:rPr>
        <w:t>Responsibilities of the Originators</w:t>
      </w:r>
      <w:r>
        <w:rPr>
          <w:rFonts w:ascii="Times New Roman;serif" w:hAnsi="Times New Roman;serif"/>
          <w:b w:val="false"/>
          <w:color w:val="000000"/>
          <w:sz w:val="24"/>
        </w:rPr>
        <w:t>. Anything herein to the contrary notwithstanding:</w:t>
      </w:r>
    </w:p>
    <w:p>
      <w:pPr>
        <w:pStyle w:val="TextBody"/>
        <w:bidi w:val="0"/>
        <w:spacing w:lineRule="auto" w:line="288" w:before="0" w:after="240"/>
        <w:ind w:left="0" w:right="0" w:firstLine="1440"/>
        <w:jc w:val="both"/>
        <w:rPr/>
      </w:pPr>
      <w:bookmarkStart w:id="190" w:name="i85968d57e661413f8526074169109938"/>
      <w:bookmarkEnd w:id="190"/>
      <w:r>
        <w:rPr>
          <w:rFonts w:ascii="Times New Roman;serif" w:hAnsi="Times New Roman;serif"/>
          <w:b w:val="false"/>
          <w:color w:val="010000"/>
          <w:sz w:val="24"/>
        </w:rPr>
        <w:t>(a)</w:t>
      </w:r>
      <w:r>
        <w:rPr>
          <w:rFonts w:ascii="Times New Roman;serif" w:hAnsi="Times New Roman;serif"/>
          <w:b w:val="false"/>
          <w:color w:val="000000"/>
          <w:sz w:val="24"/>
        </w:rPr>
        <w:t>Each Originator shall perform its obligations hereunder, and the exercise by the Buyer or its designee of its rights hereunder shall not relieve such Originator from such obligations.</w:t>
      </w:r>
    </w:p>
    <w:p>
      <w:pPr>
        <w:pStyle w:val="TextBody"/>
        <w:bidi w:val="0"/>
        <w:spacing w:lineRule="auto" w:line="288" w:before="0" w:after="240"/>
        <w:ind w:left="0" w:right="0" w:firstLine="1440"/>
        <w:jc w:val="both"/>
        <w:rPr/>
      </w:pPr>
      <w:bookmarkStart w:id="191" w:name="i899681d47520435a956b4f64f6b1311f"/>
      <w:bookmarkEnd w:id="191"/>
      <w:r>
        <w:rPr>
          <w:rFonts w:ascii="Times New Roman;serif" w:hAnsi="Times New Roman;serif"/>
          <w:b w:val="false"/>
          <w:color w:val="010000"/>
          <w:sz w:val="24"/>
        </w:rPr>
        <w:t>(b)</w:t>
      </w:r>
      <w:r>
        <w:rPr>
          <w:rFonts w:ascii="Times New Roman;serif" w:hAnsi="Times New Roman;serif"/>
          <w:b w:val="false"/>
          <w:color w:val="000000"/>
          <w:sz w:val="24"/>
        </w:rPr>
        <w:t>None of the Buyer, the Servicer, the Lenders, the Group Agents or the Administrative Agent shall have any obligation or liability to any Obligor or any other third Person with respect to any Receivables, Contracts related thereto or any other related agreements, nor shall the Buyer, the Servicer, the Lenders, the Group Agents or the Administrative Agent be obligated to perform any of the obligations of such Originator thereunder.</w:t>
      </w:r>
    </w:p>
    <w:p>
      <w:pPr>
        <w:pStyle w:val="TextBody"/>
        <w:bidi w:val="0"/>
        <w:spacing w:lineRule="auto" w:line="288" w:before="0" w:after="240"/>
        <w:ind w:left="0" w:right="0" w:firstLine="1440"/>
        <w:jc w:val="both"/>
        <w:rPr/>
      </w:pPr>
      <w:bookmarkStart w:id="192" w:name="i7ce579b520ad4f19b412f9a774cc8a42"/>
      <w:bookmarkEnd w:id="192"/>
      <w:r>
        <w:rPr>
          <w:rFonts w:ascii="Times New Roman;serif" w:hAnsi="Times New Roman;serif"/>
          <w:b w:val="false"/>
          <w:color w:val="010000"/>
          <w:sz w:val="24"/>
        </w:rPr>
        <w:t>(c)</w:t>
      </w:r>
      <w:r>
        <w:rPr>
          <w:rFonts w:ascii="Times New Roman;serif" w:hAnsi="Times New Roman;serif"/>
          <w:b w:val="false"/>
          <w:color w:val="000000"/>
          <w:sz w:val="24"/>
        </w:rPr>
        <w:t>Each Originator hereby grants to the Administrative Agent an irrevocable power-of-attorney, with full power of substitution, coupled with an interest, during the occurrence and continuation of an Event of Default to take in the name of such Originator all steps necessary or advisable to endorse, negotiate or otherwise realize on any writing or other right of any kind held or transmitted by such Originator or transmitted or received by the Buyer (whether or not from such Originator) in connection with any Receivable sold, contributed or otherwise conveyed or purported to be sold, contributed or otherwise conveyed by it hereunder or Related Right.</w:t>
      </w:r>
    </w:p>
    <w:p>
      <w:pPr>
        <w:pStyle w:val="TextBody"/>
        <w:bidi w:val="0"/>
        <w:spacing w:lineRule="auto" w:line="288" w:before="0" w:after="240"/>
        <w:ind w:left="0" w:right="0" w:firstLine="720"/>
        <w:jc w:val="both"/>
        <w:rPr/>
      </w:pPr>
      <w:bookmarkStart w:id="193" w:name="i72331bd7df9e43629bac9ac404b78be8"/>
      <w:bookmarkEnd w:id="193"/>
      <w:r>
        <w:rPr>
          <w:rFonts w:ascii="Times New Roman;serif" w:hAnsi="Times New Roman;serif"/>
          <w:b w:val="false"/>
          <w:color w:val="010000"/>
          <w:sz w:val="24"/>
        </w:rPr>
        <w:t>SECTION 7.3</w:t>
      </w:r>
      <w:r>
        <w:rPr>
          <w:rFonts w:ascii="Times New Roman;serif" w:hAnsi="Times New Roman;serif"/>
          <w:b w:val="false"/>
          <w:color w:val="000000"/>
          <w:sz w:val="24"/>
          <w:u w:val="single"/>
        </w:rPr>
        <w:t>Further Action Evidencing Purchases</w:t>
      </w:r>
      <w:r>
        <w:rPr>
          <w:rFonts w:ascii="Times New Roman;serif" w:hAnsi="Times New Roman;serif"/>
          <w:b w:val="false"/>
          <w:color w:val="000000"/>
          <w:sz w:val="24"/>
        </w:rPr>
        <w:t>. On or prior to the Closing Date, each Originator shall mark its master data processing records evidencing Pool Receivables and Contracts with a legend, acceptable to the Buyer and the Administrative Agent, evidencing that the Pool Receivables have been transferred in accordance with this Agreement and none of the Originators or Servicer shall change or remove such notation without the consent of the Buyer and the Administrative Agent. Each Originator agrees that from time to time, at its expense, it will promptly execute and deliver all further instruments and documents, and take all further action that the Buyer, the Servicer, any Sub-Servicer, the Administrative Agent or any Group Agent may reasonably request in order to perfect, protect or more fully evidence the Receivables and Related Rights purchased by or contributed to the Buyer hereunder, or to enable the Buyer to exercise or enforce any of its rights hereunder or under any other Transaction Document. Without limiting the generality of the foregoing, upon the request of the Buyer, the Administrative Agent or any Group Agent, such Originator will execute (if applicable), authorize and file such financing or continuation statements, or amendments thereto or assignments thereof, and such other instruments or notices, as may be necessary or appropriate.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Each Originator hereby authorizes the Buyer or its designee or assignee (including, without limitation, the Administrative Agent) to file one or more financing or continuation statements, and amendments thereto and assignments thereof, relative to all or any of the Receivables and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Related Rights sold, contributed or otherwise conveyed or purported to be sold, contributed or otherwise conveyed by it hereunder and now existing or hereafter generated by such Originator. If any Originator fails to perform any of its agreements or obligations under this Agreement, the Buyer or its designee or assignee (including, without limitation, the Administrative Agent) may (but shall not be required to) itself perform, or cause the performance of, such agreement or obligation, and the expenses of the Buyer or its designee or assignee (including, without limitation, the Administrative Agent) incurred in connection therewith shall be payable by such Originator.</w:t>
      </w:r>
    </w:p>
    <w:p>
      <w:pPr>
        <w:pStyle w:val="TextBody"/>
        <w:bidi w:val="0"/>
        <w:spacing w:lineRule="auto" w:line="288" w:before="0" w:after="240"/>
        <w:ind w:left="0" w:right="0" w:firstLine="720"/>
        <w:jc w:val="both"/>
        <w:rPr/>
      </w:pPr>
      <w:bookmarkStart w:id="194" w:name="i9ebddbe0e05f4a50ab519756541b063e"/>
      <w:bookmarkEnd w:id="194"/>
      <w:r>
        <w:rPr>
          <w:rFonts w:ascii="Times New Roman;serif" w:hAnsi="Times New Roman;serif"/>
          <w:b w:val="false"/>
          <w:color w:val="010000"/>
          <w:sz w:val="24"/>
        </w:rPr>
        <w:t>SECTION 7.4</w:t>
      </w:r>
      <w:r>
        <w:rPr>
          <w:rFonts w:ascii="Times New Roman;serif" w:hAnsi="Times New Roman;serif"/>
          <w:b w:val="false"/>
          <w:color w:val="000000"/>
          <w:sz w:val="24"/>
          <w:u w:val="single"/>
        </w:rPr>
        <w:t>Application of Collections</w:t>
      </w:r>
      <w:r>
        <w:rPr>
          <w:rFonts w:ascii="Times New Roman;serif" w:hAnsi="Times New Roman;serif"/>
          <w:b w:val="false"/>
          <w:color w:val="000000"/>
          <w:sz w:val="24"/>
        </w:rPr>
        <w:t>. Any payment by an Obligor in respect of any indebtedness owed by it to any Originator shall, except as otherwise specified by such Obligor or required by Applicable Law and unless otherwise instructed by the Servicer (with the prior written consent of the Administrative Agent) or the Administrative Agent, be applied as a Collection of any Receivable or Receivables of such Obligor to the extent of any amounts then due and payable thereunder (such application to be made starting with the oldest outstanding Receivable or Receivables) before being applied to any other indebtedness of such Obligor.</w:t>
      </w:r>
    </w:p>
    <w:p>
      <w:pPr>
        <w:pStyle w:val="TextBody"/>
        <w:bidi w:val="0"/>
        <w:spacing w:lineRule="auto" w:line="288" w:before="0" w:after="240"/>
        <w:ind w:left="0" w:right="0" w:firstLine="720"/>
        <w:jc w:val="both"/>
        <w:rPr/>
      </w:pPr>
      <w:bookmarkStart w:id="195" w:name="ie900365dd367422cbbb8bb0b9c52a2a9"/>
      <w:bookmarkEnd w:id="195"/>
      <w:r>
        <w:rPr>
          <w:rFonts w:ascii="Times New Roman;serif" w:hAnsi="Times New Roman;serif"/>
          <w:b w:val="false"/>
          <w:color w:val="010000"/>
          <w:sz w:val="24"/>
        </w:rPr>
        <w:t>SECTION 7.5</w:t>
      </w:r>
      <w:r>
        <w:rPr>
          <w:rFonts w:ascii="Times New Roman;serif" w:hAnsi="Times New Roman;serif"/>
          <w:b w:val="false"/>
          <w:color w:val="000000"/>
          <w:sz w:val="24"/>
          <w:u w:val="single"/>
        </w:rPr>
        <w:t>Performance of Obligations</w:t>
      </w:r>
      <w:r>
        <w:rPr>
          <w:rFonts w:ascii="Times New Roman;serif" w:hAnsi="Times New Roman;serif"/>
          <w:b w:val="false"/>
          <w:color w:val="000000"/>
          <w:sz w:val="24"/>
        </w:rPr>
        <w:t>. Each Originator shall (i) perform all of its obligations under the Contracts related to the Receivables generated by such Originator to the same extent as if interests in such Receivables had not been transferred hereunder, and the exercise by the Buyer or the Administrative Agent of its rights hereunder shall not relieve any Originator from any such obligations and (ii) pay when due any taxes, including, without limitation, any sales taxes payable in connection with the Receivables generated by such Originator and their creation and satisfaction.</w:t>
      </w:r>
    </w:p>
    <w:p>
      <w:pPr>
        <w:pStyle w:val="TextBody"/>
        <w:bidi w:val="0"/>
        <w:spacing w:lineRule="auto" w:line="240" w:before="0" w:after="240"/>
        <w:jc w:val="center"/>
        <w:rPr/>
      </w:pPr>
      <w:bookmarkStart w:id="196" w:name="i65510c7aa0e94ef6a97ed78124cb9ce4"/>
      <w:bookmarkEnd w:id="196"/>
      <w:r>
        <w:rPr>
          <w:rFonts w:ascii="Times New Roman;serif" w:hAnsi="Times New Roman;serif"/>
          <w:b w:val="false"/>
          <w:color w:val="010000"/>
          <w:sz w:val="24"/>
        </w:rPr>
        <w:t>ARTICLE VIII</w:t>
      </w:r>
      <w:r>
        <w:rPr>
          <w:rFonts w:ascii="Times New Roman;serif" w:hAnsi="Times New Roman;serif"/>
          <w:b w:val="false"/>
          <w:color w:val="000000"/>
          <w:sz w:val="24"/>
        </w:rPr>
        <w:br/>
        <w:t>PURCHASE AND SALE TERMINATION EVENTS</w:t>
      </w:r>
    </w:p>
    <w:p>
      <w:pPr>
        <w:pStyle w:val="TextBody"/>
        <w:bidi w:val="0"/>
        <w:spacing w:lineRule="auto" w:line="288" w:before="0" w:after="240"/>
        <w:ind w:left="0" w:right="0" w:firstLine="720"/>
        <w:jc w:val="both"/>
        <w:rPr/>
      </w:pPr>
      <w:bookmarkStart w:id="197" w:name="i7a54308b6d164e9cbba62f824b92f8ea"/>
      <w:bookmarkEnd w:id="197"/>
      <w:r>
        <w:rPr>
          <w:rFonts w:ascii="Times New Roman;serif" w:hAnsi="Times New Roman;serif"/>
          <w:b w:val="false"/>
          <w:color w:val="010000"/>
          <w:sz w:val="24"/>
        </w:rPr>
        <w:t>SECTION 8.1</w:t>
      </w:r>
      <w:r>
        <w:rPr>
          <w:rFonts w:ascii="Times New Roman;serif" w:hAnsi="Times New Roman;serif"/>
          <w:b w:val="false"/>
          <w:color w:val="000000"/>
          <w:sz w:val="24"/>
          <w:u w:val="single"/>
        </w:rPr>
        <w:t>Purchase and Sale Termination Events</w:t>
      </w:r>
      <w:r>
        <w:rPr>
          <w:rFonts w:ascii="Times New Roman;serif" w:hAnsi="Times New Roman;serif"/>
          <w:b w:val="false"/>
          <w:color w:val="000000"/>
          <w:sz w:val="24"/>
        </w:rPr>
        <w:t xml:space="preserve">. Each of the following events or occurrences described in this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shall constitute a “</w:t>
      </w:r>
      <w:r>
        <w:rPr>
          <w:rFonts w:ascii="Times New Roman;serif" w:hAnsi="Times New Roman;serif"/>
          <w:b w:val="false"/>
          <w:color w:val="000000"/>
          <w:sz w:val="24"/>
          <w:u w:val="single"/>
        </w:rPr>
        <w:t>Purchase and Sale Termination Event</w:t>
      </w:r>
      <w:r>
        <w:rPr>
          <w:color w:val="000000"/>
        </w:rPr>
        <w:t xml:space="preserve">” </w:t>
      </w:r>
      <w:r>
        <w:rPr>
          <w:rFonts w:ascii="Times New Roman;serif" w:hAnsi="Times New Roman;serif"/>
          <w:b w:val="false"/>
          <w:color w:val="000000"/>
          <w:sz w:val="24"/>
        </w:rPr>
        <w:t>(each event which with notice or the passage of time or both would become a Purchase and Sale Termination Event being referred to herein as an “</w:t>
      </w:r>
      <w:r>
        <w:rPr>
          <w:rFonts w:ascii="Times New Roman;serif" w:hAnsi="Times New Roman;serif"/>
          <w:b w:val="false"/>
          <w:color w:val="000000"/>
          <w:sz w:val="24"/>
          <w:u w:val="single"/>
        </w:rPr>
        <w:t>Unmatured Purchase and Sale Termination Event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198" w:name="iceb2794c31ef4c11b67fdf888f39dd37"/>
      <w:bookmarkEnd w:id="198"/>
      <w:r>
        <w:rPr>
          <w:rFonts w:ascii="Times New Roman;serif" w:hAnsi="Times New Roman;serif"/>
          <w:b w:val="false"/>
          <w:color w:val="010000"/>
          <w:sz w:val="24"/>
        </w:rPr>
        <w:t>(a)</w:t>
      </w:r>
      <w:r>
        <w:rPr>
          <w:rFonts w:ascii="Times New Roman;serif" w:hAnsi="Times New Roman;serif"/>
          <w:b w:val="false"/>
          <w:color w:val="000000"/>
          <w:sz w:val="24"/>
        </w:rPr>
        <w:t>the Termination Date shall have occurred; or</w:t>
      </w:r>
    </w:p>
    <w:p>
      <w:pPr>
        <w:pStyle w:val="TextBody"/>
        <w:bidi w:val="0"/>
        <w:spacing w:lineRule="auto" w:line="288" w:before="0" w:after="240"/>
        <w:ind w:left="0" w:right="0" w:firstLine="1440"/>
        <w:jc w:val="both"/>
        <w:rPr/>
      </w:pPr>
      <w:bookmarkStart w:id="199" w:name="ic087b695c68d4b5093f187974ab977d4"/>
      <w:bookmarkEnd w:id="199"/>
      <w:r>
        <w:rPr>
          <w:rFonts w:ascii="Times New Roman;serif" w:hAnsi="Times New Roman;serif"/>
          <w:b w:val="false"/>
          <w:color w:val="010000"/>
          <w:sz w:val="24"/>
        </w:rPr>
        <w:t>(b)</w:t>
      </w:r>
      <w:r>
        <w:rPr>
          <w:rFonts w:ascii="Times New Roman;serif" w:hAnsi="Times New Roman;serif"/>
          <w:b w:val="false"/>
          <w:color w:val="000000"/>
          <w:sz w:val="24"/>
        </w:rPr>
        <w:t>any Originator shall fail to make when due any payment or deposit to be made by it under this Agreement or any other Transaction Document to which it is a party and such failure shall remain unremedied for two (2) Business Days; or</w:t>
      </w:r>
    </w:p>
    <w:p>
      <w:pPr>
        <w:pStyle w:val="TextBody"/>
        <w:bidi w:val="0"/>
        <w:spacing w:lineRule="auto" w:line="288" w:before="0" w:after="240"/>
        <w:ind w:left="0" w:right="0" w:firstLine="1440"/>
        <w:jc w:val="both"/>
        <w:rPr/>
      </w:pPr>
      <w:bookmarkStart w:id="200" w:name="ieef043c187444a77877fb87308f16905"/>
      <w:bookmarkEnd w:id="200"/>
      <w:r>
        <w:rPr>
          <w:rFonts w:ascii="Times New Roman;serif" w:hAnsi="Times New Roman;serif"/>
          <w:b w:val="false"/>
          <w:color w:val="010000"/>
          <w:sz w:val="24"/>
        </w:rPr>
        <w:t>(c)</w:t>
      </w:r>
      <w:r>
        <w:rPr>
          <w:rFonts w:ascii="Times New Roman;serif" w:hAnsi="Times New Roman;serif"/>
          <w:b w:val="false"/>
          <w:color w:val="000000"/>
          <w:sz w:val="24"/>
        </w:rPr>
        <w:t xml:space="preserve">any representation or warranty made or deemed to be made by any Originator (or any of its officers) under or in connection with this Agreement, any other Transaction Documents to which it is a party, or any other information or report delivered pursuant hereto or thereto shall prove to have been incorrect or untrue in any material respect when made or deemed made or delivered, and, solely to the extent such breach is capable of being cured (as determined by the Administrative Agent), such breach shall continue unremedied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fifteen (15) calendar days following the earlier of (A) such Originator’s actual knowledge of such breach and (B) the Administrative Agent’s written notice to such Originator of such breach; or</w:t>
      </w:r>
    </w:p>
    <w:p>
      <w:pPr>
        <w:pStyle w:val="TextBody"/>
        <w:bidi w:val="0"/>
        <w:spacing w:lineRule="auto" w:line="288" w:before="0" w:after="240"/>
        <w:ind w:left="0" w:right="0" w:firstLine="1440"/>
        <w:jc w:val="both"/>
        <w:rPr/>
      </w:pPr>
      <w:bookmarkStart w:id="201" w:name="i16c3b6af99c042bcb2065898eebe24a1"/>
      <w:bookmarkEnd w:id="201"/>
      <w:r>
        <w:rPr>
          <w:rFonts w:ascii="Times New Roman;serif" w:hAnsi="Times New Roman;serif"/>
          <w:b w:val="false"/>
          <w:color w:val="010000"/>
          <w:sz w:val="24"/>
        </w:rPr>
        <w:t>(d)</w:t>
      </w:r>
      <w:r>
        <w:rPr>
          <w:rFonts w:ascii="Times New Roman;serif" w:hAnsi="Times New Roman;serif"/>
          <w:b w:val="false"/>
          <w:color w:val="000000"/>
          <w:sz w:val="24"/>
        </w:rPr>
        <w:t xml:space="preserve">any Originator shall fail to perform or observe the covenant set forth in </w:t>
      </w:r>
      <w:r>
        <w:rPr>
          <w:rFonts w:ascii="Times New Roman;serif" w:hAnsi="Times New Roman;serif"/>
          <w:b w:val="false"/>
          <w:color w:val="000000"/>
          <w:sz w:val="24"/>
          <w:u w:val="single"/>
        </w:rPr>
        <w:t>Section 6.1(n)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02" w:name="iebeb0b8d276844918c259a9b6675ae51"/>
      <w:bookmarkEnd w:id="202"/>
      <w:r>
        <w:rPr>
          <w:rFonts w:ascii="Times New Roman;serif" w:hAnsi="Times New Roman;serif"/>
          <w:b w:val="false"/>
          <w:color w:val="010000"/>
          <w:sz w:val="24"/>
        </w:rPr>
        <w:t>(e)</w:t>
      </w:r>
      <w:r>
        <w:rPr>
          <w:rFonts w:ascii="Times New Roman;serif" w:hAnsi="Times New Roman;serif"/>
          <w:b w:val="false"/>
          <w:color w:val="000000"/>
          <w:sz w:val="24"/>
        </w:rPr>
        <w:t xml:space="preserve">any Originator shall fail to perform or observe any other term, covenant or agreement contained in this Agreement or any other Transaction Document to which it is a party (other than such failure which would constitute a Purchase and Sale Termination Event under </w:t>
      </w:r>
      <w:r>
        <w:rPr>
          <w:rFonts w:ascii="Times New Roman;serif" w:hAnsi="Times New Roman;serif"/>
          <w:b w:val="false"/>
          <w:color w:val="000000"/>
          <w:sz w:val="24"/>
          <w:u w:val="single"/>
        </w:rPr>
        <w:t>Section 8.1(b)</w:t>
      </w:r>
      <w:r>
        <w:rPr>
          <w:rFonts w:ascii="Times New Roman;serif" w:hAnsi="Times New Roman;serif"/>
          <w:b w:val="false"/>
          <w:color w:val="000000"/>
          <w:sz w:val="24"/>
        </w:rPr>
        <w:t>), and such failure shall continue unremedied for thirty (30) calendar days solely to the extent (i) such failure is capable of being cured (as determined by the Administrative Agent) and (ii) such Originator provides written notice to the Administrative Agent detailing the action which it is taking in order to cure such failure; or</w:t>
      </w:r>
    </w:p>
    <w:p>
      <w:pPr>
        <w:pStyle w:val="TextBody"/>
        <w:bidi w:val="0"/>
        <w:spacing w:lineRule="auto" w:line="288" w:before="0" w:after="240"/>
        <w:ind w:left="0" w:right="0" w:firstLine="1440"/>
        <w:jc w:val="both"/>
        <w:rPr/>
      </w:pPr>
      <w:bookmarkStart w:id="203" w:name="i61ad2beb18234ba8a038ba367abe7d34"/>
      <w:bookmarkEnd w:id="203"/>
      <w:r>
        <w:rPr>
          <w:rFonts w:ascii="Times New Roman;serif" w:hAnsi="Times New Roman;serif"/>
          <w:b w:val="false"/>
          <w:color w:val="010000"/>
          <w:sz w:val="24"/>
        </w:rPr>
        <w:t>(f)</w:t>
      </w:r>
      <w:r>
        <w:rPr>
          <w:rFonts w:ascii="Times New Roman;serif" w:hAnsi="Times New Roman;serif"/>
          <w:b w:val="false"/>
          <w:color w:val="000000"/>
          <w:sz w:val="24"/>
        </w:rPr>
        <w:t>any Insolvency Proceeding shall be instituted against the Buyer or any Originator and, in the case of any such proceeding instituted against the Buyer or such Originator (but not instituted by the Buyer or such Originator, as applicable), such proceeding shall remain undismissed or unstayed for a period of sixty (60) consecutive days; or</w:t>
      </w:r>
    </w:p>
    <w:p>
      <w:pPr>
        <w:pStyle w:val="TextBody"/>
        <w:bidi w:val="0"/>
        <w:spacing w:lineRule="auto" w:line="288" w:before="0" w:after="240"/>
        <w:ind w:left="0" w:right="0" w:firstLine="1440"/>
        <w:jc w:val="both"/>
        <w:rPr/>
      </w:pPr>
      <w:bookmarkStart w:id="204" w:name="ia7f4e50c21ec4fec9391f1f0a0517c38"/>
      <w:bookmarkEnd w:id="204"/>
      <w:r>
        <w:rPr>
          <w:rFonts w:ascii="Times New Roman;serif" w:hAnsi="Times New Roman;serif"/>
          <w:b w:val="false"/>
          <w:color w:val="010000"/>
          <w:sz w:val="24"/>
        </w:rPr>
        <w:t>(g)</w:t>
      </w:r>
      <w:r>
        <w:rPr>
          <w:rFonts w:ascii="Times New Roman;serif" w:hAnsi="Times New Roman;serif"/>
          <w:b w:val="false"/>
          <w:color w:val="000000"/>
          <w:sz w:val="24"/>
        </w:rPr>
        <w:t>any Originator or any of its Subsidiaries, individually or in the aggregate, shall fail to pay any principal of or premium or interest on any of its Debt that is outstanding in a principal amount of at least fifty million dollars ($50,000,000) in the aggregate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or</w:t>
      </w:r>
    </w:p>
    <w:p>
      <w:pPr>
        <w:pStyle w:val="TextBody"/>
        <w:bidi w:val="0"/>
        <w:spacing w:lineRule="auto" w:line="288" w:before="0" w:after="240"/>
        <w:ind w:left="0" w:right="0" w:firstLine="1440"/>
        <w:jc w:val="both"/>
        <w:rPr/>
      </w:pPr>
      <w:bookmarkStart w:id="205" w:name="i405ca24c0255497a985bd7a1945c82c6"/>
      <w:bookmarkEnd w:id="205"/>
      <w:r>
        <w:rPr>
          <w:rFonts w:ascii="Times New Roman;serif" w:hAnsi="Times New Roman;serif"/>
          <w:b w:val="false"/>
          <w:color w:val="010000"/>
          <w:sz w:val="24"/>
        </w:rPr>
        <w:t>(h)</w:t>
      </w:r>
      <w:r>
        <w:rPr>
          <w:rFonts w:ascii="Times New Roman;serif" w:hAnsi="Times New Roman;serif"/>
          <w:b w:val="false"/>
          <w:color w:val="000000"/>
          <w:sz w:val="24"/>
        </w:rPr>
        <w:t>either (i) the Internal Revenue Service shall file notice of a lien pursuant to Section 6323 of the Code with regard to any assets of any Originator or (ii) the PBGC shall, or shall indicate its intention to, file notice of a lien pursuant to Section 4068 of ERISA with regard to any of the assets of any Originator and in either case, such lien shall not have been released within thirty (30) calendar days; or</w:t>
      </w:r>
    </w:p>
    <w:p>
      <w:pPr>
        <w:pStyle w:val="TextBody"/>
        <w:bidi w:val="0"/>
        <w:spacing w:lineRule="auto" w:line="288" w:before="0" w:after="240"/>
        <w:ind w:left="0" w:right="0" w:firstLine="1440"/>
        <w:jc w:val="both"/>
        <w:rPr/>
      </w:pPr>
      <w:bookmarkStart w:id="206" w:name="icaaba0db1659474aaffa38256f28f964"/>
      <w:bookmarkEnd w:id="206"/>
      <w:r>
        <w:rPr>
          <w:rFonts w:ascii="Times New Roman;serif" w:hAnsi="Times New Roman;serif"/>
          <w:b w:val="false"/>
          <w:color w:val="010000"/>
          <w:sz w:val="24"/>
        </w:rPr>
        <w:t>(i)</w:t>
      </w:r>
      <w:r>
        <w:rPr>
          <w:rFonts w:ascii="Times New Roman;serif" w:hAnsi="Times New Roman;serif"/>
          <w:b w:val="false"/>
          <w:color w:val="000000"/>
          <w:sz w:val="24"/>
        </w:rPr>
        <w:t xml:space="preserve">(i) the incurrence of any liability under Title IV of ERISA with respect to the termination of any Pension Plan or the withdrawal or partial withdrawal of any Originator or any of its respective ERISA Affiliates from any Multiemployer Plan; (ii) the receipt by any Originator or any of its respective ERISA Affiliates from the PBGC or any plan administrator of any notice relating to the intention to terminate any Pension Plan or Multiemployer Plan or to appoint a trustee to administer any Pension Plan or Multiemployer Plan; (iii) the receipt by any Originator or any of their respective ERISA Affiliates of any notice concerning the imposition of Withdrawal Liability or a determination that a Multiemployer Plan is, or is expected to be, insolvent or in reorganization, within the meaning of Title IV of ERISA; (iv) the occurrence of a prohibited transaction with respect to any Originator or any of its respective ERISA Affiliates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Section 4975 of the Code), with respect to clause (i) through (iv), either individually or in the aggregate, could reasonably be expected to result in a Material Adverse Effect; or</w:t>
      </w:r>
    </w:p>
    <w:p>
      <w:pPr>
        <w:pStyle w:val="TextBody"/>
        <w:bidi w:val="0"/>
        <w:spacing w:lineRule="auto" w:line="288" w:before="0" w:after="240"/>
        <w:ind w:left="0" w:right="0" w:firstLine="1440"/>
        <w:jc w:val="both"/>
        <w:rPr/>
      </w:pPr>
      <w:bookmarkStart w:id="207" w:name="ib1d5152b365145e8a1c5222a5ea6abef"/>
      <w:bookmarkEnd w:id="207"/>
      <w:r>
        <w:rPr>
          <w:rFonts w:ascii="Times New Roman;serif" w:hAnsi="Times New Roman;serif"/>
          <w:b w:val="false"/>
          <w:color w:val="010000"/>
          <w:sz w:val="24"/>
        </w:rPr>
        <w:t>(j)</w:t>
      </w:r>
      <w:r>
        <w:rPr>
          <w:rFonts w:ascii="Times New Roman;serif" w:hAnsi="Times New Roman;serif"/>
          <w:b w:val="false"/>
          <w:color w:val="000000"/>
          <w:sz w:val="24"/>
        </w:rPr>
        <w:t>any material provision of this Agreement or any other Transaction Document shall cease to be in full force and effect or any Originator or any of its respective Affiliates shall so state in writing; or</w:t>
      </w:r>
    </w:p>
    <w:p>
      <w:pPr>
        <w:pStyle w:val="TextBody"/>
        <w:bidi w:val="0"/>
        <w:spacing w:lineRule="auto" w:line="288" w:before="0" w:after="240"/>
        <w:ind w:left="0" w:right="0" w:firstLine="1440"/>
        <w:jc w:val="both"/>
        <w:rPr/>
      </w:pPr>
      <w:bookmarkStart w:id="208" w:name="i01bb5e4764c449aa9ea6197e9082378f"/>
      <w:bookmarkEnd w:id="208"/>
      <w:r>
        <w:rPr>
          <w:rFonts w:ascii="Times New Roman;serif" w:hAnsi="Times New Roman;serif"/>
          <w:b w:val="false"/>
          <w:color w:val="010000"/>
          <w:sz w:val="24"/>
        </w:rPr>
        <w:t>(k)</w:t>
      </w:r>
      <w:r>
        <w:rPr>
          <w:rFonts w:ascii="Times New Roman;serif" w:hAnsi="Times New Roman;serif"/>
          <w:b w:val="false"/>
          <w:color w:val="000000"/>
          <w:sz w:val="24"/>
        </w:rPr>
        <w:t>one or more judgments or decrees shall be entered against any Originator or any of its Affiliates of any of the foregoing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thirty (30) consecutive days, and the aggregate amount of all such judgments equals or exceeds fifty million dollars ($50,000,000).</w:t>
      </w:r>
    </w:p>
    <w:p>
      <w:pPr>
        <w:pStyle w:val="TextBody"/>
        <w:bidi w:val="0"/>
        <w:spacing w:lineRule="auto" w:line="288" w:before="0" w:after="240"/>
        <w:ind w:left="0" w:right="0" w:firstLine="720"/>
        <w:jc w:val="both"/>
        <w:rPr/>
      </w:pPr>
      <w:bookmarkStart w:id="209" w:name="i4d5e849ce0374acf9802ed419072c6f0"/>
      <w:bookmarkEnd w:id="209"/>
      <w:r>
        <w:rPr>
          <w:rFonts w:ascii="Times New Roman;serif" w:hAnsi="Times New Roman;serif"/>
          <w:b w:val="false"/>
          <w:color w:val="010000"/>
          <w:sz w:val="24"/>
        </w:rPr>
        <w:t>SECTION 8.2</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10" w:name="i8b6742c471f14f71acbe1d7900f95ebb"/>
      <w:bookmarkEnd w:id="210"/>
      <w:r>
        <w:rPr>
          <w:rFonts w:ascii="Times New Roman;serif" w:hAnsi="Times New Roman;serif"/>
          <w:b w:val="false"/>
          <w:color w:val="010000"/>
          <w:sz w:val="24"/>
        </w:rPr>
        <w:t>(a)</w:t>
      </w:r>
      <w:r>
        <w:rPr>
          <w:rFonts w:ascii="Times New Roman;serif" w:hAnsi="Times New Roman;serif"/>
          <w:b w:val="false"/>
          <w:color w:val="000000"/>
          <w:sz w:val="24"/>
          <w:u w:val="single"/>
        </w:rPr>
        <w:t>Optional Termination</w:t>
      </w:r>
      <w:r>
        <w:rPr>
          <w:rFonts w:ascii="Times New Roman;serif" w:hAnsi="Times New Roman;serif"/>
          <w:b w:val="false"/>
          <w:color w:val="000000"/>
          <w:sz w:val="24"/>
        </w:rPr>
        <w:t>. Upon the occurrence and during the continuation of a Purchase and Sale Termination Event, the Buyer (and not the Servicer), with the prior written consent of the Administrative Agent shall have the option, by notice to the Originators (with a copy to the Administrative Agent and the Group Agents), to declare the Purchase Facility terminated.</w:t>
      </w:r>
    </w:p>
    <w:p>
      <w:pPr>
        <w:pStyle w:val="TextBody"/>
        <w:bidi w:val="0"/>
        <w:spacing w:lineRule="auto" w:line="288" w:before="0" w:after="240"/>
        <w:ind w:left="0" w:right="0" w:firstLine="1440"/>
        <w:jc w:val="both"/>
        <w:rPr/>
      </w:pPr>
      <w:bookmarkStart w:id="211" w:name="i157be1a09e044e1e9710f924fd4f0e13"/>
      <w:bookmarkEnd w:id="211"/>
      <w:r>
        <w:rPr>
          <w:rFonts w:ascii="Times New Roman;serif" w:hAnsi="Times New Roman;serif"/>
          <w:b w:val="false"/>
          <w:color w:val="010000"/>
          <w:sz w:val="24"/>
        </w:rPr>
        <w:t>(b)</w:t>
      </w:r>
      <w:r>
        <w:rPr>
          <w:rFonts w:ascii="Times New Roman;serif" w:hAnsi="Times New Roman;serif"/>
          <w:b w:val="false"/>
          <w:color w:val="000000"/>
          <w:sz w:val="24"/>
          <w:u w:val="single"/>
        </w:rPr>
        <w:t>Remedies Cumulative</w:t>
      </w:r>
      <w:r>
        <w:rPr>
          <w:rFonts w:ascii="Times New Roman;serif" w:hAnsi="Times New Roman;serif"/>
          <w:b w:val="false"/>
          <w:color w:val="000000"/>
          <w:sz w:val="24"/>
        </w:rPr>
        <w:t xml:space="preserve">. Upon any termination of the Purchase Facility pursuant to </w:t>
      </w:r>
      <w:r>
        <w:rPr>
          <w:rFonts w:ascii="Times New Roman;serif" w:hAnsi="Times New Roman;serif"/>
          <w:b w:val="false"/>
          <w:color w:val="000000"/>
          <w:sz w:val="24"/>
          <w:u w:val="single"/>
        </w:rPr>
        <w:t>Section 8.2(a)</w:t>
      </w:r>
      <w:r>
        <w:rPr>
          <w:rFonts w:ascii="Times New Roman;serif" w:hAnsi="Times New Roman;serif"/>
          <w:b w:val="false"/>
          <w:color w:val="000000"/>
          <w:sz w:val="24"/>
        </w:rPr>
        <w:t>, the Buyer (and the Administrative Agent as Buyer’s assignee) shall have, in addition to all other rights and remedies under this Agreement, all other rights and remedies provided under the UCC of each applicable jurisdiction and other Applicable Laws, which rights shall be cumulative.</w:t>
      </w:r>
    </w:p>
    <w:p>
      <w:pPr>
        <w:pStyle w:val="TextBody"/>
        <w:bidi w:val="0"/>
        <w:spacing w:lineRule="auto" w:line="240" w:before="0" w:after="240"/>
        <w:jc w:val="center"/>
        <w:rPr/>
      </w:pPr>
      <w:bookmarkStart w:id="212" w:name="id33c7fd26cd24f868a0d6c502e45c673"/>
      <w:bookmarkEnd w:id="212"/>
      <w:r>
        <w:rPr>
          <w:rFonts w:ascii="Times New Roman;serif" w:hAnsi="Times New Roman;serif"/>
          <w:b w:val="false"/>
          <w:color w:val="010000"/>
          <w:sz w:val="24"/>
        </w:rPr>
        <w:t>ARTICLE IX</w:t>
      </w:r>
      <w:r>
        <w:rPr>
          <w:rFonts w:ascii="Times New Roman;serif" w:hAnsi="Times New Roman;serif"/>
          <w:b w:val="false"/>
          <w:color w:val="000000"/>
          <w:sz w:val="24"/>
        </w:rPr>
        <w:br/>
        <w:t>INDEMNIFICATION</w:t>
      </w:r>
    </w:p>
    <w:p>
      <w:pPr>
        <w:pStyle w:val="TextBody"/>
        <w:bidi w:val="0"/>
        <w:spacing w:lineRule="auto" w:line="288" w:before="0" w:after="240"/>
        <w:ind w:left="0" w:right="0" w:firstLine="720"/>
        <w:jc w:val="both"/>
        <w:rPr/>
      </w:pPr>
      <w:bookmarkStart w:id="213" w:name="ia5c15e2da6744b80a469a9031f84c2d1"/>
      <w:bookmarkEnd w:id="213"/>
      <w:r>
        <w:rPr>
          <w:rFonts w:ascii="Times New Roman;serif" w:hAnsi="Times New Roman;serif"/>
          <w:b w:val="false"/>
          <w:color w:val="010000"/>
          <w:sz w:val="24"/>
        </w:rPr>
        <w:t>SECTION 9.1</w:t>
      </w:r>
      <w:r>
        <w:rPr>
          <w:rFonts w:ascii="Times New Roman;serif" w:hAnsi="Times New Roman;serif"/>
          <w:b w:val="false"/>
          <w:color w:val="000000"/>
          <w:sz w:val="24"/>
          <w:u w:val="single"/>
        </w:rPr>
        <w:t>Indemnities by the Originators</w:t>
      </w:r>
      <w:r>
        <w:rPr>
          <w:rFonts w:ascii="Times New Roman;serif" w:hAnsi="Times New Roman;serif"/>
          <w:b w:val="false"/>
          <w:color w:val="000000"/>
          <w:sz w:val="24"/>
        </w:rPr>
        <w:t>. Without limiting any other rights that the Buyer may have hereunder or under Applicable Law, each Originator, severally and for itself alone, hereby agrees to indemnify the Buyer, each of its officers, directors, employees, agents, employees and respective assigns (each of the foregoing Persons being individually called a “</w:t>
      </w:r>
      <w:r>
        <w:rPr>
          <w:rFonts w:ascii="Times New Roman;serif" w:hAnsi="Times New Roman;serif"/>
          <w:b w:val="false"/>
          <w:color w:val="000000"/>
          <w:sz w:val="24"/>
          <w:u w:val="single"/>
        </w:rPr>
        <w:t>Purchase and Sale Indemnified Party</w:t>
      </w:r>
      <w:r>
        <w:rPr>
          <w:color w:val="000000"/>
        </w:rPr>
        <w:t>”</w:t>
      </w:r>
      <w:r>
        <w:rPr>
          <w:rFonts w:ascii="Times New Roman;serif" w:hAnsi="Times New Roman;serif"/>
          <w:b w:val="false"/>
          <w:color w:val="000000"/>
          <w:sz w:val="24"/>
        </w:rPr>
        <w:t>), from and against any and all claims, expenses, damages, losses and liabilities suffered or sustained (including Attorney Costs) (all of the foregoing being collectively called “</w:t>
      </w:r>
      <w:r>
        <w:rPr>
          <w:rFonts w:ascii="Times New Roman;serif" w:hAnsi="Times New Roman;serif"/>
          <w:b w:val="false"/>
          <w:color w:val="000000"/>
          <w:sz w:val="24"/>
          <w:u w:val="single"/>
        </w:rPr>
        <w:t>Purchase and Sale Indemnified Amounts</w:t>
      </w:r>
      <w:r>
        <w:rPr>
          <w:color w:val="000000"/>
        </w:rPr>
        <w:t>”</w:t>
      </w:r>
      <w:r>
        <w:rPr>
          <w:rFonts w:ascii="Times New Roman;serif" w:hAnsi="Times New Roman;serif"/>
          <w:b w:val="false"/>
          <w:color w:val="000000"/>
          <w:sz w:val="24"/>
        </w:rPr>
        <w:t>) arising out of, relating to or in connection with the sale or absolute assignment and contribution of the Receivables to the Buyer under this Agreement, the ownership of the Receivables on or before the sale or absolute assignment and contribution of the Receivables to the Buyer under this Agreement, the failure to comply with any of its obligations under this Agreement or any other Transaction Document to which it is a party, any of its acts or failure to act, or the use of the proceeds from the Receivables generated by any Originator and Related Security or the security interest in respect thereof and without limiting or being limited by the foregoing, any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214" w:name="i83965ba0a45d422c934c4dde5fbbcd9a"/>
      <w:bookmarkEnd w:id="214"/>
      <w:r>
        <w:rPr>
          <w:rFonts w:ascii="Times New Roman;serif" w:hAnsi="Times New Roman;serif"/>
          <w:b w:val="false"/>
          <w:color w:val="010000"/>
          <w:sz w:val="24"/>
        </w:rPr>
        <w:t>(a)</w:t>
      </w:r>
      <w:r>
        <w:rPr>
          <w:rFonts w:ascii="Times New Roman;serif" w:hAnsi="Times New Roman;serif"/>
          <w:b w:val="false"/>
          <w:color w:val="000000"/>
          <w:sz w:val="24"/>
        </w:rPr>
        <w:t>the breach of any representation, warranty or statement made or deemed made by such Originator (or any employee, officer or agent of such Originator) under or in connection with this Agreement or any of the other Transaction Documents, or any information or report delivered by or on behalf of such Originator pursuant hereto or thereto which shall have been untrue or incorrect when made or deemed made or delivered;</w:t>
      </w:r>
    </w:p>
    <w:p>
      <w:pPr>
        <w:pStyle w:val="TextBody"/>
        <w:bidi w:val="0"/>
        <w:spacing w:lineRule="auto" w:line="288" w:before="0" w:after="240"/>
        <w:ind w:left="0" w:right="0" w:firstLine="1440"/>
        <w:jc w:val="both"/>
        <w:rPr/>
      </w:pPr>
      <w:bookmarkStart w:id="215" w:name="i99c6e329d6e94c70b49a8708886f3caa"/>
      <w:bookmarkEnd w:id="215"/>
      <w:r>
        <w:rPr>
          <w:rFonts w:ascii="Times New Roman;serif" w:hAnsi="Times New Roman;serif"/>
          <w:b w:val="false"/>
          <w:color w:val="010000"/>
          <w:sz w:val="24"/>
        </w:rPr>
        <w:t>(b)</w:t>
      </w:r>
      <w:r>
        <w:rPr>
          <w:rFonts w:ascii="Times New Roman;serif" w:hAnsi="Times New Roman;serif"/>
          <w:b w:val="false"/>
          <w:color w:val="000000"/>
          <w:sz w:val="24"/>
        </w:rPr>
        <w:t>the failure by such Originator to comply with any Applicable Law with respect to any Pool Receivable or the related Contract; or the failure of any Pool Receivable or the related Contract to conform to any such Applicable Law;</w:t>
      </w:r>
    </w:p>
    <w:p>
      <w:pPr>
        <w:pStyle w:val="TextBody"/>
        <w:bidi w:val="0"/>
        <w:spacing w:lineRule="auto" w:line="288" w:before="0" w:after="240"/>
        <w:ind w:left="0" w:right="0" w:firstLine="1440"/>
        <w:jc w:val="both"/>
        <w:rPr/>
      </w:pPr>
      <w:bookmarkStart w:id="216" w:name="ibb8180f625384e038c95b5346c21096e"/>
      <w:bookmarkEnd w:id="216"/>
      <w:r>
        <w:rPr>
          <w:rFonts w:ascii="Times New Roman;serif" w:hAnsi="Times New Roman;serif"/>
          <w:b w:val="false"/>
          <w:color w:val="010000"/>
          <w:sz w:val="24"/>
        </w:rPr>
        <w:t>(c)</w:t>
      </w:r>
      <w:r>
        <w:rPr>
          <w:rFonts w:ascii="Times New Roman;serif" w:hAnsi="Times New Roman;serif"/>
          <w:b w:val="false"/>
          <w:color w:val="000000"/>
          <w:sz w:val="24"/>
        </w:rPr>
        <w:t>the lack of an enforceable first priority perfected security interest (within the meaning of the applicable UCC), in the Pool Receivables (and all Related Security) originated by such Originator against all Persons (including any bankruptcy trustee or similar Person), free and clear of any Adverse Claim;</w:t>
      </w:r>
    </w:p>
    <w:p>
      <w:pPr>
        <w:pStyle w:val="TextBody"/>
        <w:bidi w:val="0"/>
        <w:spacing w:lineRule="auto" w:line="288" w:before="0" w:after="240"/>
        <w:ind w:left="0" w:right="0" w:firstLine="1440"/>
        <w:jc w:val="both"/>
        <w:rPr/>
      </w:pPr>
      <w:bookmarkStart w:id="217" w:name="i2dfb9bfc8da748348d6fb0d4a285bbde"/>
      <w:bookmarkEnd w:id="217"/>
      <w:r>
        <w:rPr>
          <w:rFonts w:ascii="Times New Roman;serif" w:hAnsi="Times New Roman;serif"/>
          <w:b w:val="false"/>
          <w:color w:val="010000"/>
          <w:sz w:val="24"/>
        </w:rPr>
        <w:t>(d)</w:t>
      </w:r>
      <w:r>
        <w:rPr>
          <w:rFonts w:ascii="Times New Roman;serif" w:hAnsi="Times New Roman;serif"/>
          <w:b w:val="false"/>
          <w:color w:val="000000"/>
          <w:sz w:val="24"/>
        </w:rPr>
        <w:t>the failure to have filed, or any delay in filing, financing statements, financing statement amendments, continuation statements or other similar instruments or documents under the UCC of any applicable jurisdiction or other Applicable Laws with respect to the sale, transfer, absolute assignment or contribution to the Buyer of any Pool Receivable or the Related Rights at any time;</w:t>
      </w:r>
    </w:p>
    <w:p>
      <w:pPr>
        <w:pStyle w:val="TextBody"/>
        <w:bidi w:val="0"/>
        <w:spacing w:lineRule="auto" w:line="288" w:before="0" w:after="240"/>
        <w:ind w:left="0" w:right="0" w:firstLine="1440"/>
        <w:jc w:val="both"/>
        <w:rPr/>
      </w:pPr>
      <w:bookmarkStart w:id="218" w:name="id4c9a209f62848a9b53e0254f5e72abc"/>
      <w:bookmarkEnd w:id="218"/>
      <w:r>
        <w:rPr>
          <w:rFonts w:ascii="Times New Roman;serif" w:hAnsi="Times New Roman;serif"/>
          <w:b w:val="false"/>
          <w:color w:val="010000"/>
          <w:sz w:val="24"/>
        </w:rPr>
        <w:t>(e)</w:t>
      </w:r>
      <w:r>
        <w:rPr>
          <w:rFonts w:ascii="Times New Roman;serif" w:hAnsi="Times New Roman;serif"/>
          <w:b w:val="false"/>
          <w:color w:val="000000"/>
          <w:sz w:val="24"/>
        </w:rPr>
        <w:t>the transfer by such Originator of any interest in any Pool Receivable or Related Right other than the transfer of any Pool Receivable and Related Security to the Buyer pursuant to this Agreement and the grant of a security interest (within the meaning of the applicable UCC) to the Buyer pursuant to this Agreement;</w:t>
      </w:r>
    </w:p>
    <w:p>
      <w:pPr>
        <w:pStyle w:val="TextBody"/>
        <w:bidi w:val="0"/>
        <w:spacing w:lineRule="auto" w:line="288" w:before="0" w:after="240"/>
        <w:ind w:left="0" w:right="0" w:firstLine="1440"/>
        <w:jc w:val="both"/>
        <w:rPr/>
      </w:pPr>
      <w:bookmarkStart w:id="219" w:name="ibd043f45c98a432bac2891ff82ac98eb"/>
      <w:bookmarkEnd w:id="219"/>
      <w:r>
        <w:rPr>
          <w:rFonts w:ascii="Times New Roman;serif" w:hAnsi="Times New Roman;serif"/>
          <w:b w:val="false"/>
          <w:color w:val="010000"/>
          <w:sz w:val="24"/>
        </w:rPr>
        <w:t>(f)</w:t>
      </w:r>
      <w:r>
        <w:rPr>
          <w:rFonts w:ascii="Times New Roman;serif" w:hAnsi="Times New Roman;serif"/>
          <w:b w:val="false"/>
          <w:color w:val="000000"/>
          <w:sz w:val="24"/>
        </w:rPr>
        <w:t>any dispute, claim, offset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pStyle w:val="TextBody"/>
        <w:bidi w:val="0"/>
        <w:spacing w:lineRule="auto" w:line="288" w:before="0" w:after="240"/>
        <w:ind w:left="0" w:right="0" w:firstLine="1440"/>
        <w:jc w:val="both"/>
        <w:rPr/>
      </w:pPr>
      <w:bookmarkStart w:id="220" w:name="i5946e8e96cfb4ec0b222f94c99596ca1"/>
      <w:bookmarkEnd w:id="220"/>
      <w:r>
        <w:rPr>
          <w:rFonts w:ascii="Times New Roman;serif" w:hAnsi="Times New Roman;serif"/>
          <w:b w:val="false"/>
          <w:color w:val="010000"/>
          <w:sz w:val="24"/>
        </w:rPr>
        <w:t>(g)</w:t>
      </w:r>
      <w:r>
        <w:rPr>
          <w:rFonts w:ascii="Times New Roman;serif" w:hAnsi="Times New Roman;serif"/>
          <w:b w:val="false"/>
          <w:color w:val="000000"/>
          <w:sz w:val="24"/>
        </w:rPr>
        <w:t>any failure of such Originator to perform any of its duties or obligations in accordance with the provisions hereof and of each other Transaction Document related to Pool Receivables or to timely and fully comply with the Credit and Collection Procedures in regard to each Pool Receivable;</w:t>
      </w:r>
    </w:p>
    <w:p>
      <w:pPr>
        <w:pStyle w:val="TextBody"/>
        <w:bidi w:val="0"/>
        <w:spacing w:lineRule="auto" w:line="288" w:before="0" w:after="240"/>
        <w:ind w:left="0" w:right="0" w:firstLine="1440"/>
        <w:jc w:val="both"/>
        <w:rPr/>
      </w:pPr>
      <w:bookmarkStart w:id="221" w:name="i98f5acdfa5e846a3ab1359b33c0c34a8"/>
      <w:bookmarkEnd w:id="221"/>
      <w:r>
        <w:rPr>
          <w:rFonts w:ascii="Times New Roman;serif" w:hAnsi="Times New Roman;serif"/>
          <w:b w:val="false"/>
          <w:color w:val="010000"/>
          <w:sz w:val="24"/>
        </w:rPr>
        <w:t>(h)</w:t>
      </w:r>
      <w:r>
        <w:rPr>
          <w:rFonts w:ascii="Times New Roman;serif" w:hAnsi="Times New Roman;serif"/>
          <w:b w:val="false"/>
          <w:color w:val="000000"/>
          <w:sz w:val="24"/>
        </w:rPr>
        <w:t>the commingling of Collections of Pool Receivables at any time with other funds;</w:t>
      </w:r>
    </w:p>
    <w:p>
      <w:pPr>
        <w:pStyle w:val="TextBody"/>
        <w:bidi w:val="0"/>
        <w:spacing w:lineRule="auto" w:line="288" w:before="0" w:after="240"/>
        <w:ind w:left="0" w:right="0" w:firstLine="1440"/>
        <w:jc w:val="both"/>
        <w:rPr/>
      </w:pPr>
      <w:bookmarkStart w:id="222" w:name="ic7028f8e923845c88b2691eda0721725"/>
      <w:bookmarkEnd w:id="222"/>
      <w:r>
        <w:rPr>
          <w:rFonts w:ascii="Times New Roman;serif" w:hAnsi="Times New Roman;serif"/>
          <w:b w:val="false"/>
          <w:color w:val="010000"/>
          <w:sz w:val="24"/>
        </w:rPr>
        <w:t>(i)</w:t>
      </w:r>
      <w:r>
        <w:rPr>
          <w:rFonts w:ascii="Times New Roman;serif" w:hAnsi="Times New Roman;serif"/>
          <w:b w:val="false"/>
          <w:color w:val="000000"/>
          <w:sz w:val="24"/>
        </w:rPr>
        <w:t xml:space="preserve">any investigation, litigation or proceeding (actual or threatened) related to its obligations under this Agreement or any other Transaction Document or in respect of any Pool Receivable or any Related Rights arising out of the Originator’s origination, ownership, sale, transfer, assignment or servicing of such Pool Receivable;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223" w:name="i452eaa5b928b45a78d9f1115de1f54a0"/>
      <w:bookmarkEnd w:id="223"/>
      <w:r>
        <w:rPr>
          <w:rFonts w:ascii="Times New Roman;serif" w:hAnsi="Times New Roman;serif"/>
          <w:b w:val="false"/>
          <w:color w:val="010000"/>
          <w:sz w:val="24"/>
        </w:rPr>
        <w:t>(j)</w:t>
      </w:r>
      <w:r>
        <w:rPr>
          <w:rFonts w:ascii="Times New Roman;serif" w:hAnsi="Times New Roman;serif"/>
          <w:b w:val="false"/>
          <w:color w:val="000000"/>
          <w:sz w:val="24"/>
        </w:rPr>
        <w:t>any failure of any Originator to comply with its covenants, obligations and agreements contained in this Agreement or any other Transaction Document;</w:t>
      </w:r>
    </w:p>
    <w:p>
      <w:pPr>
        <w:pStyle w:val="TextBody"/>
        <w:bidi w:val="0"/>
        <w:spacing w:lineRule="auto" w:line="288" w:before="0" w:after="240"/>
        <w:ind w:left="0" w:right="0" w:firstLine="1440"/>
        <w:jc w:val="both"/>
        <w:rPr/>
      </w:pPr>
      <w:bookmarkStart w:id="224" w:name="ib052c2aa1ca848a6bf27dc1709a7aa37"/>
      <w:bookmarkEnd w:id="224"/>
      <w:r>
        <w:rPr>
          <w:rFonts w:ascii="Times New Roman;serif" w:hAnsi="Times New Roman;serif"/>
          <w:b w:val="false"/>
          <w:color w:val="010000"/>
          <w:sz w:val="24"/>
        </w:rPr>
        <w:t>(k)</w:t>
      </w:r>
      <w:r>
        <w:rPr>
          <w:rFonts w:ascii="Times New Roman;serif" w:hAnsi="Times New Roman;serif"/>
          <w:b w:val="false"/>
          <w:color w:val="000000"/>
          <w:sz w:val="24"/>
        </w:rPr>
        <w:t>any offset, setoff, adjustment or other non-cash reduction of any Pool Receivable (including Deemed Collections) not arising from the bankruptcy or insolvency, lack of creditworthiness or other financial default or inability to pay of the related Obligor any undisputed indebtedness;</w:t>
      </w:r>
    </w:p>
    <w:p>
      <w:pPr>
        <w:pStyle w:val="TextBody"/>
        <w:bidi w:val="0"/>
        <w:spacing w:lineRule="auto" w:line="288" w:before="0" w:after="240"/>
        <w:ind w:left="0" w:right="0" w:firstLine="1440"/>
        <w:jc w:val="both"/>
        <w:rPr/>
      </w:pPr>
      <w:bookmarkStart w:id="225" w:name="ia2847bbc62d248fc87b9e1ddd6f44c82"/>
      <w:bookmarkEnd w:id="225"/>
      <w:r>
        <w:rPr>
          <w:rFonts w:ascii="Times New Roman;serif" w:hAnsi="Times New Roman;serif"/>
          <w:b w:val="false"/>
          <w:color w:val="010000"/>
          <w:sz w:val="24"/>
        </w:rPr>
        <w:t>(l)</w:t>
      </w:r>
      <w:r>
        <w:rPr>
          <w:rFonts w:ascii="Times New Roman;serif" w:hAnsi="Times New Roman;serif"/>
          <w:b w:val="false"/>
          <w:color w:val="000000"/>
          <w:sz w:val="24"/>
        </w:rPr>
        <w:t xml:space="preserve">any suit or claim related to the Pool Receivables originated by such Originator (including any products liability or environmental liability claim) arising out of or in connection with any Pool Receivable or other merchandise, goods or services that are the subject of or related to any Pool Receivable; </w:t>
      </w:r>
    </w:p>
    <w:p>
      <w:pPr>
        <w:pStyle w:val="TextBody"/>
        <w:bidi w:val="0"/>
        <w:spacing w:lineRule="auto" w:line="288" w:before="0" w:after="240"/>
        <w:ind w:left="0" w:right="0" w:firstLine="1440"/>
        <w:jc w:val="both"/>
        <w:rPr/>
      </w:pPr>
      <w:bookmarkStart w:id="226" w:name="if6a66e55f66d478596f18913ffb38588"/>
      <w:bookmarkEnd w:id="226"/>
      <w:r>
        <w:rPr>
          <w:rFonts w:ascii="Times New Roman;serif" w:hAnsi="Times New Roman;serif"/>
          <w:b w:val="false"/>
          <w:color w:val="010000"/>
          <w:sz w:val="24"/>
        </w:rPr>
        <w:t>(m)</w:t>
      </w:r>
      <w:r>
        <w:rPr>
          <w:rFonts w:ascii="Times New Roman;serif" w:hAnsi="Times New Roman;serif"/>
          <w:b w:val="false"/>
          <w:color w:val="000000"/>
          <w:sz w:val="24"/>
        </w:rPr>
        <w:t>any claim brought by any Person other than a Purchase and Sale Indemnified Party arising from any activity by such Originator or any Affiliate of such Originator in servicing, administering or collecting any Pool Receivable;</w:t>
      </w:r>
    </w:p>
    <w:p>
      <w:pPr>
        <w:pStyle w:val="TextBody"/>
        <w:bidi w:val="0"/>
        <w:spacing w:lineRule="auto" w:line="288" w:before="0" w:after="240"/>
        <w:ind w:left="0" w:right="0" w:firstLine="1440"/>
        <w:jc w:val="both"/>
        <w:rPr/>
      </w:pPr>
      <w:bookmarkStart w:id="227" w:name="i2e48b36c87e14f95aaf558f8183978d5"/>
      <w:bookmarkEnd w:id="227"/>
      <w:r>
        <w:rPr>
          <w:rFonts w:ascii="Times New Roman;serif" w:hAnsi="Times New Roman;serif"/>
          <w:b w:val="false"/>
          <w:color w:val="010000"/>
          <w:sz w:val="24"/>
        </w:rPr>
        <w:t>(n)</w:t>
      </w:r>
      <w:r>
        <w:rPr>
          <w:rFonts w:ascii="Times New Roman;serif" w:hAnsi="Times New Roman;serif"/>
          <w:b w:val="false"/>
          <w:color w:val="000000"/>
          <w:sz w:val="24"/>
        </w:rPr>
        <w:t xml:space="preserve">the failure by such Originator to pay when due any taxes, including, without limitation, sales, excise or personal property taxes; </w:t>
      </w:r>
    </w:p>
    <w:p>
      <w:pPr>
        <w:pStyle w:val="TextBody"/>
        <w:bidi w:val="0"/>
        <w:spacing w:lineRule="auto" w:line="288" w:before="0" w:after="240"/>
        <w:ind w:left="0" w:right="0" w:firstLine="1440"/>
        <w:jc w:val="both"/>
        <w:rPr/>
      </w:pPr>
      <w:bookmarkStart w:id="228" w:name="i275812c8573742d688dbbe1a62530f95"/>
      <w:bookmarkEnd w:id="228"/>
      <w:r>
        <w:rPr>
          <w:rFonts w:ascii="Times New Roman;serif" w:hAnsi="Times New Roman;serif"/>
          <w:b w:val="false"/>
          <w:color w:val="010000"/>
          <w:sz w:val="24"/>
        </w:rPr>
        <w:t>(o)</w:t>
      </w:r>
      <w:r>
        <w:rPr>
          <w:rFonts w:ascii="Times New Roman;serif" w:hAnsi="Times New Roman;serif"/>
          <w:b w:val="false"/>
          <w:color w:val="000000"/>
          <w:sz w:val="24"/>
        </w:rPr>
        <w:t>any dispute, claim, offset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bankruptcy or insolvency, lack of creditworthiness or other financial default or inability to pay of the related Obligor any undisputed indebtedness;</w:t>
      </w:r>
    </w:p>
    <w:p>
      <w:pPr>
        <w:pStyle w:val="TextBody"/>
        <w:bidi w:val="0"/>
        <w:spacing w:lineRule="auto" w:line="288" w:before="0" w:after="240"/>
        <w:ind w:left="0" w:right="0" w:firstLine="1440"/>
        <w:jc w:val="both"/>
        <w:rPr/>
      </w:pPr>
      <w:bookmarkStart w:id="229" w:name="i31b5f989cb12468da175973711d3afd0"/>
      <w:bookmarkEnd w:id="229"/>
      <w:r>
        <w:rPr>
          <w:rFonts w:ascii="Times New Roman;serif" w:hAnsi="Times New Roman;serif"/>
          <w:b w:val="false"/>
          <w:color w:val="010000"/>
          <w:sz w:val="24"/>
        </w:rPr>
        <w:t>(p)</w:t>
      </w:r>
      <w:r>
        <w:rPr>
          <w:rFonts w:ascii="Times New Roman;serif" w:hAnsi="Times New Roman;serif"/>
          <w:b w:val="false"/>
          <w:color w:val="000000"/>
          <w:sz w:val="24"/>
        </w:rPr>
        <w:t xml:space="preserve">any action taken by the Administrative Agent as attorney-in-fact for such Originator pursuant to this Agreement or any other Transaction Document; </w:t>
      </w:r>
    </w:p>
    <w:p>
      <w:pPr>
        <w:pStyle w:val="TextBody"/>
        <w:bidi w:val="0"/>
        <w:spacing w:lineRule="auto" w:line="288" w:before="0" w:after="240"/>
        <w:ind w:left="0" w:right="0" w:firstLine="1440"/>
        <w:jc w:val="both"/>
        <w:rPr/>
      </w:pPr>
      <w:bookmarkStart w:id="230" w:name="icd2b22e2bcdb4811be5bc23e10e1183a"/>
      <w:bookmarkEnd w:id="230"/>
      <w:r>
        <w:rPr>
          <w:rFonts w:ascii="Times New Roman;serif" w:hAnsi="Times New Roman;serif"/>
          <w:b w:val="false"/>
          <w:color w:val="010000"/>
          <w:sz w:val="24"/>
        </w:rPr>
        <w:t>(q)</w:t>
      </w:r>
      <w:r>
        <w:rPr>
          <w:rFonts w:ascii="Times New Roman;serif" w:hAnsi="Times New Roman;serif"/>
          <w:b w:val="false"/>
          <w:color w:val="000000"/>
          <w:sz w:val="24"/>
        </w:rPr>
        <w:t>the failure or delay to provide any Obligor with an invoice or other evidence of indebtedness related to a Pool Receivable; or</w:t>
      </w:r>
    </w:p>
    <w:p>
      <w:pPr>
        <w:pStyle w:val="TextBody"/>
        <w:bidi w:val="0"/>
        <w:spacing w:lineRule="auto" w:line="288" w:before="0" w:after="240"/>
        <w:ind w:left="0" w:right="0" w:firstLine="1440"/>
        <w:jc w:val="both"/>
        <w:rPr/>
      </w:pPr>
      <w:bookmarkStart w:id="231" w:name="iabdbfe3f147f47439d719e83b13d743e"/>
      <w:bookmarkEnd w:id="231"/>
      <w:r>
        <w:rPr>
          <w:rFonts w:ascii="Times New Roman;serif" w:hAnsi="Times New Roman;serif"/>
          <w:b w:val="false"/>
          <w:color w:val="010000"/>
          <w:sz w:val="24"/>
        </w:rPr>
        <w:t>(r)</w:t>
      </w:r>
      <w:r>
        <w:rPr>
          <w:rFonts w:ascii="Times New Roman;serif" w:hAnsi="Times New Roman;serif"/>
          <w:b w:val="false"/>
          <w:color w:val="000000"/>
          <w:sz w:val="24"/>
        </w:rPr>
        <w:t>any tax or governmental fee or charge, all interest and penalties thereon or with respect thereto, and all out-of-pocket costs and expenses, including without limitation Attorney Costs in defending against the same, which are required to be paid by reason of the purchase or ownership of the Receivables generated by such Originator or any Related Rights connected with any such Receivables;</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indemnity shall not be available to any Purchase and Sale Indemnified Party to the extent that such losses, claims, damages, liabilities or related expenses (i) are determined by a court of competent jurisdiction in a final and nonappealable judgment to have resulted solely from the gross negligence or willful misconduct of a Purchase and Sale Indemnified Party or (ii) constitute recourse with respect to a Pool Receivable by reason of the bankruptcy or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insolvency, lack of creditworthiness or other financial default or inability to pay of the related Obligor. </w:t>
      </w:r>
    </w:p>
    <w:p>
      <w:pPr>
        <w:pStyle w:val="TextBody"/>
        <w:bidi w:val="0"/>
        <w:spacing w:lineRule="auto" w:line="288" w:before="0" w:after="240"/>
        <w:jc w:val="both"/>
        <w:rPr/>
      </w:pPr>
      <w:r>
        <w:rPr>
          <w:rFonts w:ascii="Times New Roman;serif" w:hAnsi="Times New Roman;serif"/>
          <w:b w:val="false"/>
          <w:color w:val="000000"/>
          <w:sz w:val="24"/>
        </w:rPr>
        <w:t xml:space="preserve">If for any reason (other than the gross negligence or willful misconduct of any Purchase and Sale Indemnified Party) the indemnification provided above in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is unavailable to a Purchase and Sale Indemnified Party or is insufficient to hold such Purchase and Sale Indemnified Party harmless, then each of the Originators, severally and for itself alone, shall contribute to the amount paid or payable by such Purchase and Sale Indemnified Party to the maximum extent permitted under Applicable Law. The reimbursement, indemnity and contribution obligations of such Originator under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be in addition to any liability which such Originator may otherwise have, shall extend upon the same terms and conditions to Purchase and Sale Indemnified Party, and shall be binding upon and inure to the benefit of any successors, assigns, heirs and personal representatives of such Originator and the Purchase and Sale Indemnified Parties.</w:t>
      </w:r>
    </w:p>
    <w:p>
      <w:pPr>
        <w:pStyle w:val="TextBody"/>
        <w:bidi w:val="0"/>
        <w:spacing w:lineRule="auto" w:line="240" w:before="0" w:after="240"/>
        <w:jc w:val="center"/>
        <w:rPr/>
      </w:pPr>
      <w:bookmarkStart w:id="232" w:name="i1e3b5db6600b4e08a94e219ecbaf8794"/>
      <w:bookmarkEnd w:id="232"/>
      <w:r>
        <w:rPr>
          <w:rFonts w:ascii="Times New Roman;serif" w:hAnsi="Times New Roman;serif"/>
          <w:b w:val="false"/>
          <w:color w:val="010000"/>
          <w:sz w:val="24"/>
        </w:rPr>
        <w:t>ARTICLE X</w:t>
      </w:r>
      <w:r>
        <w:rPr>
          <w:rFonts w:ascii="Times New Roman;serif" w:hAnsi="Times New Roman;serif"/>
          <w:b w:val="false"/>
          <w:color w:val="000000"/>
          <w:sz w:val="24"/>
        </w:rPr>
        <w:br/>
        <w:t>MISCELLANEOUS</w:t>
      </w:r>
    </w:p>
    <w:p>
      <w:pPr>
        <w:pStyle w:val="TextBody"/>
        <w:bidi w:val="0"/>
        <w:spacing w:lineRule="auto" w:line="288" w:before="0" w:after="240"/>
        <w:ind w:left="0" w:right="0" w:firstLine="720"/>
        <w:jc w:val="both"/>
        <w:rPr/>
      </w:pPr>
      <w:bookmarkStart w:id="233" w:name="i45de36384c934bccb0d297a978fd9999"/>
      <w:bookmarkEnd w:id="233"/>
      <w:r>
        <w:rPr>
          <w:rFonts w:ascii="Times New Roman;serif" w:hAnsi="Times New Roman;serif"/>
          <w:b w:val="false"/>
          <w:color w:val="010000"/>
          <w:sz w:val="24"/>
        </w:rPr>
        <w:t>SECTION 10.1</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bookmarkStart w:id="234" w:name="ie983ddabbd0641aea996775d294b39a3"/>
      <w:bookmarkEnd w:id="234"/>
      <w:r>
        <w:rPr>
          <w:rFonts w:ascii="Times New Roman;serif" w:hAnsi="Times New Roman;serif"/>
          <w:b w:val="false"/>
          <w:color w:val="010000"/>
          <w:sz w:val="24"/>
        </w:rPr>
        <w:t>(a)</w:t>
      </w:r>
      <w:r>
        <w:rPr>
          <w:rFonts w:ascii="Times New Roman;serif" w:hAnsi="Times New Roman;serif"/>
          <w:b w:val="false"/>
          <w:color w:val="000000"/>
          <w:sz w:val="24"/>
        </w:rPr>
        <w:t>The provisions of this Agreement may from time to time be amended, modified or waived, if such amendment, modification or waiver is in writing and executed by the Buyer, the Servicer and each Originator, with the prior written consent of the Administrative Agent and the Majority Group Agents.</w:t>
      </w:r>
    </w:p>
    <w:p>
      <w:pPr>
        <w:pStyle w:val="TextBody"/>
        <w:bidi w:val="0"/>
        <w:spacing w:lineRule="auto" w:line="288" w:before="0" w:after="240"/>
        <w:ind w:left="0" w:right="0" w:firstLine="1440"/>
        <w:jc w:val="both"/>
        <w:rPr/>
      </w:pPr>
      <w:bookmarkStart w:id="235" w:name="i11f713aa2a244159be9b592cd899fc14"/>
      <w:bookmarkEnd w:id="235"/>
      <w:r>
        <w:rPr>
          <w:rFonts w:ascii="Times New Roman;serif" w:hAnsi="Times New Roman;serif"/>
          <w:b w:val="false"/>
          <w:color w:val="010000"/>
          <w:sz w:val="24"/>
        </w:rPr>
        <w:t>(b)</w:t>
      </w:r>
      <w:r>
        <w:rPr>
          <w:rFonts w:ascii="Times New Roman;serif" w:hAnsi="Times New Roman;serif"/>
          <w:b w:val="false"/>
          <w:color w:val="000000"/>
          <w:sz w:val="24"/>
        </w:rPr>
        <w:t>No failure or delay on the part of the Buyer, the Servicer, any Sub-Servicer, any Originator, the Administrative Agent or any third-party beneficiary in exercising any right hereunder shall operate as a waiver thereof, nor shall any single or partial exercise of any such right preclude any other or further exercise thereof or the exercise of any other power or right. No waiver or approval by the Buyer or the Servicer under this Agreement shall, except as may otherwise be stated in such waiver or approval, be applicable to subsequent transactions. No waiver or approval under this Agreement shall require any similar or dissimilar waiver or approval thereafter to be granted hereunder.</w:t>
      </w:r>
    </w:p>
    <w:p>
      <w:pPr>
        <w:pStyle w:val="TextBody"/>
        <w:bidi w:val="0"/>
        <w:spacing w:lineRule="auto" w:line="288" w:before="0" w:after="240"/>
        <w:ind w:left="0" w:right="0" w:firstLine="1440"/>
        <w:jc w:val="both"/>
        <w:rPr/>
      </w:pPr>
      <w:bookmarkStart w:id="236" w:name="ie1f1ac338adf477f8eeae7126de47faf"/>
      <w:bookmarkEnd w:id="236"/>
      <w:r>
        <w:rPr>
          <w:rFonts w:ascii="Times New Roman;serif" w:hAnsi="Times New Roman;serif"/>
          <w:b w:val="false"/>
          <w:color w:val="010000"/>
          <w:sz w:val="24"/>
        </w:rPr>
        <w:t>(c)</w:t>
      </w:r>
      <w:r>
        <w:rPr>
          <w:rFonts w:ascii="Times New Roman;serif" w:hAnsi="Times New Roman;serif"/>
          <w:b w:val="false"/>
          <w:color w:val="000000"/>
          <w:sz w:val="24"/>
        </w:rPr>
        <w:t>The Transaction Documents contain a final and complete integration of all prior expressions by the parties hereto with respect to the subject matter thereof and shall constitute the entire agreement among the parties hereto with respect to the subject matter thereof, superseding all prior oral or written understandings.</w:t>
      </w:r>
    </w:p>
    <w:p>
      <w:pPr>
        <w:pStyle w:val="TextBody"/>
        <w:bidi w:val="0"/>
        <w:spacing w:lineRule="auto" w:line="288" w:before="0" w:after="240"/>
        <w:ind w:left="0" w:right="0" w:firstLine="720"/>
        <w:jc w:val="both"/>
        <w:rPr/>
      </w:pPr>
      <w:bookmarkStart w:id="237" w:name="iab78982ffde24a2684da0b144fe8e3db"/>
      <w:bookmarkEnd w:id="237"/>
      <w:r>
        <w:rPr>
          <w:rFonts w:ascii="Times New Roman;serif" w:hAnsi="Times New Roman;serif"/>
          <w:b w:val="false"/>
          <w:color w:val="010000"/>
          <w:sz w:val="24"/>
        </w:rPr>
        <w:t>SECTION 10.2</w:t>
      </w:r>
      <w:r>
        <w:rPr>
          <w:rFonts w:ascii="Times New Roman;serif" w:hAnsi="Times New Roman;serif"/>
          <w:b w:val="false"/>
          <w:color w:val="000000"/>
          <w:sz w:val="24"/>
          <w:u w:val="single"/>
        </w:rPr>
        <w:t>Notices, etc</w:t>
      </w:r>
      <w:r>
        <w:rPr>
          <w:rFonts w:ascii="Times New Roman;serif" w:hAnsi="Times New Roman;serif"/>
          <w:b w:val="false"/>
          <w:color w:val="000000"/>
          <w:sz w:val="24"/>
        </w:rPr>
        <w:t xml:space="preserve">. All notices and other communications hereunder shall, unless otherwise stated herein, be in writing (which shall include facsimile communication) and shall be faxed or delivered to each party hereto, at its address or facsimile number set forth under its name on </w:t>
      </w:r>
      <w:r>
        <w:rPr>
          <w:rFonts w:ascii="Times New Roman;serif" w:hAnsi="Times New Roman;serif"/>
          <w:b w:val="false"/>
          <w:color w:val="000000"/>
          <w:sz w:val="24"/>
          <w:u w:val="single"/>
        </w:rPr>
        <w:t>Schedule IV</w:t>
      </w:r>
      <w:r>
        <w:rPr>
          <w:color w:val="000000"/>
        </w:rPr>
        <w:t xml:space="preserve"> </w:t>
      </w:r>
      <w:r>
        <w:rPr>
          <w:rFonts w:ascii="Times New Roman;serif" w:hAnsi="Times New Roman;serif"/>
          <w:b w:val="false"/>
          <w:color w:val="000000"/>
          <w:sz w:val="24"/>
        </w:rPr>
        <w:t xml:space="preserve">hereof or at such other address or facsimile number as shall be designated by such party in a written notice to the other parties hereto or in the case of the Administrative Agent, any Lender or any Group Agent, at their respective address for notices pursuant to the Receivables Financing Agreement. Notices and communications shall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effective when sent (and shall be followed by hard copy sent by regular mail), and notices and communications sent by other means shall be effective when received.</w:t>
      </w:r>
    </w:p>
    <w:p>
      <w:pPr>
        <w:pStyle w:val="TextBody"/>
        <w:bidi w:val="0"/>
        <w:spacing w:lineRule="auto" w:line="288" w:before="0" w:after="240"/>
        <w:ind w:left="0" w:right="0" w:firstLine="720"/>
        <w:jc w:val="both"/>
        <w:rPr/>
      </w:pPr>
      <w:bookmarkStart w:id="238" w:name="i4b8acdda3bcf4b7084d465f0f0c303eb"/>
      <w:bookmarkEnd w:id="238"/>
      <w:r>
        <w:rPr>
          <w:rFonts w:ascii="Times New Roman;serif" w:hAnsi="Times New Roman;serif"/>
          <w:b w:val="false"/>
          <w:color w:val="010000"/>
          <w:sz w:val="24"/>
        </w:rPr>
        <w:t>SECTION 10.3</w:t>
      </w:r>
      <w:r>
        <w:rPr>
          <w:rFonts w:ascii="Times New Roman;serif" w:hAnsi="Times New Roman;serif"/>
          <w:b w:val="false"/>
          <w:color w:val="000000"/>
          <w:sz w:val="24"/>
          <w:u w:val="single"/>
        </w:rPr>
        <w:t>No Waiver; Cumulative Remedies</w:t>
      </w:r>
      <w:r>
        <w:rPr>
          <w:rFonts w:ascii="Times New Roman;serif" w:hAnsi="Times New Roman;serif"/>
          <w:b w:val="false"/>
          <w:color w:val="000000"/>
          <w:sz w:val="24"/>
        </w:rPr>
        <w:t>. The remedies herein provided are cumulative and not exclusive of any remedies provided by law. Without limiting the foregoing, Integra Sales and each Originator hereby authorizes the Buyer, the Administrative Agent, each Lender and each Group Agent (collectively, the “</w:t>
      </w:r>
      <w:r>
        <w:rPr>
          <w:rFonts w:ascii="Times New Roman;serif" w:hAnsi="Times New Roman;serif"/>
          <w:b w:val="false"/>
          <w:color w:val="000000"/>
          <w:sz w:val="24"/>
          <w:u w:val="single"/>
        </w:rPr>
        <w:t>Set-off Parties</w:t>
      </w:r>
      <w:r>
        <w:rPr>
          <w:color w:val="000000"/>
        </w:rPr>
        <w:t>”</w:t>
      </w:r>
      <w:r>
        <w:rPr>
          <w:rFonts w:ascii="Times New Roman;serif" w:hAnsi="Times New Roman;serif"/>
          <w:b w:val="false"/>
          <w:color w:val="000000"/>
          <w:sz w:val="24"/>
        </w:rPr>
        <w:t xml:space="preserve">), at any time and from time to time, to the fullest extent permitted by law, to set off, against any obligations of Integra Sales or such Originator to such Set-off Party arising in connection with the Transaction Documents (including, without limitation, amounts payable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that are then due and payable or that are not then due and payable but have accrued, any and all deposits (general or special, time or demand, provisional or final) at any time held by, and any and all indebtedness at any time owing by, any Set-off Party to or for the credit or the account of Integra Sales or such Originator.</w:t>
      </w:r>
    </w:p>
    <w:p>
      <w:pPr>
        <w:pStyle w:val="TextBody"/>
        <w:bidi w:val="0"/>
        <w:spacing w:lineRule="auto" w:line="288" w:before="0" w:after="240"/>
        <w:ind w:left="0" w:right="0" w:firstLine="720"/>
        <w:jc w:val="both"/>
        <w:rPr/>
      </w:pPr>
      <w:bookmarkStart w:id="239" w:name="ia8b43df5a4674740b810d6c6e2e84b69"/>
      <w:bookmarkEnd w:id="239"/>
      <w:r>
        <w:rPr>
          <w:rFonts w:ascii="Times New Roman;serif" w:hAnsi="Times New Roman;serif"/>
          <w:b w:val="false"/>
          <w:color w:val="010000"/>
          <w:sz w:val="24"/>
        </w:rPr>
        <w:t>SECTION 10.4</w:t>
      </w:r>
      <w:r>
        <w:rPr>
          <w:rFonts w:ascii="Times New Roman;serif" w:hAnsi="Times New Roman;serif"/>
          <w:b w:val="false"/>
          <w:color w:val="000000"/>
          <w:sz w:val="24"/>
          <w:u w:val="single"/>
        </w:rPr>
        <w:t>Binding Effect; Assignability</w:t>
      </w:r>
      <w:r>
        <w:rPr>
          <w:rFonts w:ascii="Times New Roman;serif" w:hAnsi="Times New Roman;serif"/>
          <w:b w:val="false"/>
          <w:color w:val="000000"/>
          <w:sz w:val="24"/>
        </w:rPr>
        <w:t xml:space="preserve">. This Agreement shall be binding upon and inure to the benefit of the Buyer and each Originator and their respective successors and permitted assigns. No Originator may assign any of its rights hereunder or any interest herein without the prior written consent of the Buyer, the Administrative Agent and each Group Agent, except as otherwise herein specifically provided. This Agreement shall create and constitute the continuing obligations of the parties hereto in accordance with its terms, and shall remain in full force and effect until such time as the parties hereto shall agree. The rights and remedies with respect to any breach of any representation and warranty made by any Originator pursuant to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the indemnification and payment provisions 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10.6</w:t>
      </w:r>
      <w:r>
        <w:rPr>
          <w:color w:val="000000"/>
        </w:rPr>
        <w:t xml:space="preserve"> </w:t>
      </w:r>
      <w:r>
        <w:rPr>
          <w:rFonts w:ascii="Times New Roman;serif" w:hAnsi="Times New Roman;serif"/>
          <w:b w:val="false"/>
          <w:color w:val="000000"/>
          <w:sz w:val="24"/>
        </w:rPr>
        <w:t>shall be continuing and shall survive any termination of this Agreement.</w:t>
      </w:r>
    </w:p>
    <w:p>
      <w:pPr>
        <w:pStyle w:val="TextBody"/>
        <w:bidi w:val="0"/>
        <w:spacing w:lineRule="auto" w:line="288" w:before="0" w:after="240"/>
        <w:ind w:left="0" w:right="0" w:firstLine="720"/>
        <w:jc w:val="both"/>
        <w:rPr/>
      </w:pPr>
      <w:bookmarkStart w:id="240" w:name="i11d548b8687e48f982fbcb9634206158"/>
      <w:bookmarkEnd w:id="240"/>
      <w:r>
        <w:rPr>
          <w:rFonts w:ascii="Times New Roman;serif" w:hAnsi="Times New Roman;serif"/>
          <w:b w:val="false"/>
          <w:color w:val="010000"/>
          <w:sz w:val="24"/>
        </w:rPr>
        <w:t>SECTION 10.5</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THE BUYER, THE ADMINISTRATIVE AGENT OR ANY LENDER IN THE RECEIVABLES AND THE RELATED RIGHTS IS GOVERNED BY THE LAWS OF A JURISDICTION OTHER THAN THE STATE OF NEW YORK).</w:t>
      </w:r>
    </w:p>
    <w:p>
      <w:pPr>
        <w:pStyle w:val="TextBody"/>
        <w:bidi w:val="0"/>
        <w:spacing w:lineRule="auto" w:line="288" w:before="0" w:after="240"/>
        <w:ind w:left="0" w:right="0" w:firstLine="720"/>
        <w:jc w:val="both"/>
        <w:rPr/>
      </w:pPr>
      <w:bookmarkStart w:id="241" w:name="iefb06fc68e34414a9949c2955a06ef64"/>
      <w:bookmarkEnd w:id="241"/>
      <w:r>
        <w:rPr>
          <w:rFonts w:ascii="Times New Roman;serif" w:hAnsi="Times New Roman;serif"/>
          <w:b w:val="false"/>
          <w:color w:val="010000"/>
          <w:sz w:val="24"/>
        </w:rPr>
        <w:t>SECTION 10.6</w:t>
      </w:r>
      <w:r>
        <w:rPr>
          <w:rFonts w:ascii="Times New Roman;serif" w:hAnsi="Times New Roman;serif"/>
          <w:b w:val="false"/>
          <w:color w:val="000000"/>
          <w:sz w:val="24"/>
          <w:u w:val="single"/>
        </w:rPr>
        <w:t>Costs, Expenses and Taxes</w:t>
      </w:r>
      <w:r>
        <w:rPr>
          <w:rFonts w:ascii="Times New Roman;serif" w:hAnsi="Times New Roman;serif"/>
          <w:b w:val="false"/>
          <w:color w:val="000000"/>
          <w:sz w:val="24"/>
        </w:rPr>
        <w:t xml:space="preserve">. In addition to the obligations of the Originators under </w:t>
      </w:r>
      <w:r>
        <w:rPr>
          <w:rFonts w:ascii="Times New Roman;serif" w:hAnsi="Times New Roman;serif"/>
          <w:b w:val="false"/>
          <w:color w:val="000000"/>
          <w:sz w:val="24"/>
          <w:u w:val="single"/>
        </w:rPr>
        <w:t>Article IX</w:t>
      </w:r>
      <w:r>
        <w:rPr>
          <w:rFonts w:ascii="Times New Roman;serif" w:hAnsi="Times New Roman;serif"/>
          <w:b w:val="false"/>
          <w:color w:val="000000"/>
          <w:sz w:val="24"/>
        </w:rPr>
        <w:t>, each Originator, severally and for itself alone, agrees to pay on demand:</w:t>
      </w:r>
    </w:p>
    <w:p>
      <w:pPr>
        <w:pStyle w:val="TextBody"/>
        <w:bidi w:val="0"/>
        <w:spacing w:lineRule="auto" w:line="288" w:before="0" w:after="240"/>
        <w:ind w:left="0" w:right="0" w:firstLine="1440"/>
        <w:jc w:val="both"/>
        <w:rPr/>
      </w:pPr>
      <w:bookmarkStart w:id="242" w:name="i810f397bada64a46ae3d29f2a769bf65"/>
      <w:bookmarkEnd w:id="242"/>
      <w:r>
        <w:rPr>
          <w:rFonts w:ascii="Times New Roman;serif" w:hAnsi="Times New Roman;serif"/>
          <w:b w:val="false"/>
          <w:color w:val="010000"/>
          <w:sz w:val="24"/>
        </w:rPr>
        <w:t>(a)</w:t>
      </w:r>
      <w:r>
        <w:rPr>
          <w:rFonts w:ascii="Times New Roman;serif" w:hAnsi="Times New Roman;serif"/>
          <w:b w:val="false"/>
          <w:color w:val="000000"/>
          <w:sz w:val="24"/>
        </w:rPr>
        <w:t xml:space="preserve">to the Buyer (and any successor and permitted assigns thereof) and any third-party beneficiary of the Buyer’s rights hereunder all reasonable out-of-pocket costs and expenses in connection with the preparation, negotiation, execution, delivery and administration of this Agreement and the other Transaction Documents (together with all amendments, restatements, supplements, consents and waivers, if any, from time to time hereto),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(i) the reasonable Attorney Costs for the Buyer (and any successor and permitted assigns thereof) and any third-party beneficiary of the Buyer’s rights hereunder with respect thereto and with respect to advising any such Person as to their rights and remedies under this Agreement and the other Transaction Documents and (ii) reasonable accountants’, auditors’ and consultants’ fees and expenses for the Buyer (and any successor and permitted assigns thereof) and any third-party beneficiary of the Buyer’s rights hereunder and the fees and charges of any nationally recognized statistical rating agency incurred in connection with the administration and maintenance of this Agreement or advising any such Person as to their rights and remedies under this Agreement or as to any actual or reasonably claimed breach of this Agreement or any other Transaction Document;</w:t>
      </w:r>
    </w:p>
    <w:p>
      <w:pPr>
        <w:pStyle w:val="TextBody"/>
        <w:bidi w:val="0"/>
        <w:spacing w:lineRule="auto" w:line="288" w:before="0" w:after="240"/>
        <w:ind w:left="0" w:right="0" w:firstLine="1440"/>
        <w:jc w:val="both"/>
        <w:rPr/>
      </w:pPr>
      <w:bookmarkStart w:id="243" w:name="ie77ba05875924d348bead8fd8e9ab65a"/>
      <w:bookmarkEnd w:id="243"/>
      <w:r>
        <w:rPr>
          <w:rFonts w:ascii="Times New Roman;serif" w:hAnsi="Times New Roman;serif"/>
          <w:b w:val="false"/>
          <w:color w:val="010000"/>
          <w:sz w:val="24"/>
        </w:rPr>
        <w:t>(b)</w:t>
      </w:r>
      <w:r>
        <w:rPr>
          <w:rFonts w:ascii="Times New Roman;serif" w:hAnsi="Times New Roman;serif"/>
          <w:b w:val="false"/>
          <w:color w:val="000000"/>
          <w:sz w:val="24"/>
        </w:rPr>
        <w:t>to the Buyer (and any successor and permitted assigns thereof) and any third-party beneficiary of the Buyer’s rights hereunder all reasonable out-of-pocket costs and expenses (including reasonable Attorney Costs), of any such Person incurred in connection with the enforcement of any of their respective rights or remedies under the provisions of this Agreement and the other Transaction Documents; and</w:t>
      </w:r>
    </w:p>
    <w:p>
      <w:pPr>
        <w:pStyle w:val="TextBody"/>
        <w:bidi w:val="0"/>
        <w:spacing w:lineRule="auto" w:line="288" w:before="0" w:after="240"/>
        <w:ind w:left="0" w:right="0" w:firstLine="1440"/>
        <w:jc w:val="both"/>
        <w:rPr/>
      </w:pPr>
      <w:bookmarkStart w:id="244" w:name="i34dda50454a845b0bdb46f2af9299228"/>
      <w:bookmarkEnd w:id="244"/>
      <w:r>
        <w:rPr>
          <w:rFonts w:ascii="Times New Roman;serif" w:hAnsi="Times New Roman;serif"/>
          <w:b w:val="false"/>
          <w:color w:val="010000"/>
          <w:sz w:val="24"/>
        </w:rPr>
        <w:t>(c)</w:t>
      </w:r>
      <w:r>
        <w:rPr>
          <w:rFonts w:ascii="Times New Roman;serif" w:hAnsi="Times New Roman;serif"/>
          <w:b w:val="false"/>
          <w:color w:val="000000"/>
          <w:sz w:val="24"/>
        </w:rPr>
        <w:t>all stamp, franchise and other taxes and fees payable in connection with the execution, delivery, filing and recording of this Agreement or the other Transaction Documents to be delivered hereunder, and agrees to indemnify each Purchase and Sale Indemnified Party against any liabilities with respect to or resulting from any delay in paying or omitting to pay such taxes and fees.</w:t>
      </w:r>
    </w:p>
    <w:p>
      <w:pPr>
        <w:pStyle w:val="TextBody"/>
        <w:bidi w:val="0"/>
        <w:spacing w:lineRule="auto" w:line="288" w:before="0" w:after="240"/>
        <w:ind w:left="0" w:right="0" w:firstLine="720"/>
        <w:jc w:val="both"/>
        <w:rPr/>
      </w:pPr>
      <w:bookmarkStart w:id="245" w:name="i08d6ff99522345aca9086bb9962a67de"/>
      <w:bookmarkEnd w:id="245"/>
      <w:r>
        <w:rPr>
          <w:rFonts w:ascii="Times New Roman;serif" w:hAnsi="Times New Roman;serif"/>
          <w:b w:val="false"/>
          <w:color w:val="010000"/>
          <w:sz w:val="24"/>
        </w:rPr>
        <w:t>SECTION 10.7</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xml:space="preserve">. (a) EACH PARTY HERETO HEREBY IRREVOCABLY SUBMITS TO (I) WITH RESPECT TO THE BUYER AND THE SERVICER, THE EXCLUSIVE JURISDICTION AND (II) WITH RESPECT TO ANY ORIGINATOR, THE NON-EXCLUSIVE JURISDICTION OF ANY NEW YORK STATE OR FEDERAL COURT SITTING IN NEW YORK CITY, NEW YORK IN ANY ACTION OR PROCEEDING ARISING OUT OF OR RELATING TO THIS AGREEMENT OR ANY OTHER TRANSACTION DOCUMENT, AND EACH PARTY HERETO HEREBY IRREVOCABLY AGREES THAT ALL CLAIMS IN RESPECT OF SUCH ACTION OR PROCEEDING (I) IF BROUGHT BY THE BUYER OR THE SERVICER, SHALL BE HEARD AND DETERMINED, AND (II) IF BROUGHT BY ANY ORIGINATOR, MAY BE HEARD AND DETERMINED, IN EACH CASE, IN SUCH NEW YORK STATE COURT OR, TO THE EXTENT PERMITTED BY LAW, IN SUCH FEDERAL COURT. NOTHING IN THIS </w:t>
      </w:r>
      <w:r>
        <w:rPr>
          <w:rFonts w:ascii="Times New Roman;serif" w:hAnsi="Times New Roman;serif"/>
          <w:b w:val="false"/>
          <w:color w:val="000000"/>
          <w:sz w:val="24"/>
          <w:u w:val="single"/>
        </w:rPr>
        <w:t>SECTION 10.7</w:t>
      </w:r>
      <w:r>
        <w:rPr>
          <w:color w:val="000000"/>
        </w:rPr>
        <w:t xml:space="preserve"> </w:t>
      </w:r>
      <w:r>
        <w:rPr>
          <w:rFonts w:ascii="Times New Roman;serif" w:hAnsi="Times New Roman;serif"/>
          <w:b w:val="false"/>
          <w:color w:val="000000"/>
          <w:sz w:val="24"/>
        </w:rPr>
        <w:t>SHALL AFFECT THE RIGHT OF THE ADMINISTRATIVE AGENT OR ANY OTHER CREDIT PARTY TO BRING ANY ACTION OR PROCEEDING AGAINST ANY ORIGINATOR OR ANY OF THEIR RESPECTIVE PROPERTIES IN THE COURTS OF OTHER JURISDICTIONS. EACH PARTY HERETO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85445"/>
                <wp:effectExtent l="0" t="0" r="0" b="0"/>
                <wp:wrapNone/>
                <wp:docPr id="256" name="Frame2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bookmarkStart w:id="246" w:name="i074fb74326214c198ddd8099977de909"/>
      <w:bookmarkEnd w:id="246"/>
      <w:r>
        <w:rPr>
          <w:rFonts w:ascii="Times New Roman;serif" w:hAnsi="Times New Roman;serif"/>
          <w:b w:val="false"/>
          <w:color w:val="010000"/>
          <w:sz w:val="24"/>
        </w:rPr>
        <w:t>(a)</w:t>
      </w:r>
      <w:r>
        <w:rPr>
          <w:rFonts w:ascii="Times New Roman;serif" w:hAnsi="Times New Roman;serif"/>
          <w:b w:val="false"/>
          <w:color w:val="000000"/>
          <w:sz w:val="24"/>
        </w:rPr>
        <w:t>EACH PARTY HERETO CONSENTS TO THE SERVICE OF ANY AND ALL PROCESS IN ANY SUCH ACTION OR PROCEEDING BY THE MAILING OF COPIES OF SUCH PROCESS TO IT AT ITS ADDRESS SPECIFIED IN SCHEDULE IV. NOTHING IN THIS SECTION 10.7 SHALL AFFECT THE RIGHT OF THE ADMINISTRATIVE AGENT OR ANY OTHER CREDIT PARTY TO SERVE LEGAL PROCESS IN ANY OTHER MANNER PERMITTED BY LAW.</w:t>
      </w:r>
    </w:p>
    <w:p>
      <w:pPr>
        <w:pStyle w:val="TextBody"/>
        <w:bidi w:val="0"/>
        <w:spacing w:lineRule="auto" w:line="288" w:before="0" w:after="240"/>
        <w:ind w:left="0" w:right="0" w:firstLine="720"/>
        <w:jc w:val="both"/>
        <w:rPr/>
      </w:pPr>
      <w:bookmarkStart w:id="247" w:name="i183280950e604f8f8e12a5a3a00ec1e3"/>
      <w:bookmarkEnd w:id="247"/>
      <w:r>
        <w:rPr>
          <w:rFonts w:ascii="Times New Roman;serif" w:hAnsi="Times New Roman;serif"/>
          <w:b w:val="false"/>
          <w:color w:val="010000"/>
          <w:sz w:val="24"/>
        </w:rPr>
        <w:t>SECTION 10.8</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w:t>
      </w:r>
    </w:p>
    <w:p>
      <w:pPr>
        <w:pStyle w:val="TextBody"/>
        <w:bidi w:val="0"/>
        <w:spacing w:lineRule="auto" w:line="288" w:before="0" w:after="240"/>
        <w:ind w:left="0" w:right="0" w:firstLine="720"/>
        <w:jc w:val="both"/>
        <w:rPr/>
      </w:pPr>
      <w:bookmarkStart w:id="248" w:name="i9d99de5059fd47cf99de623074a17224"/>
      <w:bookmarkEnd w:id="248"/>
      <w:r>
        <w:rPr>
          <w:rFonts w:ascii="Times New Roman;serif" w:hAnsi="Times New Roman;serif"/>
          <w:b w:val="false"/>
          <w:color w:val="010000"/>
          <w:sz w:val="24"/>
        </w:rPr>
        <w:t>SECTION 10.9</w:t>
      </w:r>
      <w:r>
        <w:rPr>
          <w:rFonts w:ascii="Times New Roman;serif" w:hAnsi="Times New Roman;serif"/>
          <w:b w:val="false"/>
          <w:color w:val="000000"/>
          <w:sz w:val="24"/>
          <w:u w:val="single"/>
        </w:rPr>
        <w:t>Captions and Cross References; Incorporation by Reference</w:t>
      </w:r>
      <w:r>
        <w:rPr>
          <w:rFonts w:ascii="Times New Roman;serif" w:hAnsi="Times New Roman;serif"/>
          <w:b w:val="false"/>
          <w:color w:val="000000"/>
          <w:sz w:val="24"/>
        </w:rPr>
        <w:t>. The various captions (including, without limitation, the table of contents) in this Agreement are included for convenience only and shall not affect the meaning or interpretation of any provision of this Agreement. References in this Agreement to any underscored Article, Section, Schedule or Exhibit are to such Article, Section, Schedule or Exhibit of this Agreement, as the case may be. The Schedules and Exhibits hereto are hereby incorporated by reference into and made a part of this Agreement.</w:t>
      </w:r>
    </w:p>
    <w:p>
      <w:pPr>
        <w:pStyle w:val="TextBody"/>
        <w:bidi w:val="0"/>
        <w:spacing w:lineRule="auto" w:line="288" w:before="0" w:after="240"/>
        <w:ind w:left="0" w:right="0" w:firstLine="720"/>
        <w:jc w:val="both"/>
        <w:rPr/>
      </w:pPr>
      <w:bookmarkStart w:id="249" w:name="if7e98c8068ff4039bbdb581cd2c26a6d"/>
      <w:bookmarkEnd w:id="249"/>
      <w:r>
        <w:rPr>
          <w:rFonts w:ascii="Times New Roman;serif" w:hAnsi="Times New Roman;serif"/>
          <w:b w:val="false"/>
          <w:color w:val="010000"/>
          <w:sz w:val="24"/>
        </w:rPr>
        <w:t>SECTION 10.10</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bidi w:val="0"/>
        <w:spacing w:lineRule="auto" w:line="288" w:before="0" w:after="240"/>
        <w:ind w:left="0" w:right="0" w:firstLine="720"/>
        <w:jc w:val="both"/>
        <w:rPr/>
      </w:pPr>
      <w:bookmarkStart w:id="250" w:name="i4fdb5daa6a9b40e593847b8f5b806dfe"/>
      <w:bookmarkEnd w:id="250"/>
      <w:r>
        <w:rPr>
          <w:rFonts w:ascii="Times New Roman;serif" w:hAnsi="Times New Roman;serif"/>
          <w:b w:val="false"/>
          <w:color w:val="010000"/>
          <w:sz w:val="24"/>
        </w:rPr>
        <w:t>SECTION 10.11</w:t>
      </w:r>
      <w:r>
        <w:rPr>
          <w:rFonts w:ascii="Times New Roman;serif" w:hAnsi="Times New Roman;serif"/>
          <w:b w:val="false"/>
          <w:color w:val="000000"/>
          <w:sz w:val="24"/>
          <w:u w:val="single"/>
        </w:rPr>
        <w:t>Acknowledgment and Agreement</w:t>
      </w:r>
      <w:r>
        <w:rPr>
          <w:rFonts w:ascii="Times New Roman;serif" w:hAnsi="Times New Roman;serif"/>
          <w:b w:val="false"/>
          <w:color w:val="000000"/>
          <w:sz w:val="24"/>
        </w:rPr>
        <w:t>. By execution below, each Originator expressly acknowledges and agrees that all of the Buyer’s rights, title, and interests in, to, and under this Agreement (but not its obligations), shall be assigned by the Buyer to the Administrative Agent (for the benefit of the Lenders) pursuant to the Receivables Financing Agreement, and each Originator consents to such assignment. Each of the parties hereto acknowledges and agrees that the Lenders, the Group Agents and the Administrative Agent are third-party beneficiaries of the rights of the Buyer arising hereunder and under the other Transaction Documents to which any Originator is a party, and notwithstanding anything to the contrary contained herein or in any other Transaction Document, during the occurrence and continuation of an Event of Default under the Receivables Financing Agreement, the Administrative Agent, and not the Buyer, shall have the sole right to exercise all such rights and related remedies.</w:t>
      </w:r>
    </w:p>
    <w:p>
      <w:pPr>
        <w:pStyle w:val="TextBody"/>
        <w:bidi w:val="0"/>
        <w:spacing w:lineRule="auto" w:line="288" w:before="0" w:after="240"/>
        <w:ind w:left="0" w:right="0" w:firstLine="720"/>
        <w:jc w:val="both"/>
        <w:rPr/>
      </w:pPr>
      <w:bookmarkStart w:id="251" w:name="ica838760a3ee46daa340b8d5d978f0ca"/>
      <w:bookmarkEnd w:id="251"/>
      <w:r>
        <w:rPr>
          <w:rFonts w:ascii="Times New Roman;serif" w:hAnsi="Times New Roman;serif"/>
          <w:b w:val="false"/>
          <w:color w:val="010000"/>
          <w:sz w:val="24"/>
        </w:rPr>
        <w:t>SECTION 10.12</w:t>
      </w:r>
      <w:r>
        <w:rPr>
          <w:rFonts w:ascii="Times New Roman;serif" w:hAnsi="Times New Roman;serif"/>
          <w:b w:val="false"/>
          <w:color w:val="000000"/>
          <w:sz w:val="24"/>
          <w:u w:val="single"/>
        </w:rPr>
        <w:t>No Proceeding</w:t>
      </w:r>
      <w:r>
        <w:rPr>
          <w:rFonts w:ascii="Times New Roman;serif" w:hAnsi="Times New Roman;serif"/>
          <w:b w:val="false"/>
          <w:color w:val="000000"/>
          <w:sz w:val="24"/>
        </w:rPr>
        <w:t xml:space="preserve">. Each Originator hereby agrees that it will not institute, or join any other Person in instituting, against the Buyer any Insolvency Proceeding for at least one year and one day following the Final Payout Date. Each Originator further agrees that notwithstanding any provisions contained in this Agreement to the contrary, the Buyer shall not, and shall not be obligated to, pay any amount in respect of any Subordinated Note or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85445"/>
                <wp:effectExtent l="0" t="0" r="0" b="0"/>
                <wp:wrapNone/>
                <wp:docPr id="257" name="Frame2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otherwise to such Originator pursuant to this Agreement unless the Buyer has received funds which may, subject to Section 3.01 of the Receivables Financing Agreement, be used to make such payment. Any amount which the Buyer does not pay pursuant to the operation of the preceding sentence shall not constitute a claim (as defined in §101 of the Bankruptcy Code) against or corporate obligation of the Buyer by such Originator for any such insufficiency unless and until the provisions of the foregoing sentence are satisfied. The agreements in 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88" w:before="0" w:after="240"/>
        <w:ind w:left="0" w:right="0" w:firstLine="720"/>
        <w:jc w:val="both"/>
        <w:rPr/>
      </w:pPr>
      <w:bookmarkStart w:id="252" w:name="i7d06067dc78b49759cf863701a458ec3"/>
      <w:bookmarkEnd w:id="252"/>
      <w:r>
        <w:rPr>
          <w:rFonts w:ascii="Times New Roman;serif" w:hAnsi="Times New Roman;serif"/>
          <w:b w:val="false"/>
          <w:color w:val="010000"/>
          <w:sz w:val="24"/>
        </w:rPr>
        <w:t>SECTION 10.13</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lineRule="auto" w:line="288" w:before="0" w:after="240"/>
        <w:ind w:left="0" w:right="0" w:firstLine="720"/>
        <w:jc w:val="both"/>
        <w:rPr/>
      </w:pPr>
      <w:bookmarkStart w:id="253" w:name="i6b3a08c97f26466b9882f56ef3e58f89"/>
      <w:bookmarkEnd w:id="253"/>
      <w:r>
        <w:rPr>
          <w:rFonts w:ascii="Times New Roman;serif" w:hAnsi="Times New Roman;serif"/>
          <w:b w:val="false"/>
          <w:color w:val="010000"/>
          <w:sz w:val="24"/>
        </w:rPr>
        <w:t>SECTION 10.14</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bookmarkStart w:id="254" w:name="i84147950f6c04032acc7ae579d7e4093"/>
      <w:bookmarkEnd w:id="254"/>
      <w:r>
        <w:rPr>
          <w:rFonts w:ascii="Times New Roman;serif" w:hAnsi="Times New Roman;serif"/>
          <w:b w:val="false"/>
          <w:color w:val="010000"/>
          <w:sz w:val="24"/>
        </w:rPr>
        <w:t>SECTION 10.15</w:t>
      </w:r>
      <w:r>
        <w:rPr>
          <w:rFonts w:ascii="Times New Roman;serif" w:hAnsi="Times New Roman;serif"/>
          <w:b w:val="false"/>
          <w:color w:val="000000"/>
          <w:sz w:val="24"/>
          <w:u w:val="single"/>
        </w:rPr>
        <w:t>Limited Recourse</w:t>
      </w:r>
      <w:r>
        <w:rPr>
          <w:rFonts w:ascii="Times New Roman;serif" w:hAnsi="Times New Roman;serif"/>
          <w:b w:val="false"/>
          <w:color w:val="000000"/>
          <w:sz w:val="24"/>
        </w:rPr>
        <w:t xml:space="preserve">. Except as explicitly set forth herein, the obligations of the Buyer under this Agreement or any other Transaction Documents to which it is a party are solely the obligations of the Buyer. No recourse under any Transaction Document shall be had against, and no liability shall attach to, any officer, employee, director, or beneficiary, whether directly or indirectly, of the Buyer. The agreements in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85445"/>
                <wp:effectExtent l="0" t="0" r="0" b="0"/>
                <wp:wrapNone/>
                <wp:docPr id="258" name="Frame2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p>
      <w:pPr>
        <w:pStyle w:val="TextBody"/>
        <w:bidi w:val="0"/>
        <w:spacing w:lineRule="auto" w:line="288" w:before="0" w:after="0"/>
        <w:ind w:left="0" w:right="0" w:firstLine="720"/>
        <w:jc w:val="both"/>
        <w:rPr/>
      </w:pPr>
      <w:r>
        <w:rPr>
          <w:rFonts w:ascii="Times New Roman;serif" w:hAnsi="Times New Roman;serif"/>
          <w:b/>
          <w:color w:val="000000"/>
          <w:sz w:val="24"/>
        </w:rPr>
        <w:t>INTEGRA RECEIVABLES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Buyer</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0"/>
        <w:jc w:val="both"/>
        <w:rPr/>
      </w:pPr>
      <w:r>
        <w:rPr>
          <w:rFonts w:ascii="Times New Roman;serif" w:hAnsi="Times New Roman;serif"/>
          <w:b/>
          <w:color w:val="000000"/>
          <w:sz w:val="24"/>
        </w:rPr>
        <w:t>INTEGRA LIFESCIENCES SALES LLC</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the Servicer and as an Originator</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36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0"/>
        <w:jc w:val="both"/>
        <w:rPr/>
      </w:pPr>
      <w:r>
        <w:rPr>
          <w:rFonts w:ascii="Times New Roman;serif" w:hAnsi="Times New Roman;serif"/>
          <w:b/>
          <w:color w:val="000000"/>
          <w:sz w:val="24"/>
        </w:rPr>
        <w:t>INTEGRA LIFESCIENCES CORPORATION</w:t>
      </w:r>
      <w:r>
        <w:rPr>
          <w:rFonts w:ascii="Times New Roman;serif" w:hAnsi="Times New Roman;serif"/>
          <w:b w:val="false"/>
          <w:color w:val="000000"/>
          <w:sz w:val="24"/>
        </w:rPr>
        <w:t>,</w:t>
      </w:r>
    </w:p>
    <w:p>
      <w:pPr>
        <w:pStyle w:val="TextBody"/>
        <w:bidi w:val="0"/>
        <w:spacing w:lineRule="auto" w:line="288" w:before="0" w:after="600"/>
        <w:jc w:val="both"/>
        <w:rPr>
          <w:rFonts w:ascii="Times New Roman;serif" w:hAnsi="Times New Roman;serif"/>
          <w:b w:val="false"/>
          <w:color w:val="000000"/>
          <w:sz w:val="24"/>
        </w:rPr>
      </w:pPr>
      <w:r>
        <w:rPr>
          <w:rFonts w:ascii="Times New Roman;serif" w:hAnsi="Times New Roman;serif"/>
          <w:b w:val="false"/>
          <w:color w:val="000000"/>
          <w:sz w:val="24"/>
        </w:rPr>
        <w:t>as an Originator</w:t>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600"/>
        <w:jc w:val="both"/>
        <w:rPr/>
      </w:pPr>
      <w:r>
        <w:rPr>
          <w:rFonts w:ascii="Times New Roman;serif" w:hAnsi="Times New Roman;serif"/>
          <w:b w:val="false"/>
          <w:color w:val="000000"/>
          <w:sz w:val="24"/>
        </w:rPr>
        <w:t xml:space="preserve">Title: </w:t>
      </w:r>
      <w:r>
        <w:rPr>
          <w:color w:val="000000"/>
          <w:u w:val="single"/>
        </w:rPr>
        <w:t>                        </w:t>
      </w:r>
    </w:p>
    <w:p>
      <w:pPr>
        <w:pStyle w:val="TextBody"/>
        <w:bidi w:val="0"/>
        <w:spacing w:before="0" w:after="2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29920"/>
                <wp:effectExtent l="0" t="0" r="0" b="0"/>
                <wp:wrapNone/>
                <wp:docPr id="259" name="Frame2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4137"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984"/>
                              <w:gridCol w:w="984"/>
                              <w:gridCol w:w="1392"/>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c>
                              <w:tc>
                                <w:tcPr>
                                  <w:tcW w:w="33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and Sale Agreement (Integra)</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4137" w:type="dxa"/>
                        <w:jc w:val="left"/>
                        <w:tblInd w:w="0" w:type="dxa"/>
                        <w:tblLayout w:type="fixed"/>
                        <w:tblCellMar>
                          <w:top w:w="28" w:type="dxa"/>
                          <w:left w:w="28" w:type="dxa"/>
                          <w:bottom w:w="28" w:type="dxa"/>
                          <w:right w:w="28" w:type="dxa"/>
                        </w:tblCellMar>
                      </w:tblPr>
                      <w:tblGrid>
                        <w:gridCol w:w="124"/>
                        <w:gridCol w:w="109"/>
                        <w:gridCol w:w="109"/>
                        <w:gridCol w:w="145"/>
                        <w:gridCol w:w="145"/>
                        <w:gridCol w:w="145"/>
                        <w:gridCol w:w="984"/>
                        <w:gridCol w:w="984"/>
                        <w:gridCol w:w="1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tc>
                        <w:tc>
                          <w:tcPr>
                            <w:tcW w:w="33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Purchase and Sale Agreement (Integra)</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I</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LIST AND LOCATION OF EACH ORIGINATOR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85445"/>
                <wp:effectExtent l="0" t="0" r="0" b="0"/>
                <wp:wrapNone/>
                <wp:docPr id="260" name="Frame2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II</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LOCATION OF BOOKS AND RECORDS OF ORIGINATORS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85445"/>
                <wp:effectExtent l="0" t="0" r="0" b="0"/>
                <wp:wrapNone/>
                <wp:docPr id="261" name="Frame2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III</w:t>
      </w:r>
    </w:p>
    <w:p>
      <w:pPr>
        <w:pStyle w:val="TextBody"/>
        <w:bidi w:val="0"/>
        <w:spacing w:lineRule="auto" w:line="288" w:before="0" w:after="36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TRADE NAMES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85445"/>
                <wp:effectExtent l="0" t="0" r="0" b="0"/>
                <wp:wrapNone/>
                <wp:docPr id="262" name="Frame2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IV</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NOTICE ADDRESSES</w:t>
      </w:r>
    </w:p>
    <w:p>
      <w:pPr>
        <w:pStyle w:val="TextBody"/>
        <w:bidi w:val="0"/>
        <w:spacing w:lineRule="auto" w:line="288" w:before="0" w:after="240"/>
        <w:jc w:val="both"/>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85445"/>
                <wp:effectExtent l="0" t="0" r="0" b="0"/>
                <wp:wrapNone/>
                <wp:docPr id="263" name="Frame2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IV-1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IV-1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PURCHASE REPORT</w:t>
      </w:r>
    </w:p>
    <w:p>
      <w:pPr>
        <w:pStyle w:val="TextBody"/>
        <w:bidi w:val="0"/>
        <w:spacing w:lineRule="auto" w:line="288" w:before="0" w:after="24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85445"/>
                <wp:effectExtent l="0" t="0" r="0" b="0"/>
                <wp:wrapNone/>
                <wp:docPr id="264" name="Frame2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SUBORDINATED NOTE</w:t>
      </w:r>
    </w:p>
    <w:p>
      <w:pPr>
        <w:pStyle w:val="TextBody"/>
        <w:bidi w:val="0"/>
        <w:spacing w:lineRule="auto" w:line="288" w:before="0" w:after="48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85445"/>
                <wp:effectExtent l="0" t="0" r="0" b="0"/>
                <wp:wrapNone/>
                <wp:docPr id="265"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C</w:t>
      </w:r>
    </w:p>
    <w:p>
      <w:pPr>
        <w:pStyle w:val="TextBody"/>
        <w:bidi w:val="0"/>
        <w:spacing w:lineRule="auto" w:line="288" w:before="0" w:after="48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JOINDER AGREEMENT</w:t>
      </w:r>
    </w:p>
    <w:p>
      <w:pPr>
        <w:pStyle w:val="TextBody"/>
        <w:bidi w:val="0"/>
        <w:spacing w:lineRule="auto" w:line="288" w:before="0" w:after="360"/>
        <w:jc w:val="left"/>
        <w:rPr/>
      </w:pPr>
      <w:r>
        <w:rPr>
          <w:rFonts w:ascii="Times New Roman;serif" w:hAnsi="Times New Roman;serif"/>
          <w:b w:val="false"/>
          <w:color w:val="000000"/>
          <w:sz w:val="24"/>
        </w:rPr>
        <w:t>[</w:t>
      </w:r>
      <w:r>
        <w:rPr>
          <w:rFonts w:ascii="Times New Roman;serif" w:hAnsi="Times New Roman;serif"/>
          <w:b w:val="false"/>
          <w:i/>
          <w:color w:val="000000"/>
          <w:sz w:val="24"/>
        </w:rPr>
        <w:t>This material has been omitted pursuant to Item 601(a)(5) of Regulation S-K under the Securities Act of 1933, as amended. The registrant agrees to furnish supplementally a copy of the omitted material to the Securities and Exchange Commission upon request.</w:t>
      </w:r>
      <w:r>
        <w:rPr>
          <w:rFonts w:ascii="Times New Roman;serif" w:hAnsi="Times New Roman;serif"/>
          <w:b w:val="false"/>
          <w:color w:val="000000"/>
          <w:sz w:val="24"/>
        </w:rPr>
        <w:t>]</w:t>
      </w:r>
    </w:p>
    <w:p>
      <w:pPr>
        <w:pStyle w:val="TextBody"/>
        <w:bidi w:val="0"/>
        <w:spacing w:before="0" w:after="4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85445"/>
                <wp:effectExtent l="0" t="0" r="0" b="0"/>
                <wp:wrapNone/>
                <wp:docPr id="266" name="Frame2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Stuart M. Essig,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5848"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Lea Knight,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19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Integra LifeSciences Holdings Corporation (the “Company”) on Form 10-Q for the quarter ended March 31, 2026 as filed with the Securities Exchange Commission on the date hereof (the “Report”), I, Stuart M. Essig, Chairman,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848"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211"/>
        <w:gridCol w:w="1211"/>
        <w:gridCol w:w="17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M. Essig,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Integra LifeSciences Holdings Corporation (the “Company”) on Form 10-Q for the quarter ended March 31, 2026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19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7520/000091752006000066/ex3-1aform10k031406.txt" TargetMode="External"/><Relationship Id="rId3" Type="http://schemas.openxmlformats.org/officeDocument/2006/relationships/hyperlink" Target="https://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s://www.sec.gov/Archives/edgar/data/917520/000091752024000108/iart-20240930xexx31e.htm" TargetMode="External"/><Relationship Id="rId7" Type="http://schemas.openxmlformats.org/officeDocument/2006/relationships/hyperlink" Target="https://www.sec.gov/Archives/edgar/data/917520/000091752023000015/iart-20221231xexx33.htm" TargetMode="External"/><Relationship Id="rId8" Type="http://schemas.openxmlformats.org/officeDocument/2006/relationships/hyperlink" Target="https://www.sec.gov/Archives/edgar/data/917520/000091752026000011/iart-20251231xexx1012.htm" TargetMode="External"/><Relationship Id="rId9" Type="http://schemas.openxmlformats.org/officeDocument/2006/relationships/hyperlink" Target="https://www.sec.gov/Archives/edgar/data/917520/000091752026000011/iart-20251231xexx101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227</Pages>
  <Words>118401</Words>
  <Characters>642876</Characters>
  <CharactersWithSpaces>759992</CharactersWithSpaces>
  <Paragraphs>4677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