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color w:val="auto"/>
        </w:rPr>
        <w:t>Washington, D.C. 20549</w:t>
      </w:r>
    </w:p>
    <w:p>
      <w:pPr>
        <w:spacing w:after="0" w:line="2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9, 2025</w:t>
      </w: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INTEGRA LIFESCIENCES HOLDINGS CORPORATION</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58" w:lineRule="exact"/>
        <w:rPr>
          <w:sz w:val="24"/>
          <w:szCs w:val="24"/>
          <w:color w:val="auto"/>
        </w:rPr>
      </w:pPr>
    </w:p>
    <w:tbl>
      <w:tblPr>
        <w:tblLayout w:type="fixed"/>
        <w:tblInd w:w="1660" w:type="dxa"/>
        <w:tblCellMar>
          <w:top w:w="0" w:type="dxa"/>
          <w:left w:w="0" w:type="dxa"/>
          <w:bottom w:w="0" w:type="dxa"/>
          <w:right w:w="0" w:type="dxa"/>
        </w:tblCellMar>
      </w:tblPr>
      <w:tr>
        <w:trPr>
          <w:trHeight w:val="234"/>
        </w:trPr>
        <w:tc>
          <w:tcPr>
            <w:tcW w:w="32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6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0-26224</w:t>
            </w:r>
          </w:p>
        </w:tc>
        <w:tc>
          <w:tcPr>
            <w:tcW w:w="228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51-0317849</w:t>
            </w:r>
          </w:p>
        </w:tc>
      </w:tr>
      <w:tr>
        <w:trPr>
          <w:trHeight w:val="189"/>
        </w:trPr>
        <w:tc>
          <w:tcPr>
            <w:tcW w:w="3280" w:type="dxa"/>
            <w:vAlign w:val="bottom"/>
          </w:tcPr>
          <w:p>
            <w:pPr>
              <w:jc w:val="center"/>
              <w:ind w:right="30"/>
              <w:spacing w:after="0" w:line="189" w:lineRule="exact"/>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22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(Commission File Number)</w:t>
            </w:r>
          </w:p>
        </w:tc>
        <w:tc>
          <w:tcPr>
            <w:tcW w:w="2280" w:type="dxa"/>
            <w:vAlign w:val="bottom"/>
          </w:tcPr>
          <w:p>
            <w:pPr>
              <w:jc w:val="center"/>
              <w:ind w:left="70"/>
              <w:spacing w:after="0" w:line="189" w:lineRule="exact"/>
              <w:rPr>
                <w:sz w:val="20"/>
                <w:szCs w:val="20"/>
                <w:color w:val="auto"/>
              </w:rPr>
            </w:pPr>
            <w:r>
              <w:rPr>
                <w:rFonts w:ascii="Times New Roman" w:cs="Times New Roman" w:eastAsia="Times New Roman" w:hAnsi="Times New Roman"/>
                <w:sz w:val="18"/>
                <w:szCs w:val="18"/>
                <w:color w:val="auto"/>
              </w:rPr>
              <w:t>(IRS Employer Identification</w:t>
            </w:r>
          </w:p>
        </w:tc>
      </w:tr>
      <w:tr>
        <w:trPr>
          <w:trHeight w:val="234"/>
        </w:trPr>
        <w:tc>
          <w:tcPr>
            <w:tcW w:w="3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or Organization)</w:t>
            </w:r>
          </w:p>
        </w:tc>
        <w:tc>
          <w:tcPr>
            <w:tcW w:w="2260" w:type="dxa"/>
            <w:vAlign w:val="bottom"/>
          </w:tcPr>
          <w:p>
            <w:pPr>
              <w:spacing w:after="0"/>
              <w:rPr>
                <w:sz w:val="20"/>
                <w:szCs w:val="20"/>
                <w:color w:val="auto"/>
              </w:rPr>
            </w:pPr>
          </w:p>
        </w:tc>
        <w:tc>
          <w:tcPr>
            <w:tcW w:w="22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No.)</w:t>
            </w:r>
          </w:p>
        </w:tc>
      </w:tr>
    </w:tbl>
    <w:p>
      <w:pPr>
        <w:spacing w:after="0" w:line="3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1100 Campus Road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Princeton, NJ 08540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(609) 275-0500</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0" w:lineRule="exact"/>
        <w:rPr>
          <w:sz w:val="24"/>
          <w:szCs w:val="24"/>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16"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61"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75"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75"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07"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Section12(b) of the Act:</w:t>
            </w: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290"/>
        </w:trPr>
        <w:tc>
          <w:tcPr>
            <w:tcW w:w="1380" w:type="dxa"/>
            <w:vAlign w:val="bottom"/>
          </w:tcPr>
          <w:p>
            <w:pPr>
              <w:spacing w:after="0"/>
              <w:rPr>
                <w:sz w:val="24"/>
                <w:szCs w:val="24"/>
                <w:color w:val="auto"/>
              </w:rPr>
            </w:pPr>
          </w:p>
        </w:tc>
        <w:tc>
          <w:tcPr>
            <w:tcW w:w="3040" w:type="dxa"/>
            <w:vAlign w:val="bottom"/>
            <w:gridSpan w:val="2"/>
          </w:tcPr>
          <w:p>
            <w:pPr>
              <w:jc w:val="center"/>
              <w:ind w:right="174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58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3600" w:type="dxa"/>
            <w:vAlign w:val="bottom"/>
            <w:gridSpan w:val="2"/>
          </w:tcPr>
          <w:p>
            <w:pPr>
              <w:jc w:val="center"/>
              <w:ind w:left="739"/>
              <w:spacing w:after="0"/>
              <w:rPr>
                <w:sz w:val="20"/>
                <w:szCs w:val="20"/>
                <w:color w:val="auto"/>
              </w:rPr>
            </w:pPr>
            <w:r>
              <w:rPr>
                <w:rFonts w:ascii="Times New Roman" w:cs="Times New Roman" w:eastAsia="Times New Roman" w:hAnsi="Times New Roman"/>
                <w:sz w:val="16"/>
                <w:szCs w:val="16"/>
                <w:b w:val="1"/>
                <w:bCs w:val="1"/>
                <w:color w:val="auto"/>
              </w:rPr>
              <w:t>Name of Exchange on Which Registered</w:t>
            </w:r>
          </w:p>
        </w:tc>
      </w:tr>
      <w:tr>
        <w:trPr>
          <w:trHeight w:val="20"/>
        </w:trPr>
        <w:tc>
          <w:tcPr>
            <w:tcW w:w="13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r>
      <w:tr>
        <w:trPr>
          <w:trHeight w:val="250"/>
        </w:trPr>
        <w:tc>
          <w:tcPr>
            <w:tcW w:w="442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w w:val="99"/>
              </w:rPr>
              <w:t>Common Stock, Par Value $.01 Per Share</w:t>
            </w:r>
          </w:p>
        </w:tc>
        <w:tc>
          <w:tcPr>
            <w:tcW w:w="640" w:type="dxa"/>
            <w:vAlign w:val="bottom"/>
          </w:tcPr>
          <w:p>
            <w:pPr>
              <w:spacing w:after="0"/>
              <w:rPr>
                <w:sz w:val="21"/>
                <w:szCs w:val="21"/>
                <w:color w:val="auto"/>
              </w:rPr>
            </w:pPr>
          </w:p>
        </w:tc>
        <w:tc>
          <w:tcPr>
            <w:tcW w:w="194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color w:val="auto"/>
                <w:w w:val="95"/>
              </w:rPr>
              <w:t>IART</w:t>
            </w:r>
          </w:p>
        </w:tc>
        <w:tc>
          <w:tcPr>
            <w:tcW w:w="820" w:type="dxa"/>
            <w:vAlign w:val="bottom"/>
          </w:tcPr>
          <w:p>
            <w:pPr>
              <w:spacing w:after="0"/>
              <w:rPr>
                <w:sz w:val="21"/>
                <w:szCs w:val="21"/>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319"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9"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9"/>
          <w:szCs w:val="19"/>
          <w:color w:val="auto"/>
        </w:rPr>
        <w:t>☐</w:t>
      </w:r>
    </w:p>
    <w:p>
      <w:pPr>
        <w:spacing w:after="0" w:line="169" w:lineRule="exact"/>
        <w:rPr>
          <w:sz w:val="24"/>
          <w:szCs w:val="24"/>
          <w:color w:val="auto"/>
        </w:rPr>
      </w:pPr>
    </w:p>
    <w:p>
      <w:pPr>
        <w:spacing w:after="0" w:line="25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454025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1" w:name="page2"/>
    <w:bookmarkEnd w:id="1"/>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Integra LifeSciences Holdings Corporation (the “Company”) held its 2025 Annual Meeting of Stockholders (the “Annual Meeting”) on May 9, 2025. At the Annual Meeting, the Company’s stockholders approved, among other things, Amendment No. 2 to the Integra LifeSciences Holdings Corporation Fifth Amended and Restated 2003 Equity Incentive Plan (the “Plan Amendment”) to increase the number of shares of common stock available for awards under the plan by 2,200,000 shares.</w:t>
      </w:r>
    </w:p>
    <w:p>
      <w:pPr>
        <w:spacing w:after="0" w:line="20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 description of the Plan Amendment is included in the section entitled “Proposal 4. Approval of Amendment No. 2 to the Integra LifeSciences Holdings Corporation Fifth Amended and Restated 2003 Equity Incentive Plan” in the Company’s Definitive Proxy Statement on Schedule 14A filed with the Securities and Exchange Commission on April 4, 2025 (the “Proxy Statement”), which description is incorporated herein by reference. Such description does not purport to be complete and is qualified in its entirety by reference to the complete text of the Plan Amendment, a copy of which is attached hereto as Exhibit 10.1.</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56"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Annual Meeting of the Company was held on May 9, 2025. The proposals considered at the Annual Meeting are described in detail in the Proxy Statement. The final results of the matters submitted to a vote of stockholders at the Annual Meeting are as follows:</w:t>
      </w:r>
    </w:p>
    <w:p>
      <w:pPr>
        <w:spacing w:after="0" w:line="18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Item No. 1: All of the nominees for director of the Board of Directors (the “Board”) of the Company were elected to serve until the Company’s 2026 Annual Meeting of Stockholders and until their respective successors are duly elected and qualified, by the votes set forth below.</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w w:val="98"/>
              </w:rPr>
              <w:t>Nominees</w:t>
            </w:r>
          </w:p>
        </w:tc>
        <w:tc>
          <w:tcPr>
            <w:tcW w:w="1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60" w:type="dxa"/>
            <w:vAlign w:val="bottom"/>
            <w:gridSpan w:val="2"/>
          </w:tcPr>
          <w:p>
            <w:pPr>
              <w:jc w:val="center"/>
              <w:ind w:right="1120"/>
              <w:spacing w:after="0"/>
              <w:rPr>
                <w:sz w:val="20"/>
                <w:szCs w:val="20"/>
                <w:color w:val="auto"/>
              </w:rPr>
            </w:pPr>
            <w:r>
              <w:rPr>
                <w:rFonts w:ascii="Times New Roman" w:cs="Times New Roman" w:eastAsia="Times New Roman" w:hAnsi="Times New Roman"/>
                <w:sz w:val="18"/>
                <w:szCs w:val="18"/>
                <w:color w:val="auto"/>
                <w:w w:val="95"/>
              </w:rPr>
              <w:t>For</w:t>
            </w:r>
          </w:p>
        </w:tc>
        <w:tc>
          <w:tcPr>
            <w:tcW w:w="920" w:type="dxa"/>
            <w:vAlign w:val="bottom"/>
          </w:tcPr>
          <w:p>
            <w:pPr>
              <w:spacing w:after="0"/>
              <w:rPr>
                <w:sz w:val="17"/>
                <w:szCs w:val="17"/>
                <w:color w:val="auto"/>
              </w:rPr>
            </w:pPr>
          </w:p>
        </w:tc>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Against</w:t>
            </w:r>
          </w:p>
        </w:tc>
        <w:tc>
          <w:tcPr>
            <w:tcW w:w="136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color w:val="auto"/>
                <w:w w:val="99"/>
              </w:rPr>
              <w:t>Abstain</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Broker Non-Vote</w:t>
            </w:r>
          </w:p>
        </w:tc>
      </w:tr>
      <w:tr>
        <w:trPr>
          <w:trHeight w:val="20"/>
        </w:trPr>
        <w:tc>
          <w:tcPr>
            <w:tcW w:w="74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r>
        <w:trPr>
          <w:trHeight w:val="277"/>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Keith Bradley, Ph.D.</w:t>
            </w:r>
          </w:p>
        </w:tc>
        <w:tc>
          <w:tcPr>
            <w:tcW w:w="25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69,934,587</w:t>
            </w:r>
          </w:p>
        </w:tc>
        <w:tc>
          <w:tcPr>
            <w:tcW w:w="26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9"/>
              </w:rPr>
              <w:t>1,567,803</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18,251</w:t>
            </w:r>
          </w:p>
        </w:tc>
        <w:tc>
          <w:tcPr>
            <w:tcW w:w="8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2,425,186</w:t>
            </w:r>
          </w:p>
        </w:tc>
      </w:tr>
      <w:tr>
        <w:trPr>
          <w:trHeight w:val="257"/>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Shaundra D. Clay</w:t>
            </w:r>
          </w:p>
        </w:tc>
        <w:tc>
          <w:tcPr>
            <w:tcW w:w="25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71,299,493</w:t>
            </w:r>
          </w:p>
        </w:tc>
        <w:tc>
          <w:tcPr>
            <w:tcW w:w="26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206,047</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15,101</w:t>
            </w:r>
          </w:p>
        </w:tc>
        <w:tc>
          <w:tcPr>
            <w:tcW w:w="800" w:type="dxa"/>
            <w:vAlign w:val="bottom"/>
          </w:tcPr>
          <w:p>
            <w:pPr>
              <w:spacing w:after="0"/>
              <w:rPr>
                <w:sz w:val="22"/>
                <w:szCs w:val="22"/>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2,425,186</w:t>
            </w:r>
          </w:p>
        </w:tc>
      </w:tr>
      <w:tr>
        <w:trPr>
          <w:trHeight w:val="257"/>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Stuart M. Essig, Ph.D.</w:t>
            </w:r>
          </w:p>
        </w:tc>
        <w:tc>
          <w:tcPr>
            <w:tcW w:w="25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70,050,243</w:t>
            </w:r>
          </w:p>
        </w:tc>
        <w:tc>
          <w:tcPr>
            <w:tcW w:w="26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9"/>
              </w:rPr>
              <w:t>1,447,483</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22,915</w:t>
            </w:r>
          </w:p>
        </w:tc>
        <w:tc>
          <w:tcPr>
            <w:tcW w:w="800" w:type="dxa"/>
            <w:vAlign w:val="bottom"/>
          </w:tcPr>
          <w:p>
            <w:pPr>
              <w:spacing w:after="0"/>
              <w:rPr>
                <w:sz w:val="22"/>
                <w:szCs w:val="22"/>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2,425,186</w:t>
            </w:r>
          </w:p>
        </w:tc>
      </w:tr>
      <w:tr>
        <w:trPr>
          <w:trHeight w:val="256"/>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A. Graves, Ph.D.</w:t>
            </w:r>
          </w:p>
        </w:tc>
        <w:tc>
          <w:tcPr>
            <w:tcW w:w="25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71,047,160</w:t>
            </w:r>
          </w:p>
        </w:tc>
        <w:tc>
          <w:tcPr>
            <w:tcW w:w="26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454,136</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19,345</w:t>
            </w:r>
          </w:p>
        </w:tc>
        <w:tc>
          <w:tcPr>
            <w:tcW w:w="800" w:type="dxa"/>
            <w:vAlign w:val="bottom"/>
          </w:tcPr>
          <w:p>
            <w:pPr>
              <w:spacing w:after="0"/>
              <w:rPr>
                <w:sz w:val="22"/>
                <w:szCs w:val="22"/>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2,425,186</w:t>
            </w:r>
          </w:p>
        </w:tc>
      </w:tr>
      <w:tr>
        <w:trPr>
          <w:trHeight w:val="257"/>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Barbara B. Hill</w:t>
            </w:r>
          </w:p>
        </w:tc>
        <w:tc>
          <w:tcPr>
            <w:tcW w:w="25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69,648,076</w:t>
            </w:r>
          </w:p>
        </w:tc>
        <w:tc>
          <w:tcPr>
            <w:tcW w:w="26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9"/>
              </w:rPr>
              <w:t>1,857,783</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14,782</w:t>
            </w:r>
          </w:p>
        </w:tc>
        <w:tc>
          <w:tcPr>
            <w:tcW w:w="800" w:type="dxa"/>
            <w:vAlign w:val="bottom"/>
          </w:tcPr>
          <w:p>
            <w:pPr>
              <w:spacing w:after="0"/>
              <w:rPr>
                <w:sz w:val="22"/>
                <w:szCs w:val="22"/>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2,425,186</w:t>
            </w:r>
          </w:p>
        </w:tc>
      </w:tr>
      <w:tr>
        <w:trPr>
          <w:trHeight w:val="257"/>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Renee W. Lo</w:t>
            </w:r>
          </w:p>
        </w:tc>
        <w:tc>
          <w:tcPr>
            <w:tcW w:w="25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70,747,006</w:t>
            </w:r>
          </w:p>
        </w:tc>
        <w:tc>
          <w:tcPr>
            <w:tcW w:w="26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760,117</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13,518</w:t>
            </w:r>
          </w:p>
        </w:tc>
        <w:tc>
          <w:tcPr>
            <w:tcW w:w="800" w:type="dxa"/>
            <w:vAlign w:val="bottom"/>
          </w:tcPr>
          <w:p>
            <w:pPr>
              <w:spacing w:after="0"/>
              <w:rPr>
                <w:sz w:val="22"/>
                <w:szCs w:val="22"/>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2,425,186</w:t>
            </w:r>
          </w:p>
        </w:tc>
      </w:tr>
      <w:tr>
        <w:trPr>
          <w:trHeight w:val="256"/>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Mojdeh Poul</w:t>
            </w:r>
          </w:p>
        </w:tc>
        <w:tc>
          <w:tcPr>
            <w:tcW w:w="25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70,013,966</w:t>
            </w:r>
          </w:p>
        </w:tc>
        <w:tc>
          <w:tcPr>
            <w:tcW w:w="26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9"/>
              </w:rPr>
              <w:t>1,488,185</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18,490</w:t>
            </w:r>
          </w:p>
        </w:tc>
        <w:tc>
          <w:tcPr>
            <w:tcW w:w="800" w:type="dxa"/>
            <w:vAlign w:val="bottom"/>
          </w:tcPr>
          <w:p>
            <w:pPr>
              <w:spacing w:after="0"/>
              <w:rPr>
                <w:sz w:val="22"/>
                <w:szCs w:val="22"/>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2,425,186</w:t>
            </w:r>
          </w:p>
        </w:tc>
      </w:tr>
      <w:tr>
        <w:trPr>
          <w:trHeight w:val="257"/>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Christian S. Schade</w:t>
            </w:r>
          </w:p>
        </w:tc>
        <w:tc>
          <w:tcPr>
            <w:tcW w:w="25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69,952,338</w:t>
            </w:r>
          </w:p>
        </w:tc>
        <w:tc>
          <w:tcPr>
            <w:tcW w:w="26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9"/>
              </w:rPr>
              <w:t>1,548,649</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19,654</w:t>
            </w:r>
          </w:p>
        </w:tc>
        <w:tc>
          <w:tcPr>
            <w:tcW w:w="800" w:type="dxa"/>
            <w:vAlign w:val="bottom"/>
          </w:tcPr>
          <w:p>
            <w:pPr>
              <w:spacing w:after="0"/>
              <w:rPr>
                <w:sz w:val="22"/>
                <w:szCs w:val="22"/>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2,425,186</w:t>
            </w:r>
          </w:p>
        </w:tc>
      </w:tr>
    </w:tbl>
    <w:p>
      <w:pPr>
        <w:spacing w:after="0" w:line="33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Item No. 2: The stockholders ratified the appointment of PricewaterhouseCoopers LLP as the Company’s independent registered public accounting firm for the 2025 fiscal year, by the votes set forth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w w:val="95"/>
              </w:rPr>
              <w:t>For</w:t>
            </w:r>
          </w:p>
        </w:tc>
        <w:tc>
          <w:tcPr>
            <w:tcW w:w="1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Against</w:t>
            </w:r>
          </w:p>
        </w:tc>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Abstain</w:t>
            </w:r>
          </w:p>
        </w:tc>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Broker Non-Vote</w:t>
            </w:r>
          </w:p>
        </w:tc>
      </w:tr>
      <w:tr>
        <w:trPr>
          <w:trHeight w:val="20"/>
        </w:trPr>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72,960,045</w:t>
            </w:r>
          </w:p>
        </w:tc>
        <w:tc>
          <w:tcPr>
            <w:tcW w:w="408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946,740</w:t>
            </w: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39,042</w:t>
            </w:r>
          </w:p>
        </w:tc>
        <w:tc>
          <w:tcPr>
            <w:tcW w:w="20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0</w:t>
            </w:r>
          </w:p>
        </w:tc>
        <w:tc>
          <w:tcPr>
            <w:tcW w:w="1300" w:type="dxa"/>
            <w:vAlign w:val="bottom"/>
          </w:tcPr>
          <w:p>
            <w:pPr>
              <w:spacing w:after="0"/>
              <w:rPr>
                <w:sz w:val="24"/>
                <w:szCs w:val="24"/>
                <w:color w:val="auto"/>
              </w:rPr>
            </w:pPr>
          </w:p>
        </w:tc>
      </w:tr>
      <w:tr>
        <w:trPr>
          <w:trHeight w:val="1249"/>
        </w:trPr>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ind w:right="160"/>
        <w:spacing w:after="0" w:line="266" w:lineRule="auto"/>
        <w:rPr>
          <w:sz w:val="20"/>
          <w:szCs w:val="20"/>
          <w:color w:val="auto"/>
        </w:rPr>
      </w:pPr>
      <w:r>
        <w:rPr>
          <w:rFonts w:ascii="Times New Roman" w:cs="Times New Roman" w:eastAsia="Times New Roman" w:hAnsi="Times New Roman"/>
          <w:sz w:val="18"/>
          <w:szCs w:val="18"/>
          <w:color w:val="auto"/>
        </w:rPr>
        <w:t>Item No. 3: The stockholders approved, on an advisory, non-binding basis, the compensation of the Company’s named executive officers, by the votes set forth below.</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w w:val="95"/>
              </w:rPr>
              <w:t>For</w:t>
            </w:r>
          </w:p>
        </w:tc>
        <w:tc>
          <w:tcPr>
            <w:tcW w:w="17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Against</w:t>
            </w:r>
          </w:p>
        </w:tc>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Abstain</w:t>
            </w: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w w:val="96"/>
              </w:rPr>
              <w:t>Broker Non-Vote</w:t>
            </w:r>
          </w:p>
        </w:tc>
      </w:tr>
      <w:tr>
        <w:trPr>
          <w:trHeight w:val="20"/>
        </w:trPr>
        <w:tc>
          <w:tcPr>
            <w:tcW w:w="26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r>
        <w:trPr>
          <w:trHeight w:val="277"/>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70,185,676</w:t>
            </w:r>
          </w:p>
        </w:tc>
        <w:tc>
          <w:tcPr>
            <w:tcW w:w="408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1,313,983</w:t>
            </w: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20,982</w:t>
            </w:r>
          </w:p>
        </w:tc>
        <w:tc>
          <w:tcPr>
            <w:tcW w:w="20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2,425,186</w:t>
            </w:r>
          </w:p>
        </w:tc>
      </w:tr>
    </w:tbl>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No. 4: The stockholders approved the Plan Amendment, by the votes set forth below:</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w w:val="95"/>
              </w:rPr>
              <w:t>For</w:t>
            </w:r>
          </w:p>
        </w:tc>
        <w:tc>
          <w:tcPr>
            <w:tcW w:w="17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Against</w:t>
            </w:r>
          </w:p>
        </w:tc>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Abstain</w:t>
            </w: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w w:val="96"/>
              </w:rPr>
              <w:t>Broker Non-Vote</w:t>
            </w:r>
          </w:p>
        </w:tc>
      </w:tr>
      <w:tr>
        <w:trPr>
          <w:trHeight w:val="20"/>
        </w:trPr>
        <w:tc>
          <w:tcPr>
            <w:tcW w:w="26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r>
        <w:trPr>
          <w:trHeight w:val="277"/>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69,088,553</w:t>
            </w:r>
          </w:p>
        </w:tc>
        <w:tc>
          <w:tcPr>
            <w:tcW w:w="408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2,388,890</w:t>
            </w: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43,198</w:t>
            </w:r>
          </w:p>
        </w:tc>
        <w:tc>
          <w:tcPr>
            <w:tcW w:w="20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2,425,186</w:t>
            </w: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Board approved the transition of Dr. Essig from Executive Chairman of the Board to non-executive Chairman of the Board, effective as of July 1, 2025. This transition is not the result of any disagreement with the Company or the Board on any matter relating to the Company’s operations, policies or practices.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0000FF"/>
        </w:rPr>
        <w:t>Amendment No. 2 to the Integra LifeSciences Holdings Corporation Fifth Amended and Restated 2003 Equity Incentive Plan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 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3" w:name="page4"/>
    <w:bookmarkEnd w:id="3"/>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6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6000" w:type="dxa"/>
            <w:vAlign w:val="bottom"/>
            <w:gridSpan w:val="3"/>
          </w:tcPr>
          <w:p>
            <w:pPr>
              <w:ind w:left="1620"/>
              <w:spacing w:after="0"/>
              <w:rPr>
                <w:sz w:val="20"/>
                <w:szCs w:val="20"/>
                <w:color w:val="auto"/>
              </w:rPr>
            </w:pPr>
            <w:r>
              <w:rPr>
                <w:rFonts w:ascii="Times New Roman" w:cs="Times New Roman" w:eastAsia="Times New Roman" w:hAnsi="Times New Roman"/>
                <w:sz w:val="18"/>
                <w:szCs w:val="18"/>
                <w:color w:val="auto"/>
              </w:rPr>
              <w:t>INTEGRA LIFESCIENCES HOLDINGS CORPORATION</w:t>
            </w:r>
          </w:p>
        </w:tc>
      </w:tr>
      <w:tr>
        <w:trPr>
          <w:trHeight w:val="459"/>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Date: May 13, 2025</w:t>
            </w:r>
          </w:p>
        </w:tc>
        <w:tc>
          <w:tcPr>
            <w:tcW w:w="234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By:</w:t>
            </w:r>
          </w:p>
        </w:tc>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/s/ Chantal Veillon</w:t>
            </w:r>
          </w:p>
        </w:tc>
        <w:tc>
          <w:tcPr>
            <w:tcW w:w="2320" w:type="dxa"/>
            <w:vAlign w:val="bottom"/>
          </w:tcPr>
          <w:p>
            <w:pPr>
              <w:spacing w:after="0"/>
              <w:rPr>
                <w:sz w:val="24"/>
                <w:szCs w:val="24"/>
                <w:color w:val="auto"/>
              </w:rPr>
            </w:pPr>
          </w:p>
        </w:tc>
      </w:tr>
      <w:tr>
        <w:trPr>
          <w:trHeight w:val="245"/>
        </w:trPr>
        <w:tc>
          <w:tcPr>
            <w:tcW w:w="308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Chantal Veillon</w:t>
            </w:r>
          </w:p>
        </w:tc>
      </w:tr>
      <w:tr>
        <w:trPr>
          <w:trHeight w:val="229"/>
        </w:trPr>
        <w:tc>
          <w:tcPr>
            <w:tcW w:w="3080" w:type="dxa"/>
            <w:vAlign w:val="bottom"/>
          </w:tcPr>
          <w:p>
            <w:pPr>
              <w:spacing w:after="0"/>
              <w:rPr>
                <w:sz w:val="19"/>
                <w:szCs w:val="19"/>
                <w:color w:val="auto"/>
              </w:rPr>
            </w:pPr>
          </w:p>
        </w:tc>
        <w:tc>
          <w:tcPr>
            <w:tcW w:w="234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Title:</w:t>
            </w: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Executive Vice President, Chief Human Resources</w:t>
            </w:r>
          </w:p>
        </w:tc>
      </w:tr>
      <w:tr>
        <w:trPr>
          <w:trHeight w:val="234"/>
        </w:trPr>
        <w:tc>
          <w:tcPr>
            <w:tcW w:w="30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Officer</w:t>
            </w:r>
          </w:p>
        </w:tc>
      </w:tr>
    </w:tbl>
    <w:p>
      <w:pPr>
        <w:sectPr>
          <w:pgSz w:w="11900" w:h="16838" w:orient="portrait"/>
          <w:cols w:equalWidth="0" w:num="1">
            <w:col w:w="11240"/>
          </w:cols>
          <w:pgMar w:left="320" w:top="927" w:right="339" w:bottom="1440" w:gutter="0" w:footer="0" w:header="0"/>
        </w:sectPr>
      </w:pPr>
    </w:p>
    <w:bookmarkStart w:id="4" w:name="page5"/>
    <w:bookmarkEnd w:id="4"/>
    <w:p>
      <w:pPr>
        <w:ind w:left="10120"/>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AMENDMENT NO. 2 TO THE</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INTEGRA LIFESCIENCES HOLDINGS CORPORATION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FIFTH AMENDED AND RESTATED 2003 EQUITY INCENTIVE PLAN</w:t>
      </w:r>
    </w:p>
    <w:p>
      <w:pPr>
        <w:spacing w:after="0" w:line="21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THIS AMENDMENT </w:t>
      </w:r>
      <w:r>
        <w:rPr>
          <w:rFonts w:ascii="Times New Roman" w:cs="Times New Roman" w:eastAsia="Times New Roman" w:hAnsi="Times New Roman"/>
          <w:sz w:val="20"/>
          <w:szCs w:val="20"/>
          <w:color w:val="auto"/>
        </w:rPr>
        <w:t>(this “Amendment”) to the Integra LifeSciences Holdings Corporation Fifth Amended and Restated 2003</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Equity Incentive Plan, as amended (the “Plan”), is adopted by the Board of Directors (the “Board”) of Integra LifeSciences Holdings Corporation (the “Company”) on April 1, 2025.</w:t>
      </w:r>
    </w:p>
    <w:p>
      <w:pPr>
        <w:spacing w:after="0" w:line="162"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Company sponsors and maintains the Plan, which was previously adopted by the Board and approved by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stockholders of the Company;</w:t>
      </w:r>
    </w:p>
    <w:p>
      <w:pPr>
        <w:spacing w:after="0" w:line="15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pursuant to Section 9(a) of the Plan, the Board of Directors of the Company (the “Board”) has reserved the right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amend the Plan;</w:t>
      </w:r>
    </w:p>
    <w:p>
      <w:pPr>
        <w:spacing w:after="0" w:line="165"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Board believes that the number of shares of common stock of the Company remaining available for issuance under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Plan has become insufficient for the Company’s anticipated future needs under the Plan;</w:t>
      </w:r>
    </w:p>
    <w:p>
      <w:pPr>
        <w:spacing w:after="0" w:line="16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Board has determined, following the recommendation of the Compensation Committee (the “Committee”) and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Committee’s independent compensation consultant, that it is in the best interests of the Company and its stockholders to amend the Plan, subject to stockholder approval, to (i) increase the aggregate number of shares of Common Stock available for Awards under the Plan and (ii) eliminate a provision that permits Shares withheld for taxes with respect to an Award to continue to be available for Awards under the Plan; and</w:t>
      </w:r>
    </w:p>
    <w:p>
      <w:pPr>
        <w:spacing w:after="0" w:line="187"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Board has approved the submission of this Amendment to the Company’s stockholders for approval and if, for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reason, the Company’s stockholders fail to approve this Amendment, the existing Plan shall continue in full force and effect.</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the Plan is hereby amended, effective as of the Amendment Effective Date (as defined below), as follows:</w:t>
      </w:r>
    </w:p>
    <w:p>
      <w:pPr>
        <w:spacing w:after="0" w:line="220" w:lineRule="exact"/>
        <w:rPr>
          <w:sz w:val="20"/>
          <w:szCs w:val="20"/>
          <w:color w:val="auto"/>
        </w:rPr>
      </w:pPr>
    </w:p>
    <w:p>
      <w:pPr>
        <w:ind w:left="1300" w:hanging="644"/>
        <w:spacing w:after="0"/>
        <w:tabs>
          <w:tab w:leader="none" w:pos="13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Shares Subject to the Plan</w:t>
      </w:r>
      <w:r>
        <w:rPr>
          <w:rFonts w:ascii="Times New Roman" w:cs="Times New Roman" w:eastAsia="Times New Roman" w:hAnsi="Times New Roman"/>
          <w:sz w:val="20"/>
          <w:szCs w:val="20"/>
          <w:color w:val="auto"/>
        </w:rPr>
        <w:t>. Section 5 of the Plan is hereby amended and restated to read in its entirety as follows:</w:t>
      </w:r>
    </w:p>
    <w:p>
      <w:pPr>
        <w:spacing w:after="0" w:line="184" w:lineRule="exact"/>
        <w:rPr>
          <w:rFonts w:ascii="Times New Roman" w:cs="Times New Roman" w:eastAsia="Times New Roman" w:hAnsi="Times New Roman"/>
          <w:sz w:val="20"/>
          <w:szCs w:val="20"/>
          <w:color w:val="auto"/>
        </w:rPr>
      </w:pPr>
    </w:p>
    <w:p>
      <w:pPr>
        <w:jc w:val="both"/>
        <w:ind w:firstLine="1304"/>
        <w:spacing w:after="0" w:line="252" w:lineRule="auto"/>
        <w:tabs>
          <w:tab w:leader="none" w:pos="1521"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Shares Subject to the Plan. </w:t>
      </w:r>
      <w:r>
        <w:rPr>
          <w:rFonts w:ascii="Times New Roman" w:cs="Times New Roman" w:eastAsia="Times New Roman" w:hAnsi="Times New Roman"/>
          <w:sz w:val="20"/>
          <w:szCs w:val="20"/>
          <w:color w:val="auto"/>
        </w:rPr>
        <w:t>The aggregate number of Shares that may be delivered under the Plan is 20,700,000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Share Limit</w:t>
      </w:r>
      <w:r>
        <w:rPr>
          <w:rFonts w:ascii="Times New Roman" w:cs="Times New Roman" w:eastAsia="Times New Roman" w:hAnsi="Times New Roman"/>
          <w:sz w:val="20"/>
          <w:szCs w:val="20"/>
          <w:color w:val="auto"/>
        </w:rPr>
        <w:t>”). The maximum number of Shares which may be granted as ISOs is 20,700,000. Further, no Key Employee shall receive Awards for more than 2,000,000 Shares in the aggregate during any calendar year under the Plan. However, the limits in the preceding sentences shall be subject to the adjustment described in Sections 8.3 and 8.4. Shares delivered under the Plan may be authorized but unissued Shares, treasury Shares or reacquired Shares, and the Company may purchase Shares required for this purpose, from time to time, if it deems such purchase to be advisable</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xml:space="preserve"> Any Shares still subject to an Option which expires or otherwise terminates for any reason whatsoever (including, without limitation, the surrender thereof) without having been exercised in full, any Shares that are still subject to an Award that is forfeited, and the Shares subject to an Award which is payable in Shares or cash and that is satisfied in cash rather than in Shares shall continue to be available for Awards under the Plan.</w:t>
      </w:r>
    </w:p>
    <w:p>
      <w:pPr>
        <w:sectPr>
          <w:pgSz w:w="11900" w:h="16838" w:orient="portrait"/>
          <w:cols w:equalWidth="0" w:num="1">
            <w:col w:w="11240"/>
          </w:cols>
          <w:pgMar w:left="320" w:top="122" w:right="339" w:bottom="1440" w:gutter="0" w:footer="0" w:header="0"/>
        </w:sectPr>
      </w:pPr>
    </w:p>
    <w:bookmarkStart w:id="5" w:name="page6"/>
    <w:bookmarkEnd w:id="5"/>
    <w:p>
      <w:pPr>
        <w:spacing w:after="0" w:line="14" w:lineRule="exact"/>
        <w:rPr>
          <w:sz w:val="20"/>
          <w:szCs w:val="20"/>
          <w:color w:val="auto"/>
        </w:rPr>
      </w:pPr>
    </w:p>
    <w:p>
      <w:pPr>
        <w:ind w:firstLine="656"/>
        <w:spacing w:after="0" w:line="233" w:lineRule="auto"/>
        <w:tabs>
          <w:tab w:leader="none" w:pos="1296"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Effective Date of Amendment</w:t>
      </w:r>
      <w:r>
        <w:rPr>
          <w:rFonts w:ascii="Times New Roman" w:cs="Times New Roman" w:eastAsia="Times New Roman" w:hAnsi="Times New Roman"/>
          <w:sz w:val="20"/>
          <w:szCs w:val="20"/>
          <w:color w:val="auto"/>
        </w:rPr>
        <w:t>. This Amendment to the Plan shall become effective upon the date that it is approved by the Company’s stockholders (the “Amendment Effective Date”) in accordance with applicable laws and regulations.</w:t>
      </w:r>
    </w:p>
    <w:p>
      <w:pPr>
        <w:spacing w:after="0" w:line="160" w:lineRule="exact"/>
        <w:rPr>
          <w:rFonts w:ascii="Times New Roman" w:cs="Times New Roman" w:eastAsia="Times New Roman" w:hAnsi="Times New Roman"/>
          <w:sz w:val="20"/>
          <w:szCs w:val="20"/>
          <w:color w:val="auto"/>
        </w:rPr>
      </w:pPr>
    </w:p>
    <w:p>
      <w:pPr>
        <w:ind w:right="20" w:firstLine="656"/>
        <w:spacing w:after="0"/>
        <w:tabs>
          <w:tab w:leader="none" w:pos="1296"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Remaining Provisions</w:t>
      </w:r>
      <w:r>
        <w:rPr>
          <w:rFonts w:ascii="Times New Roman" w:cs="Times New Roman" w:eastAsia="Times New Roman" w:hAnsi="Times New Roman"/>
          <w:sz w:val="20"/>
          <w:szCs w:val="20"/>
          <w:color w:val="auto"/>
        </w:rPr>
        <w:t>. The remaining provisions of the Plan will continue in full force and effect unless and until further modified or amended in accordance with the terms of the Plan.</w:t>
      </w:r>
    </w:p>
    <w:p>
      <w:pPr>
        <w:spacing w:after="0" w:line="147" w:lineRule="exact"/>
        <w:rPr>
          <w:rFonts w:ascii="Times New Roman" w:cs="Times New Roman" w:eastAsia="Times New Roman" w:hAnsi="Times New Roman"/>
          <w:sz w:val="20"/>
          <w:szCs w:val="20"/>
          <w:color w:val="auto"/>
        </w:rPr>
      </w:pPr>
    </w:p>
    <w:p>
      <w:pPr>
        <w:ind w:firstLine="656"/>
        <w:spacing w:after="0"/>
        <w:tabs>
          <w:tab w:leader="none" w:pos="1296"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Capitalized Terms</w:t>
      </w:r>
      <w:r>
        <w:rPr>
          <w:rFonts w:ascii="Times New Roman" w:cs="Times New Roman" w:eastAsia="Times New Roman" w:hAnsi="Times New Roman"/>
          <w:sz w:val="20"/>
          <w:szCs w:val="20"/>
          <w:color w:val="auto"/>
        </w:rPr>
        <w:t>. Capitalized terms used in this Amendment that are not specifically defined in this Amendment will have the meanings set forth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Remainder of Page Intentionally Blank</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40" w:right="339" w:bottom="1440" w:gutter="0" w:footer="0" w:header="0"/>
        </w:sectPr>
      </w:pPr>
    </w:p>
    <w:bookmarkStart w:id="6" w:name="page7"/>
    <w:bookmarkEnd w:id="6"/>
    <w:p>
      <w:pPr>
        <w:ind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IN WITNESS WHEREOF, </w:t>
      </w:r>
      <w:r>
        <w:rPr>
          <w:rFonts w:ascii="Times New Roman" w:cs="Times New Roman" w:eastAsia="Times New Roman" w:hAnsi="Times New Roman"/>
          <w:sz w:val="20"/>
          <w:szCs w:val="20"/>
          <w:color w:val="auto"/>
        </w:rPr>
        <w:t>the undersigned Secretary of the Company certifies that the foregoing Amendment to the Plan was duly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adopted by the Board of Directors.</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INTEGRA LIFESCIENCES HOLDINGS CORPORATION</w:t>
      </w:r>
    </w:p>
    <w:p>
      <w:pPr>
        <w:spacing w:after="0" w:line="200" w:lineRule="exact"/>
        <w:rPr>
          <w:sz w:val="20"/>
          <w:szCs w:val="20"/>
          <w:color w:val="auto"/>
        </w:rPr>
      </w:pPr>
    </w:p>
    <w:p>
      <w:pPr>
        <w:spacing w:after="0" w:line="303" w:lineRule="exact"/>
        <w:rPr>
          <w:sz w:val="20"/>
          <w:szCs w:val="20"/>
          <w:color w:val="auto"/>
        </w:rPr>
      </w:pPr>
    </w:p>
    <w:p>
      <w:pPr>
        <w:jc w:val="both"/>
        <w:spacing w:after="0"/>
        <w:tabs>
          <w:tab w:leader="none" w:pos="520" w:val="left"/>
        </w:tabs>
        <w:rPr>
          <w:sz w:val="20"/>
          <w:szCs w:val="20"/>
          <w:color w:val="auto"/>
        </w:rPr>
      </w:pPr>
      <w:r>
        <w:rPr>
          <w:rFonts w:ascii="Times New Roman" w:cs="Times New Roman" w:eastAsia="Times New Roman" w:hAnsi="Times New Roman"/>
          <w:sz w:val="20"/>
          <w:szCs w:val="20"/>
          <w:color w:val="auto"/>
        </w:rPr>
        <w:t>By:</w:t>
        <w:tab/>
        <w:t>/s/ Eric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wp:posOffset>
            </wp:positionH>
            <wp:positionV relativeFrom="paragraph">
              <wp:posOffset>-10795</wp:posOffset>
            </wp:positionV>
            <wp:extent cx="11093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09345" cy="8255"/>
                    </a:xfrm>
                    <a:prstGeom prst="rect">
                      <a:avLst/>
                    </a:prstGeom>
                    <a:noFill/>
                  </pic:spPr>
                </pic:pic>
              </a:graphicData>
            </a:graphic>
          </wp:anchor>
        </w:drawing>
      </w:r>
    </w:p>
    <w:p>
      <w:pPr>
        <w:spacing w:after="0" w:line="2" w:lineRule="exact"/>
        <w:rPr>
          <w:sz w:val="20"/>
          <w:szCs w:val="20"/>
          <w:color w:val="auto"/>
        </w:rPr>
      </w:pPr>
    </w:p>
    <w:p>
      <w:pPr>
        <w:jc w:val="right"/>
        <w:ind w:right="9340"/>
        <w:spacing w:after="0"/>
        <w:rPr>
          <w:sz w:val="20"/>
          <w:szCs w:val="20"/>
          <w:color w:val="auto"/>
        </w:rPr>
      </w:pPr>
      <w:r>
        <w:rPr>
          <w:rFonts w:ascii="Times New Roman" w:cs="Times New Roman" w:eastAsia="Times New Roman" w:hAnsi="Times New Roman"/>
          <w:sz w:val="20"/>
          <w:szCs w:val="20"/>
          <w:color w:val="auto"/>
        </w:rPr>
        <w:t>Name: Eric Schwartz</w:t>
      </w:r>
    </w:p>
    <w:p>
      <w:pPr>
        <w:spacing w:after="0" w:line="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Title: Executive Vice President, Chief Legal Officer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to Amendment No. 2 to the Integra LifeSciences Holdings Corporation Fifth Amended and Restated 2003 Equity Incentive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Plan</w:t>
      </w:r>
      <w:r>
        <w:rPr>
          <w:rFonts w:ascii="Times New Roman" w:cs="Times New Roman" w:eastAsia="Times New Roman" w:hAnsi="Times New Roman"/>
          <w:sz w:val="20"/>
          <w:szCs w:val="20"/>
          <w:color w:val="auto"/>
        </w:rPr>
        <w:t>]</w:t>
      </w:r>
    </w:p>
    <w:sectPr>
      <w:pgSz w:w="11900" w:h="16838" w:orient="portrait"/>
      <w:cols w:equalWidth="0" w:num="1">
        <w:col w:w="11240"/>
      </w:cols>
      <w:pgMar w:left="320" w:top="140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lvl w:ilvl="1">
      <w:lvlJc w:val="left"/>
      <w:lvlText w:val="%2."/>
      <w:numFmt w:val="decimal"/>
      <w:start w:val="5"/>
    </w:lvl>
  </w:abstractNum>
  <w:abstractNum w:abstractNumId="2">
    <w:nsid w:val="19495CFF"/>
    <w:multiLevelType w:val="hybridMultilevel"/>
    <w:lvl w:ilvl="0">
      <w:lvlJc w:val="left"/>
      <w:lvlText w:val="%1."/>
      <w:numFmt w:val="decimal"/>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2025-05-13T15:56:28Z</dcterms:created>
  <dcterms:modified xsi:type="dcterms:W3CDTF">2025-05-13T15:56:28Z</dcterms:modified>
</cp:coreProperties>
</file>