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50" w:lineRule="exact"/>
        <w:rPr>
          <w:sz w:val="24"/>
          <w:szCs w:val="24"/>
          <w:color w:val="auto"/>
        </w:rPr>
      </w:pPr>
    </w:p>
    <w:p>
      <w:pPr>
        <w:ind w:left="394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000-26224</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40"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c>
          <w:tcPr>
            <w:tcW w:w="0" w:type="dxa"/>
            <w:vAlign w:val="bottom"/>
          </w:tcPr>
          <w:p>
            <w:pPr>
              <w:spacing w:after="0"/>
              <w:rPr>
                <w:sz w:val="1"/>
                <w:szCs w:val="1"/>
                <w:color w:val="auto"/>
              </w:rPr>
            </w:pPr>
          </w:p>
        </w:tc>
      </w:tr>
      <w:tr>
        <w:trPr>
          <w:trHeight w:val="149"/>
        </w:trPr>
        <w:tc>
          <w:tcPr>
            <w:tcW w:w="4980" w:type="dxa"/>
            <w:vAlign w:val="bottom"/>
          </w:tcPr>
          <w:p>
            <w:pPr>
              <w:jc w:val="center"/>
              <w:ind w:righ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01"/>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1100 Campus Road</w:t>
            </w:r>
          </w:p>
        </w:tc>
        <w:tc>
          <w:tcPr>
            <w:tcW w:w="31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227"/>
        </w:trPr>
        <w:tc>
          <w:tcPr>
            <w:tcW w:w="4980" w:type="dxa"/>
            <w:vAlign w:val="bottom"/>
          </w:tcPr>
          <w:p>
            <w:pPr>
              <w:jc w:val="center"/>
              <w:ind w:right="1519"/>
              <w:spacing w:after="0"/>
              <w:rPr>
                <w:sz w:val="20"/>
                <w:szCs w:val="20"/>
                <w:color w:val="auto"/>
              </w:rPr>
            </w:pPr>
            <w:r>
              <w:rPr>
                <w:rFonts w:ascii="Times New Roman" w:cs="Times New Roman" w:eastAsia="Times New Roman" w:hAnsi="Times New Roman"/>
                <w:sz w:val="18"/>
                <w:szCs w:val="18"/>
                <w:b w:val="1"/>
                <w:bCs w:val="1"/>
                <w:color w:val="auto"/>
              </w:rPr>
              <w:t>Princeton ,  New Jersey</w:t>
            </w:r>
          </w:p>
        </w:tc>
        <w:tc>
          <w:tcPr>
            <w:tcW w:w="3160" w:type="dxa"/>
            <w:vAlign w:val="bottom"/>
            <w:vMerge w:val="restart"/>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4980" w:type="dxa"/>
            <w:vAlign w:val="bottom"/>
            <w:vMerge w:val="restart"/>
          </w:tcPr>
          <w:p>
            <w:pPr>
              <w:jc w:val="center"/>
              <w:ind w:right="15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33" w:right="339" w:bottom="1440" w:gutter="0" w:footer="0" w:header="0"/>
        </w:sectPr>
      </w:pPr>
    </w:p>
    <w:p>
      <w:pPr>
        <w:spacing w:after="0" w:line="16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3220" w:space="720"/>
            <w:col w:w="1720" w:space="720"/>
            <w:col w:w="4860"/>
          </w:cols>
          <w:pgMar w:left="320" w:top="1033"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3800" w:space="720"/>
            <w:col w:w="2320" w:space="720"/>
            <w:col w:w="3680"/>
          </w:cols>
          <w:pgMar w:left="320" w:top="1033" w:right="339" w:bottom="1440" w:gutter="0" w:footer="0" w:header="0"/>
          <w:type w:val="continuous"/>
        </w:sectPr>
      </w:pPr>
    </w:p>
    <w:p>
      <w:pPr>
        <w:spacing w:after="0" w:line="116"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2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0"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0"/>
          <w:szCs w:val="20"/>
          <w:color w:val="auto"/>
        </w:rPr>
      </w:pPr>
    </w:p>
    <w:p>
      <w:pPr>
        <w:ind w:right="26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$0.01 par value, outstanding as of </w:t>
      </w:r>
      <w:r>
        <w:rPr>
          <w:rFonts w:ascii="Times New Roman" w:cs="Times New Roman" w:eastAsia="Times New Roman" w:hAnsi="Times New Roman"/>
          <w:sz w:val="17"/>
          <w:szCs w:val="17"/>
          <w:color w:val="auto"/>
        </w:rPr>
        <w:t>May 3, 2024</w:t>
      </w:r>
      <w:r>
        <w:rPr>
          <w:rFonts w:ascii="Times New Roman" w:cs="Times New Roman" w:eastAsia="Times New Roman" w:hAnsi="Times New Roman"/>
          <w:sz w:val="16"/>
          <w:szCs w:val="16"/>
          <w:color w:val="auto"/>
        </w:rPr>
        <w:t xml:space="preserve"> was 78,799,694.</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159"/>
        </w:trPr>
        <w:tc>
          <w:tcPr>
            <w:tcW w:w="20" w:type="dxa"/>
            <w:vAlign w:val="bottom"/>
          </w:tcPr>
          <w:p>
            <w:pPr>
              <w:spacing w:after="0"/>
              <w:rPr>
                <w:sz w:val="13"/>
                <w:szCs w:val="13"/>
                <w:color w:val="auto"/>
              </w:rPr>
            </w:pPr>
          </w:p>
        </w:tc>
        <w:tc>
          <w:tcPr>
            <w:tcW w:w="2600" w:type="dxa"/>
            <w:vAlign w:val="bottom"/>
            <w:tcBorders>
              <w:bottom w:val="single" w:sz="8" w:color="0000FF"/>
            </w:tcBorders>
            <w:gridSpan w:val="10"/>
          </w:tcPr>
          <w:p>
            <w:pPr>
              <w:spacing w:after="0" w:line="159" w:lineRule="exact"/>
              <w:rPr>
                <w:sz w:val="20"/>
                <w:szCs w:val="20"/>
                <w:color w:val="auto"/>
              </w:rPr>
            </w:pPr>
            <w:r>
              <w:rPr>
                <w:rFonts w:ascii="Times New Roman" w:cs="Times New Roman" w:eastAsia="Times New Roman" w:hAnsi="Times New Roman"/>
                <w:sz w:val="16"/>
                <w:szCs w:val="16"/>
                <w:color w:val="0000FF"/>
                <w:w w:val="99"/>
              </w:rPr>
              <w:t>PART I. FINANCIAL INFORMATION</w:t>
            </w:r>
          </w:p>
        </w:tc>
        <w:tc>
          <w:tcPr>
            <w:tcW w:w="7360" w:type="dxa"/>
            <w:vAlign w:val="bottom"/>
            <w:gridSpan w:val="9"/>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20" w:type="dxa"/>
            <w:vAlign w:val="bottom"/>
          </w:tcPr>
          <w:p>
            <w:pPr>
              <w:spacing w:after="0"/>
              <w:rPr>
                <w:sz w:val="21"/>
                <w:szCs w:val="21"/>
                <w:color w:val="auto"/>
              </w:rPr>
            </w:pPr>
          </w:p>
        </w:tc>
        <w:tc>
          <w:tcPr>
            <w:tcW w:w="1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8100" w:type="dxa"/>
            <w:vAlign w:val="bottom"/>
            <w:gridSpan w:val="13"/>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 for the Three Months Ended March 31, 2024 and 2023 (Unaudited)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4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March 31, 2024 and December 31, 2023 (Unaudited)</w:t>
            </w:r>
          </w:p>
        </w:tc>
        <w:tc>
          <w:tcPr>
            <w:tcW w:w="3080" w:type="dxa"/>
            <w:vAlign w:val="bottom"/>
            <w:tcBorders>
              <w:top w:val="single" w:sz="8" w:color="0000FF"/>
            </w:tcBorders>
            <w:gridSpan w:val="3"/>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2024 and 2023 (Unaudited)</w:t>
            </w:r>
          </w:p>
        </w:tc>
        <w:tc>
          <w:tcPr>
            <w:tcW w:w="220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Changes in Shareholders' Equity for the Three Months Ended March 31, 2024 and 2023 (Unaudited)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4780" w:type="dxa"/>
            <w:vAlign w:val="bottom"/>
            <w:tcBorders>
              <w:top w:val="single" w:sz="8" w:color="0000FF"/>
            </w:tcBorders>
            <w:gridSpan w:val="6"/>
          </w:tcPr>
          <w:p>
            <w:pPr>
              <w:spacing w:after="0"/>
              <w:rPr>
                <w:sz w:val="21"/>
                <w:szCs w:val="21"/>
                <w:color w:val="auto"/>
              </w:rPr>
            </w:pPr>
          </w:p>
        </w:tc>
        <w:tc>
          <w:tcPr>
            <w:tcW w:w="86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552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7840" w:type="dxa"/>
            <w:vAlign w:val="bottom"/>
            <w:gridSpan w:val="11"/>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7640" w:type="dxa"/>
            <w:vAlign w:val="bottom"/>
            <w:gridSpan w:val="10"/>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4"/>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5540" w:type="dxa"/>
            <w:vAlign w:val="bottom"/>
            <w:gridSpan w:val="7"/>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7360" w:type="dxa"/>
            <w:vAlign w:val="bottom"/>
            <w:gridSpan w:val="9"/>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78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280" w:type="dxa"/>
            <w:vAlign w:val="bottom"/>
            <w:gridSpan w:val="1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8920" w:type="dxa"/>
            <w:vAlign w:val="bottom"/>
            <w:gridSpan w:val="17"/>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44</w:t>
            </w:r>
          </w:p>
        </w:tc>
        <w:tc>
          <w:tcPr>
            <w:tcW w:w="20" w:type="dxa"/>
            <w:vAlign w:val="bottom"/>
          </w:tcPr>
          <w:p>
            <w:pPr>
              <w:spacing w:after="0"/>
              <w:rPr>
                <w:sz w:val="21"/>
                <w:szCs w:val="2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380,846</w:t>
            </w:r>
          </w:p>
        </w:tc>
      </w:tr>
      <w:tr>
        <w:trPr>
          <w:trHeight w:val="216"/>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147,975</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166,657</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r>
      <w:tr>
        <w:trPr>
          <w:trHeight w:val="207"/>
        </w:trPr>
        <w:tc>
          <w:tcPr>
            <w:tcW w:w="82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364,908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344,464</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36,382</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29,778</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w:t>
            </w: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70"/>
        </w:trPr>
        <w:tc>
          <w:tcPr>
            <w:tcW w:w="8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(See Note 13):</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81,871</w:t>
            </w: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82,323</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(See Note 14)</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21,028</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Trade accounts receivable, net of allowances of $5,050 and $4,879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259,327</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389,608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67,362</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1,058,036</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340,199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1,067,833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58,194</w:t>
            </w:r>
          </w:p>
        </w:tc>
        <w:tc>
          <w:tcPr>
            <w:tcW w:w="0" w:type="dxa"/>
            <w:vAlign w:val="bottom"/>
          </w:tcPr>
          <w:p>
            <w:pPr>
              <w:spacing w:after="0"/>
              <w:rPr>
                <w:sz w:val="1"/>
                <w:szCs w:val="1"/>
                <w:color w:val="auto"/>
              </w:rPr>
            </w:pP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4,078,224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borrowings under senior credit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trade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92,326</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75,455</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100,844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306,980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1,171,036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825,563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under securitization facility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570,255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199,940</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2,480,272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2,194,104</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8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Common stock; $0.01 par value; 240,000 authorized shares; 91,484 and 90,920 issued at March 31, 2024 and</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1,310,527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1,302,484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12,735 shares and 12,751 shares at March 31, 2024 and December 31, 2023, respectively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(647,262)</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946,859</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1,597,952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1,587,884</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4,078,224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31,143</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 and expenses associated with debt refinancing</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and others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10,041</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(25,423)</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Contract liabilities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(14,503)</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15,756</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(53,965)</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borrowings of long-term indebtedness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370,500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taxes paid in net equity settlement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358,676</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(162,683)</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315,504</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(149,294)</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456,661</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591,906</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307,367</w:t>
            </w:r>
          </w:p>
        </w:tc>
      </w:tr>
      <w:tr>
        <w:trPr>
          <w:trHeight w:val="23"/>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33655</wp:posOffset>
            </wp:positionV>
            <wp:extent cx="5168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January 1, 2024</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42" w:lineRule="exact"/>
        <w:rPr>
          <w:sz w:val="20"/>
          <w:szCs w:val="20"/>
          <w:color w:val="auto"/>
        </w:rPr>
      </w:pPr>
    </w:p>
    <w:p>
      <w:pPr>
        <w:ind w:left="20" w:right="100"/>
        <w:spacing w:after="0" w:line="251" w:lineRule="auto"/>
        <w:rPr>
          <w:sz w:val="20"/>
          <w:szCs w:val="20"/>
          <w:color w:val="auto"/>
        </w:rPr>
      </w:pPr>
      <w:r>
        <w:rPr>
          <w:rFonts w:ascii="Times New Roman" w:cs="Times New Roman" w:eastAsia="Times New Roman" w:hAnsi="Times New Roman"/>
          <w:sz w:val="14"/>
          <w:szCs w:val="14"/>
          <w:color w:val="auto"/>
        </w:rPr>
        <w:t>Issuance of common stock through employee stock purchase plan</w:t>
      </w:r>
    </w:p>
    <w:p>
      <w:pPr>
        <w:spacing w:after="0" w:line="1"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7"/>
                <w:szCs w:val="7"/>
                <w:color w:val="auto"/>
              </w:rPr>
            </w:pPr>
          </w:p>
        </w:tc>
        <w:tc>
          <w:tcPr>
            <w:tcW w:w="1260" w:type="dxa"/>
            <w:vAlign w:val="bottom"/>
            <w:gridSpan w:val="2"/>
          </w:tcPr>
          <w:p>
            <w:pPr>
              <w:jc w:val="center"/>
              <w:ind w:right="220"/>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880" w:type="dxa"/>
            <w:vAlign w:val="bottom"/>
            <w:gridSpan w:val="2"/>
            <w:vMerge w:val="restart"/>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90,920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6"/>
                <w:szCs w:val="16"/>
                <w:color w:val="auto"/>
              </w:rPr>
            </w:pPr>
          </w:p>
        </w:tc>
        <w:tc>
          <w:tcPr>
            <w:tcW w:w="7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(12,751)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(647,262)</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1,302,484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(15,106)</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946,859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1,587,884</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338"/>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-764540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-499110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-156210</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080" w:space="20"/>
            <w:col w:w="8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shares repurchased</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91,484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(646,422)</w:t>
            </w:r>
          </w:p>
        </w:tc>
        <w:tc>
          <w:tcPr>
            <w:tcW w:w="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1,310,527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943,578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1,597,952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2"/>
        </w:trPr>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2"/>
                <w:szCs w:val="22"/>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70"/>
        </w:trPr>
        <w:tc>
          <w:tcPr>
            <w:tcW w:w="3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6"/>
                <w:szCs w:val="6"/>
                <w:color w:val="auto"/>
              </w:rPr>
            </w:pPr>
          </w:p>
        </w:tc>
        <w:tc>
          <w:tcPr>
            <w:tcW w:w="1260" w:type="dxa"/>
            <w:vAlign w:val="bottom"/>
            <w:gridSpan w:val="2"/>
          </w:tcPr>
          <w:p>
            <w:pPr>
              <w:jc w:val="center"/>
              <w:ind w:right="220"/>
              <w:spacing w:after="0" w:line="70"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6"/>
                <w:szCs w:val="6"/>
                <w:color w:val="auto"/>
              </w:rPr>
            </w:pPr>
          </w:p>
        </w:tc>
        <w:tc>
          <w:tcPr>
            <w:tcW w:w="780" w:type="dxa"/>
            <w:vAlign w:val="bottom"/>
            <w:gridSpan w:val="2"/>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31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00" w:type="dxa"/>
            <w:vAlign w:val="bottom"/>
          </w:tcPr>
          <w:p>
            <w:pPr>
              <w:spacing w:after="0"/>
              <w:rPr>
                <w:sz w:val="9"/>
                <w:szCs w:val="9"/>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90,476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1,276,977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879,118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1,804,403</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24,226</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135"/>
        </w:trPr>
        <w:tc>
          <w:tcPr>
            <w:tcW w:w="31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112"/>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1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for vesting of share based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0" w:type="dxa"/>
            <w:vAlign w:val="bottom"/>
          </w:tcPr>
          <w:p>
            <w:pPr>
              <w:spacing w:after="0"/>
              <w:rPr>
                <w:sz w:val="1"/>
                <w:szCs w:val="1"/>
                <w:color w:val="auto"/>
              </w:rPr>
            </w:pPr>
          </w:p>
        </w:tc>
      </w:tr>
      <w:tr>
        <w:trPr>
          <w:trHeight w:val="112"/>
        </w:trPr>
        <w:tc>
          <w:tcPr>
            <w:tcW w:w="3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net of shares withheld for taxes</w:t>
            </w:r>
          </w:p>
        </w:tc>
        <w:tc>
          <w:tcPr>
            <w:tcW w:w="7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10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shares repurchased</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(119,662)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(151,200)</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90,813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(481,678)</w:t>
            </w:r>
          </w:p>
        </w:tc>
        <w:tc>
          <w:tcPr>
            <w:tcW w:w="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1,245,297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903,344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1,674,938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March 31, 2024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2023 included in the Company’s Annual Report on Form 10-K. The December 31, 2023 consolidated balance sheet was derived from audited financial statements, but does not include all disclosures required by GAAP. Operating results for the three-month period ended March 31, 2024 are not necessarily indicative of the results to be expected for the entire year.</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and, in January 2021, subsequently amended the initial guidance in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2021-01,</w:t>
      </w:r>
      <w:r>
        <w:rPr>
          <w:rFonts w:ascii="Times New Roman" w:cs="Times New Roman" w:eastAsia="Times New Roman" w:hAnsi="Times New Roman"/>
          <w:sz w:val="18"/>
          <w:szCs w:val="18"/>
          <w:i w:val="1"/>
          <w:iCs w:val="1"/>
          <w:color w:val="auto"/>
        </w:rPr>
        <w:t xml:space="preserve"> Reference Rate Reform (Topic 848): Scope </w:t>
      </w:r>
      <w:r>
        <w:rPr>
          <w:rFonts w:ascii="Times New Roman" w:cs="Times New Roman" w:eastAsia="Times New Roman" w:hAnsi="Times New Roman"/>
          <w:sz w:val="18"/>
          <w:szCs w:val="18"/>
          <w:color w:val="auto"/>
        </w:rPr>
        <w:t>(collectively, “Topic 848”). Topic 848 provides optional expedients and exceptions for applying GAAP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December 2022, the FASB issued ASU 2022-06</w:t>
      </w:r>
      <w:r>
        <w:rPr>
          <w:rFonts w:ascii="Times New Roman" w:cs="Times New Roman" w:eastAsia="Times New Roman" w:hAnsi="Times New Roman"/>
          <w:sz w:val="18"/>
          <w:szCs w:val="18"/>
          <w:i w:val="1"/>
          <w:iCs w:val="1"/>
          <w:color w:val="auto"/>
        </w:rPr>
        <w:t>, Reference Rate Reform (Topic 848): Deferral of the Sunset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which delayed the effective date from December 31, 2022 to December 31, 2024. The Alternative Reference Rates Committee,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private-market participants convened by the U.S. Federal Reserve Board and the New York Federal Reserve, has recommended the use of the Secured Overnight Financing Rate (“SOFR”) as a more robust reference rate alternative to LIBOR. On March 24, 2023, the Company entered into the seventh amendment and restatement (the “March 2023 Amendment”) of its Senior Credit Facility (the “Senior Credit Facility”) with a syndicate of lending banks with Bank of America, N.A., as Administrative Agent. In connection with the March 2023 Amendment, the Company replaced all LIBOR-based contracts with SOFR, which is calculated based on overnight transactions under repurchase agreements backed by Treasury securities. In addition, on April 17, 2023 the Company entered into an amendment (the “April 2023 Amendment”) of the Securitization Facility (as defined below) and amended the interest rate from LIBOR to SOFR indexed rate.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In March 2023, the Company entered into a basis swap where the Company receives Term SOFR and pays LIBOR to convert the portfolio of interest rate swaps from LIBOR to SOFR. Integra has elected to adopt the optional expedient under Topic 848, which will allow the interest rate swap hedging relationship to continue, without de-designation, due to the change in the indexed rate from LIBOR to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-1452880</wp:posOffset>
            </wp:positionV>
            <wp:extent cx="3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enhances the transparency of income tax disclosures by expanding annual disclosure requirements related to the rate reconciliation and income taxes paid.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any significant effect on the Company’s financial position, results of operations or cash flows.</w:t>
      </w:r>
    </w:p>
    <w:p>
      <w:pPr>
        <w:spacing w:after="0" w:line="158" w:lineRule="exact"/>
        <w:rPr>
          <w:sz w:val="20"/>
          <w:szCs w:val="20"/>
          <w:color w:val="auto"/>
        </w:rPr>
      </w:pPr>
    </w:p>
    <w:p>
      <w:pPr>
        <w:ind w:right="7920" w:firstLine="8"/>
        <w:spacing w:after="0" w:line="383" w:lineRule="auto"/>
        <w:tabs>
          <w:tab w:leader="none" w:pos="17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DIVESTITURES </w:t>
      </w:r>
      <w:r>
        <w:rPr>
          <w:rFonts w:ascii="Times New Roman" w:cs="Times New Roman" w:eastAsia="Times New Roman" w:hAnsi="Times New Roman"/>
          <w:sz w:val="17"/>
          <w:szCs w:val="17"/>
          <w:b w:val="1"/>
          <w:bCs w:val="1"/>
          <w:i w:val="1"/>
          <w:iCs w:val="1"/>
          <w:color w:val="auto"/>
        </w:rPr>
        <w:t>Acquisition of Acclarent Inc.</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Company entered into a definitive agreement to acquire Acclarent, Inc. (“Acclarent”) from Ethicon, Inc., a subsidiary of Johnson &amp; Johnson, for $275.0 million in cash at closing, subject to customary purchase price adjustments, and an additional $5.0 million contingent upon the achievement of a regulatory milestone, which was achieved prior to closing. Acclarent is a developer and marketer of medical devices used in Ear, Nose, Throat (“ENT”) procedures. Acclarent’s results of operations will be reported in the Company’s Codman Specialty Surgical reportable segment from the date of acquisition.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1, 2024, the Company successfully completed the acquisition of 100% of Acclarent for approximately $282.0 million in cash, subject to customary adjustments set forth in the purchase agreement related to working capital balances transferred to the Company. To facilitate the completion of the acquisition of Acclarent, the Company drew from the revolving portion of the Senior Credit Facility during the three months ended March 31, 2024. For further detail on the Company’s additional borrowings,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Accounting Policies on 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due to the voluntary recall of all products manufactured at the Boston facility, including PriMatrix®, SurgiMend®, Revize™, and TissueMend™ (the “Boston recall”), the Company recorded a total of $18.7 million provision for product returns. As of March 31, 2024, the Company has credited $16.7 million to customers and holds a remaining return reserve of $2.0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 and Liability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recognized from the Company’s private label business that are not invoiced to the customers as a result of recognizing revenue over time are recorded as a contract asset included in the other current assets account in the consolidated balance sheets.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contract asset and liability balances for the three months ended March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5"/>
        </w:trPr>
        <w:tc>
          <w:tcPr>
            <w:tcW w:w="20" w:type="dxa"/>
            <w:vAlign w:val="bottom"/>
            <w:shd w:val="clear" w:color="auto" w:fill="CCEEFF"/>
          </w:tcPr>
          <w:p>
            <w:pPr>
              <w:spacing w:after="0"/>
              <w:rPr>
                <w:sz w:val="13"/>
                <w:szCs w:val="13"/>
                <w:color w:val="auto"/>
              </w:rPr>
            </w:pPr>
          </w:p>
        </w:tc>
        <w:tc>
          <w:tcPr>
            <w:tcW w:w="89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Contract Asset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asset, January 1, 2024</w:t>
            </w:r>
          </w:p>
        </w:tc>
        <w:tc>
          <w:tcPr>
            <w:tcW w:w="6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9"/>
        </w:trPr>
        <w:tc>
          <w:tcPr>
            <w:tcW w:w="20" w:type="dxa"/>
            <w:vAlign w:val="bottom"/>
            <w:shd w:val="clear" w:color="auto" w:fill="CCEEFF"/>
          </w:tcPr>
          <w:p>
            <w:pPr>
              <w:spacing w:after="0"/>
              <w:rPr>
                <w:sz w:val="19"/>
                <w:szCs w:val="19"/>
                <w:color w:val="auto"/>
              </w:rPr>
            </w:pPr>
          </w:p>
        </w:tc>
        <w:tc>
          <w:tcPr>
            <w:tcW w:w="8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Transferred to trade receivable from contract asset included in beginning of the year contract asset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3"/>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Contract asset, net of transferred to trade receivables on contracts during the period</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9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 March 31, 2024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9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Contract Liability</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January 1, 2024</w:t>
            </w:r>
          </w:p>
        </w:tc>
        <w:tc>
          <w:tcPr>
            <w:tcW w:w="6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w:t>
            </w:r>
          </w:p>
        </w:tc>
      </w:tr>
      <w:tr>
        <w:trPr>
          <w:trHeight w:val="219"/>
        </w:trPr>
        <w:tc>
          <w:tcPr>
            <w:tcW w:w="20" w:type="dxa"/>
            <w:vAlign w:val="bottom"/>
            <w:shd w:val="clear" w:color="auto" w:fill="CCEEFF"/>
          </w:tcPr>
          <w:p>
            <w:pPr>
              <w:spacing w:after="0"/>
              <w:rPr>
                <w:sz w:val="19"/>
                <w:szCs w:val="19"/>
                <w:color w:val="auto"/>
              </w:rPr>
            </w:pPr>
          </w:p>
        </w:tc>
        <w:tc>
          <w:tcPr>
            <w:tcW w:w="8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Recognition of revenue included in beginning of year contract liability</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r>
      <w:tr>
        <w:trPr>
          <w:trHeight w:val="213"/>
        </w:trPr>
        <w:tc>
          <w:tcPr>
            <w:tcW w:w="20" w:type="dxa"/>
            <w:vAlign w:val="bottom"/>
          </w:tcPr>
          <w:p>
            <w:pPr>
              <w:spacing w:after="0"/>
              <w:rPr>
                <w:sz w:val="18"/>
                <w:szCs w:val="18"/>
                <w:color w:val="auto"/>
              </w:rPr>
            </w:pPr>
          </w:p>
        </w:tc>
        <w:tc>
          <w:tcPr>
            <w:tcW w:w="89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Contract liability, net of revenue recognized on contracts during the period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r>
      <w:tr>
        <w:trPr>
          <w:trHeight w:val="216"/>
        </w:trPr>
        <w:tc>
          <w:tcPr>
            <w:tcW w:w="2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March 31, 2024</w:t>
            </w:r>
          </w:p>
        </w:tc>
        <w:tc>
          <w:tcPr>
            <w:tcW w:w="62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the short-term portion of the contract liability of $7.8 million and the long-term portion of $6.9 million are included in current liabilities and other liabilities, respectively,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is expected to recognize revenue of approximately 53% of unsatisfied (or partially unsatisfied) performance obligations as revenue within 12 months, with the remaining balance to be recognized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of revenues for the three months ended March 31, 2024 and 2023 (dollar amounts in thousands):</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5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Neurosurgery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192,870</w:t>
            </w:r>
          </w:p>
        </w:tc>
      </w:tr>
      <w:tr>
        <w:trPr>
          <w:trHeight w:val="21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55,266</w:t>
            </w:r>
          </w:p>
        </w:tc>
      </w:tr>
      <w:tr>
        <w:trPr>
          <w:trHeight w:val="212"/>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Codman Specialty Surgical</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248,136</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Wound Reconstruction and Care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100,940</w:t>
            </w:r>
          </w:p>
        </w:tc>
      </w:tr>
      <w:tr>
        <w:trPr>
          <w:trHeight w:val="21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Label</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31,770</w:t>
            </w:r>
          </w:p>
        </w:tc>
      </w:tr>
      <w:tr>
        <w:trPr>
          <w:trHeight w:val="212"/>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Tissue Technologies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132,710</w:t>
            </w: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380,846</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and Geographical Information</w:t>
      </w:r>
      <w:r>
        <w:rPr>
          <w:rFonts w:ascii="Times New Roman" w:cs="Times New Roman" w:eastAsia="Times New Roman" w:hAnsi="Times New Roman"/>
          <w:sz w:val="18"/>
          <w:szCs w:val="18"/>
          <w:color w:val="auto"/>
        </w:rPr>
        <w:t>, for details of revenues based on the location of the customer.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196,402</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74,035</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119,171</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403,422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389,608</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three-month period ended March 31, 2024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Codman Specialty</w:t>
            </w:r>
          </w:p>
        </w:tc>
        <w:tc>
          <w:tcPr>
            <w:tcW w:w="14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Tissue Technologies</w:t>
            </w:r>
          </w:p>
        </w:tc>
        <w:tc>
          <w:tcPr>
            <w:tcW w:w="360" w:type="dxa"/>
            <w:vAlign w:val="bottom"/>
          </w:tcPr>
          <w:p>
            <w:pPr>
              <w:spacing w:after="0"/>
              <w:rPr>
                <w:sz w:val="13"/>
                <w:szCs w:val="13"/>
                <w:color w:val="auto"/>
              </w:rPr>
            </w:pPr>
          </w:p>
        </w:tc>
        <w:tc>
          <w:tcPr>
            <w:tcW w:w="122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Surgical</w:t>
            </w: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388,525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(15,227)</w:t>
            </w:r>
          </w:p>
        </w:tc>
        <w:tc>
          <w:tcPr>
            <w:tcW w:w="0" w:type="dxa"/>
            <w:vAlign w:val="bottom"/>
          </w:tcPr>
          <w:p>
            <w:pPr>
              <w:spacing w:after="0"/>
              <w:rPr>
                <w:sz w:val="1"/>
                <w:szCs w:val="1"/>
                <w:color w:val="auto"/>
              </w:rPr>
            </w:pPr>
          </w:p>
        </w:tc>
      </w:tr>
      <w:tr>
        <w:trPr>
          <w:trHeight w:val="23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1,040,235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tests goodwill and intangible assets with indefinite lives for impairment annually in the third quarter in accordance with FASB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estimates the fair value of the reporting unit using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discounted cash flow model, which incorporates significant estimates and assumptions made by management which, by their nature, are characterized by uncertainty.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third-party audit findings and an update to the estimated timeframe to resume the commercial distribution of products manufactured in the Boston facility, the Company elected to perform a quantitative analysis of its Tissue Technologies reporting unit in the first quarter of 2024 in accordance with ASC 350. The quantitative test estimates the fair value of the reporting unit using a discounted cash flow model, which incorporates significant estimates and assumptions made by management with respect to future revenue and expense growth rates and discount rates which, by their nature, are characterized by uncertainty. An impairment loss is recognized when the reporting unit’s carrying amount exceeds its estimated fair value. The quantitative test utilized a terminal growth rate of 2%, a discount rate of 15%, and a range and application of the company guideline multiples. The Company determined, after performing the quantitative analysis, that the fair value of the Tissue Technologies reporting unit was not less than its carrying amount, with 20% headroom.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8"/>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 years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1,209,921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(460,545)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749,376</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32,773</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28 years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97,668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58,338</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168,678</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tcBorders>
              <w:bottom w:val="single" w:sz="8" w:color="CCEEFF"/>
            </w:tcBorders>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11 years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1,679,890</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(657,281)</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1,022,609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rPr>
              <w:t>18 years</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1,226,128</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(448,519)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777,609</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(152,160)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41,735</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28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(38,754)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60,138</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174,531</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(18,148)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11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0" w:type="dxa"/>
            <w:vAlign w:val="bottom"/>
          </w:tcPr>
          <w:p>
            <w:pPr>
              <w:spacing w:after="0"/>
              <w:rPr>
                <w:sz w:val="1"/>
                <w:szCs w:val="1"/>
                <w:color w:val="auto"/>
              </w:rPr>
            </w:pPr>
          </w:p>
        </w:tc>
      </w:tr>
      <w:tr>
        <w:trPr>
          <w:trHeight w:val="234"/>
        </w:trPr>
        <w:tc>
          <w:tcPr>
            <w:tcW w:w="4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1,729,837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(662,004)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1,067,833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amortization of intangible assets for the three months ended March 31, 2024 was $27.7 million. Of these amounts, $17.6 million was related to amortization of technology based intangibles and included in cost of goods sold. $7.1 million related to the impairment of a customer relationship intangible and the remainder were included in intangible amortization in the statement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amortization of intangible assets for the three months ended March 31, 2023 was $20.6 million. Of these amounts, $17.5 million was related to amortization of technology based intangibles and included in cost of goods sold, with the remainder included in intangible amortization in the statement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quarter-end exchange rates, amortization expense (including amounts reported in cost of goods sold) is expected to be approximately $60.1 million for the remainder of 2024, $80.2 million in 2025, $80.0 million in 2026, $79.1 million in 2027, $78.7 million in 2028, $74.9 million in 2029 and $403.5 million thereafter.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periodically performs testing for impairment on certain long-lived assets whenever events or changes in circumstances indicate that the carrying amount of an asset may not be recoverable.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Due to third-party audit findings and an update to the estimated timeframe to resume the commercial distribution of products manufactured in the Boston facility, the Company elected to perform impairment testing on certain definite-lived intangible assets including completed technology and customer relationships in accordance with FASB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For the three months ended March 31, 2024,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carrying values are $38.3 million and $27.7 million, respectively, as of March 31, 2024. We determined that the carrying amount of these definite-lived intangible assets were recoverable and, therefore, the intangible assets were not deemed to be impaired.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Seventh Amended and Restated Senior Credit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24, 2023, the Company entered into the seventh amendment and restatement (the “March 2023 Amendment”) of the Senior Credit Facility (the “Senior Credit Facility”) with a syndicate of lending banks with Bank of America, N.A., as Administrative Agent. The March 2023 Amendment extended the maturity date to March 24, 2028, amended the contractual repayments of the term loan component, and amended the interest rate from LIBOR to SOFR-indexed interest. The Company continues to have the aggregate principal amount of up to approximately $2.1 billion available to it through the following facilities: (i) a $775.0 million term loan facility, and (ii) a $1.3 billion revolving credit facility, which includes a $60 million sublimit for the issuance of standby letters of credit and a $60 million sublimit for swingline loans.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maximum consolidated total leverage ratio in the financial covenants (as defined in the Senior Credit Facility) was modified to the following:</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 Ending</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Consolidated Total</w:t>
            </w:r>
          </w:p>
        </w:tc>
        <w:tc>
          <w:tcPr>
            <w:tcW w:w="0" w:type="dxa"/>
            <w:vAlign w:val="bottom"/>
          </w:tcPr>
          <w:p>
            <w:pPr>
              <w:spacing w:after="0"/>
              <w:rPr>
                <w:sz w:val="1"/>
                <w:szCs w:val="1"/>
                <w:color w:val="auto"/>
              </w:rPr>
            </w:pPr>
          </w:p>
        </w:tc>
      </w:tr>
      <w:tr>
        <w:trPr>
          <w:trHeight w:val="195"/>
        </w:trPr>
        <w:tc>
          <w:tcPr>
            <w:tcW w:w="7160" w:type="dxa"/>
            <w:vAlign w:val="bottom"/>
            <w:gridSpan w:val="3"/>
            <w:vMerge w:val="continue"/>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14"/>
        </w:trPr>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w:t>
            </w:r>
          </w:p>
        </w:tc>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through December 31, 2024</w:t>
            </w:r>
          </w:p>
        </w:tc>
        <w:tc>
          <w:tcPr>
            <w:tcW w:w="1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 to 1.00</w:t>
            </w:r>
          </w:p>
        </w:tc>
        <w:tc>
          <w:tcPr>
            <w:tcW w:w="0" w:type="dxa"/>
            <w:vAlign w:val="bottom"/>
          </w:tcPr>
          <w:p>
            <w:pPr>
              <w:spacing w:after="0"/>
              <w:rPr>
                <w:sz w:val="1"/>
                <w:szCs w:val="1"/>
                <w:color w:val="auto"/>
              </w:rPr>
            </w:pPr>
          </w:p>
        </w:tc>
      </w:tr>
      <w:tr>
        <w:trPr>
          <w:trHeight w:val="213"/>
        </w:trPr>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 through June 30, 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 to 1.00</w:t>
            </w:r>
          </w:p>
        </w:tc>
        <w:tc>
          <w:tcPr>
            <w:tcW w:w="0" w:type="dxa"/>
            <w:vAlign w:val="bottom"/>
          </w:tcPr>
          <w:p>
            <w:pPr>
              <w:spacing w:after="0"/>
              <w:rPr>
                <w:sz w:val="1"/>
                <w:szCs w:val="1"/>
                <w:color w:val="auto"/>
              </w:rPr>
            </w:pPr>
          </w:p>
        </w:tc>
      </w:tr>
      <w:tr>
        <w:trPr>
          <w:trHeight w:val="21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2026 and the last day of each fiscal quarter thereafter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 to 1.00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 the following:</w:t>
      </w:r>
    </w:p>
    <w:p>
      <w:pPr>
        <w:spacing w:after="0" w:line="117"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in effect from time to time plus 0.10% plus the applicable rate (ranging from 1.00% to 1.75%),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Term SOFR plus 1.00%.</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amended Seventh Amended and Restated Credit Agreement (the “Credit Agreement”)), for the period of four consecutive fiscal quarters ending on such date).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March 31, 2024,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and December 31, 2023 there was $420.0 million and $70.0 million, respectively, outstanding under the revolving portion of the Senior Credit Facility. At March 31, 2024 and December 31, 2023, there was $775.0 million outstanding under the term loan component of the Senior Credit Facility at a weighted average interest rate of 6.8% and 6.8%, respectively. As of March 31, 2024 and December 31, 2023 there was $19.4 million and $14.5 million, respectively, of the term loan component of the Senior Credit Facility classified as current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outstanding borrowings of the Senior Credit Facility’s term loan component at March 31, 2024 was $765.5 million. This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Letters of credit outstanding as of March 31, 2024 and December 31, 2023 totaled $1.7 million. There were no amounts drawn under the letters of credit outstanding as of March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component of the Senior Credit Facility are due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6740" w:type="dxa"/>
            <w:vAlign w:val="bottom"/>
            <w:gridSpan w:val="3"/>
          </w:tcPr>
          <w:p>
            <w:pPr>
              <w:jc w:val="right"/>
              <w:ind w:right="4099"/>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9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3"/>
        </w:trPr>
        <w:tc>
          <w:tcPr>
            <w:tcW w:w="254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674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38,750</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53,281</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634,532</w:t>
            </w:r>
          </w:p>
        </w:tc>
      </w:tr>
      <w:tr>
        <w:trPr>
          <w:trHeight w:val="207"/>
        </w:trPr>
        <w:tc>
          <w:tcPr>
            <w:tcW w:w="254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775,000</w:t>
            </w:r>
          </w:p>
        </w:tc>
      </w:tr>
      <w:tr>
        <w:trPr>
          <w:trHeight w:val="23"/>
        </w:trPr>
        <w:tc>
          <w:tcPr>
            <w:tcW w:w="25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interest payments on the term loan component of the Senior Credit Facility based on current interest rates are expected to approximate $39.3 million for the remainder of 2024, $50.8 million in 2025, $48.1 million in 2026, $45.0 million in 2027, and $10.0 million thereafter. Interest is calculated on the term loan portion of the Senior Credit Facility based on SOFR plus the certain amounts set forth in the Credit Agreement. As the revolving credit facility and Securitization Facility (defined below) can be repaid at any time, no interest has been included in the calculation.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outstanding borrowings on the revolving credit component of the Senior Credit Facility are due on March 24, 2028.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Notes are senior, unsecured obligations of the Company, and are convertible into cash and shares of its common stock based on an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if the Company calls the notes for optional redemption as defined in the indenture; or (4) if specified corporate transactions occur. As of March 31, 2024, none of these conditions existed and the 2025 Notes are classified as long term obligations.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2020, the Company entered into the First Supplemental Indenture to the original indenture dated as of February 4, 2020 (the “Indenture”)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(as defined in the indenture) for a conversion of the 2025 Notes, the Specified Dollar Amount (as defined in the indenture) that will be settled in cash per $1,000 principal amount of the 2025 Notes shall be no lower than $1,000.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2025 Notes will have the right to require the Company to repurchase for cash all or a portion of their 2025 Notes at 100% of their principal amount, plus any accrued and unpaid interest, upon the occurrence of a fundamental change (as defined in the indenture relating to the 2025 Notes). The Company will also be required to increase the conversion rate for holders who convert their 2025 Notes in connection with certain fundamental changes occurring prior to the maturity date or following delivery by the Company of a notice of redemption.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carrying amount of the liability was $575.0 million. The fair value of the 2025 Notes at March 31, 2024 was $549.7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the Company considered when estimating the fair value of the 2025 Notes included recent quoted market prices or dealer quotes. The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valued based on Level 1 measurements in the fair value hierarchy.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March 31, 2024, the Company was in compliance with the covenants and none of the termination events had occurred.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3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and December 31, 2023, the Company had $94.6 million and $89.2 million, respectively, of outstanding borrowings under its Securitization Facility at a weighted average interest rate of 6.5% and 5.9%, respectively. The fair value of the outstanding borrowing of the Securitization Facility at March 31, 2024 was $92.7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In March 2023, the Company entered into a basis swap where the Company receives Term SOFR and pays daily compounded SOFR to convert the portfolio of swaps from daily compounded SOFR to term SOFR.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March 31, 2024 and December 31, 2023 (dollar amounts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6"/>
        </w:trPr>
        <w:tc>
          <w:tcPr>
            <w:tcW w:w="14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90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9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Fixed Interest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1440" w:type="dxa"/>
            <w:vAlign w:val="bottom"/>
            <w:gridSpan w:val="3"/>
            <w:vMerge w:val="continue"/>
          </w:tcPr>
          <w:p>
            <w:pPr>
              <w:spacing w:after="0"/>
              <w:rPr>
                <w:sz w:val="9"/>
                <w:szCs w:val="9"/>
                <w:color w:val="auto"/>
              </w:rPr>
            </w:pPr>
          </w:p>
        </w:tc>
        <w:tc>
          <w:tcPr>
            <w:tcW w:w="19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gridSpan w:val="3"/>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18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125"/>
        </w:trPr>
        <w:tc>
          <w:tcPr>
            <w:tcW w:w="1440" w:type="dxa"/>
            <w:vAlign w:val="bottom"/>
            <w:gridSpan w:val="3"/>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13, 2017</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2019</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30, 2024</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2.423 %</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1,125</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107"/>
        </w:trPr>
        <w:tc>
          <w:tcPr>
            <w:tcW w:w="14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40" w:type="dxa"/>
            <w:vAlign w:val="bottom"/>
            <w:gridSpan w:val="3"/>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13, 2017</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1,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2.313 %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4,341</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0" w:type="dxa"/>
            <w:vAlign w:val="bottom"/>
          </w:tcPr>
          <w:p>
            <w:pPr>
              <w:spacing w:after="0"/>
              <w:rPr>
                <w:sz w:val="1"/>
                <w:szCs w:val="1"/>
                <w:color w:val="auto"/>
              </w:rPr>
            </w:pPr>
          </w:p>
        </w:tc>
      </w:tr>
      <w:tr>
        <w:trPr>
          <w:trHeight w:val="107"/>
        </w:trPr>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4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4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1,556</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07"/>
        </w:trPr>
        <w:tc>
          <w:tcPr>
            <w:tcW w:w="14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40" w:type="dxa"/>
            <w:vAlign w:val="bottom"/>
            <w:gridSpan w:val="3"/>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3.199 %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1,548</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07"/>
        </w:trPr>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4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4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1,548</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107"/>
        </w:trPr>
        <w:tc>
          <w:tcPr>
            <w:tcW w:w="14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40" w:type="dxa"/>
            <w:vAlign w:val="bottom"/>
            <w:gridSpan w:val="3"/>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18, 2018</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30, 2022</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2.885 %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4,512</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0" w:type="dxa"/>
            <w:vAlign w:val="bottom"/>
          </w:tcPr>
          <w:p>
            <w:pPr>
              <w:spacing w:after="0"/>
              <w:rPr>
                <w:sz w:val="1"/>
                <w:szCs w:val="1"/>
                <w:color w:val="auto"/>
              </w:rPr>
            </w:pPr>
          </w:p>
        </w:tc>
      </w:tr>
      <w:tr>
        <w:trPr>
          <w:trHeight w:val="107"/>
        </w:trPr>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4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4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18, 2018</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30, 2022</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4,519</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07"/>
        </w:trPr>
        <w:tc>
          <w:tcPr>
            <w:tcW w:w="14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40" w:type="dxa"/>
            <w:vAlign w:val="bottom"/>
            <w:gridSpan w:val="3"/>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15, 2020</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31, 2025</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1.415 %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29,267</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22,965</w:t>
            </w:r>
          </w:p>
        </w:tc>
        <w:tc>
          <w:tcPr>
            <w:tcW w:w="0" w:type="dxa"/>
            <w:vAlign w:val="bottom"/>
          </w:tcPr>
          <w:p>
            <w:pPr>
              <w:spacing w:after="0"/>
              <w:rPr>
                <w:sz w:val="1"/>
                <w:szCs w:val="1"/>
                <w:color w:val="auto"/>
              </w:rPr>
            </w:pPr>
          </w:p>
        </w:tc>
      </w:tr>
      <w:tr>
        <w:trPr>
          <w:trHeight w:val="107"/>
        </w:trPr>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4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4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15, 2020</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2025</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6,770</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r>
        <w:trPr>
          <w:trHeight w:val="107"/>
        </w:trPr>
        <w:tc>
          <w:tcPr>
            <w:tcW w:w="14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40" w:type="dxa"/>
            <w:vAlign w:val="bottom"/>
            <w:gridSpan w:val="3"/>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Basis Swap </w:t>
            </w:r>
            <w:r>
              <w:rPr>
                <w:rFonts w:ascii="Times New Roman" w:cs="Times New Roman" w:eastAsia="Times New Roman" w:hAnsi="Times New Roman"/>
                <w:sz w:val="18"/>
                <w:szCs w:val="18"/>
                <w:color w:val="auto"/>
                <w:vertAlign w:val="superscript"/>
              </w:rPr>
              <w:t>(1)</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31, 2023</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24, 2023</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114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color w:val="auto"/>
                <w:w w:val="99"/>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 0</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1,475,000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1,475,000</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53,059</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01230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pacing w:after="0" w:line="5" w:lineRule="exact"/>
        <w:rPr>
          <w:sz w:val="20"/>
          <w:szCs w:val="20"/>
          <w:color w:val="auto"/>
        </w:rPr>
      </w:pPr>
    </w:p>
    <w:p>
      <w:pPr>
        <w:ind w:left="340" w:hanging="139"/>
        <w:spacing w:after="0"/>
        <w:tabs>
          <w:tab w:leader="none" w:pos="3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notional of the basis swap amortizes to match the total notional of the interest rate swap portfolio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-104775</wp:posOffset>
            </wp:positionV>
            <wp:extent cx="1320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-104775</wp:posOffset>
            </wp:positionV>
            <wp:extent cx="129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swaps were carried on the consolidated balance sheet at fair value and changes in the fair values were recorded as unrealized gains or losses in accumulated other comprehensive income (“AOCI”). For the three months ended March 31, 2024 and 2023, the Company recorded a gain of $14.7 million and a loss of $10.5 million, respectively, in AOCI related to the change in fair value of the interest rate swaps.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gains of $5.2 million and $3.5 million, respectively, in the consolidated statements of operations related to the interest rate differential of the interest rate swaps. The estimated gain that is expected to be reclassified to interest income from AOCI as of March 31, 2024 within the next twelve months is $13.6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2023, the Company amended the Swiss franc denominated intercompany loan to partially settle CHF 20.0 million and extend the termination date to September 2024 and as a result, the Company terminated the cross-currency swap designated as cash flow hedge of an intercompany loan with aggregate notional amount of $48.5 million. Simultaneously, the Company entered into a cross-currency swap agreement to hedge a notional amount of CHF 28.5 million equivalent to $31.5 million of this amended intercompany loan into U.S. dollars. The loss recorded by the Company upon the settlement of the swap was not material for the period.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March 31, 2024 and December 31, 2023 (dollar amounts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660" w:type="dxa"/>
            <w:vAlign w:val="bottom"/>
          </w:tcPr>
          <w:p>
            <w:pPr>
              <w:spacing w:after="0"/>
              <w:rPr>
                <w:sz w:val="11"/>
                <w:szCs w:val="11"/>
                <w:color w:val="auto"/>
              </w:rPr>
            </w:pPr>
          </w:p>
        </w:tc>
        <w:tc>
          <w:tcPr>
            <w:tcW w:w="2680" w:type="dxa"/>
            <w:vAlign w:val="bottom"/>
            <w:gridSpan w:val="4"/>
            <w:vMerge w:val="restart"/>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1780" w:type="dxa"/>
            <w:vAlign w:val="bottom"/>
            <w:gridSpan w:val="2"/>
          </w:tcPr>
          <w:p>
            <w:pPr>
              <w:jc w:val="center"/>
              <w:ind w:left="484"/>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1780" w:type="dxa"/>
            <w:vAlign w:val="bottom"/>
            <w:gridSpan w:val="2"/>
            <w:vMerge w:val="restart"/>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gridSpan w:val="2"/>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21, 2020</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22, 2025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333,887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374,817</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394,183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September 22, 2023</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29, 2024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w:t>
            </w:r>
          </w:p>
        </w:tc>
        <w:tc>
          <w:tcPr>
            <w:tcW w:w="62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(40,672)</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cross-currency swaps are carried on the consolidated balance sheet at fair value, and changes in the fair values are recorded as unrealized gains or losses in AOCI. For the three months ended March 31, 2024 the Company recorded a gain of $30.1 million in other income, net related to change in fair value related to the foreign currency rate translation to offset the losses recognized on the intercompany loans. For the three months ended March 31, 2023, the Company recorded a loss of $4.9 million in other income, net related to change in fair value related to the foreign currency rate translation to offset the losses recognized on the intercompany loans.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a gain of $29.5 million in AOCI related to change in fair value of the cross-currency swaps. For the three months ended March 31, 2023, the Company recorded a gain of $2.2 million in AOCI related to change in fair value of the cross-currency swaps.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a gain of $1.3 million in other income, net included in the consolidated statements of operations related to the interest rate differential of the cross-currency swaps. For the three months ended March 31, 2023, the Company recorded a gain of $1.5 million in other income, net included in the consolidated statements of operations related to the interest rate differential of the cross-currency swaps.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loss that is expected to be reclassified to other income (expense), net from AOCI as of March 31, 2024 within the next twelve months is $1.9 million. As of March 31, 2024, the Company does not expect any gains or losses will be reclassified into earnings because the original forecasted transactions will not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May 24, 2022, and November 17, 2023, the Company entered into cross-currency swap agreements designated as net investment hedges to partially offset the effects of foreign currency on foreign subsidiaries.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the following cross-currency rate swaps designated as net investment hedges as of March 31, 2024 and December 31, 2023, respectively (dollar amounts in thousands):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09"/>
        </w:trPr>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0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124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900" w:type="dxa"/>
            <w:vAlign w:val="bottom"/>
            <w:gridSpan w:val="5"/>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1740" w:type="dxa"/>
            <w:vAlign w:val="bottom"/>
            <w:gridSpan w:val="3"/>
          </w:tcPr>
          <w:p>
            <w:pPr>
              <w:jc w:val="center"/>
              <w:ind w:left="483"/>
              <w:spacing w:after="0" w:line="136"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900" w:type="dxa"/>
            <w:vAlign w:val="bottom"/>
            <w:gridSpan w:val="5"/>
            <w:vMerge w:val="continue"/>
          </w:tcPr>
          <w:p>
            <w:pPr>
              <w:spacing w:after="0"/>
              <w:rPr>
                <w:sz w:val="9"/>
                <w:szCs w:val="9"/>
                <w:color w:val="auto"/>
              </w:rPr>
            </w:pPr>
          </w:p>
        </w:tc>
        <w:tc>
          <w:tcPr>
            <w:tcW w:w="1740" w:type="dxa"/>
            <w:vAlign w:val="bottom"/>
            <w:gridSpan w:val="3"/>
            <w:vMerge w:val="restart"/>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gridSpan w:val="3"/>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 EUR</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October 3, 2018</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EUR</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38,820</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38,820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45,000</w:t>
            </w: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26, 2022</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16, 2028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288,210</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288,210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(48,047)</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300,000</w:t>
            </w: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November 21,</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17, 2029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66,525</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66,525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75,000</w:t>
            </w: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cross-currency swaps were carried on the consolidated balance sheet at fair value and changes in the fair values were recorded as unrealized gains or losses in AOCI. For the three months ended March 31, 2024, the Company recorded a gain of $24.9 million in AOCI related to the change in fair value of the cross-currency swaps. For the three months ended March 31, 2023, the Company recorded a gain of $1.0 million in AOCI related to change in fair value of the cross-currency swaps.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a gain of $2.2 million in interest income included in the consolidated statements of operations related to the interest rate differential of the cross-currency swaps. For the three months ended March 31, 2023, the Company recorded a gain of $2.1 million in interest income included in the consolidated statements of operations related to the interest rate differential of the cross-currency swaps.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gain that is expected to be reclassified to interest income from AOCI as of March 31, 2024 within the next twelve months is $4.1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2, 2024, the Company entered into a cross-currency swap agreement with a notional amount of CHF 68.5 million, equivalent to $75.0 million, where the Company agreed with third-parties to sell Swiss francs in exchange for U.S. dollars at a specified rate at the maturity of the contract. The new cross-currency swap agreement was designated as a net investment hedge to partially offset the effects of foreign currency on foreign subsidiaries.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a hedge for forecasted intercompany purchases denominated in foreign currencies through the use of forward contracts designated as cash flow hedges.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2024, the Company entered into foreign currency forwards to mitigate the exchange rate risk of Swiss franc denominated intercompany purchases. These contracts typically settle at various dates within twelve months of execution. As of March 31, 2024 the notional amount of foreign currency forward contracts was CHF13.3 million. For the three months ended March 31, 2024 the Company recorded a loss of $0.6 million in AOCI related to the change in fair value of the foreign currency forward contracts and a loss of $0.1 million in cost of goods sold included in the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for derivatives designated as hedging instruments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800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assets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3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09803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Liabilities: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0980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Foreign currency forward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3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Liabilities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237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5" w:lineRule="exact"/>
        <w:rPr>
          <w:sz w:val="20"/>
          <w:szCs w:val="20"/>
          <w:color w:val="auto"/>
        </w:rPr>
      </w:pPr>
    </w:p>
    <w:p>
      <w:pPr>
        <w:ind w:left="38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March 31, 2024</w:t>
      </w:r>
      <w:r>
        <w:rPr>
          <w:sz w:val="20"/>
          <w:szCs w:val="20"/>
          <w:color w:val="auto"/>
        </w:rPr>
        <w:tab/>
      </w: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237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14,188</w:t>
            </w:r>
          </w:p>
        </w:tc>
        <w:tc>
          <w:tcPr>
            <w:tcW w:w="7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14,675</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432"/>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4,084</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648"/>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40,998</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30,710</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5"/>
        </w:trPr>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2,454</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62,404</w:t>
            </w:r>
          </w:p>
        </w:tc>
        <w:tc>
          <w:tcPr>
            <w:tcW w:w="7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50,330</w:t>
            </w:r>
          </w:p>
        </w:tc>
      </w:tr>
      <w:tr>
        <w:trPr>
          <w:trHeight w:val="23"/>
        </w:trPr>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540</w:t>
            </w:r>
          </w:p>
        </w:tc>
        <w:tc>
          <w:tcPr>
            <w:tcW w:w="7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2,578</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629</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2"/>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648"/>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1,586</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10,582</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w:t>
            </w:r>
          </w:p>
        </w:tc>
      </w:tr>
      <w:tr>
        <w:trPr>
          <w:trHeight w:val="435"/>
        </w:trPr>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33,427</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51,114</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49,342</w:t>
            </w:r>
          </w:p>
        </w:tc>
        <w:tc>
          <w:tcPr>
            <w:tcW w:w="7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97,055</w:t>
            </w:r>
          </w:p>
        </w:tc>
      </w:tr>
      <w:tr>
        <w:trPr>
          <w:trHeight w:val="23"/>
        </w:trPr>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sectPr>
          <w:pgSz w:w="11900" w:h="16838" w:orient="portrait"/>
          <w:cols w:equalWidth="0" w:num="2">
            <w:col w:w="6940" w:space="720"/>
            <w:col w:w="3580"/>
          </w:cols>
          <w:pgMar w:left="320" w:top="117" w:right="339" w:bottom="1440" w:gutter="0" w:footer="0" w:header="0"/>
          <w:type w:val="continuous"/>
        </w:sect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classifies derivative assets and liabilities as current based on the cash flows expected to be incurred within the following 12 months.</w:t>
      </w:r>
    </w:p>
    <w:p>
      <w:pPr>
        <w:ind w:left="180" w:hanging="172"/>
        <w:spacing w:after="0" w:line="191"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March 31, 2024 and December 31, 2023, the total notional amounts related to the Company’s interest rate swaps were $1.5 billion.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and net investment hedges on the accompanying condensed consolidated statement of operations during the three months ended March 31,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0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in AOCI</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56"/>
        </w:trPr>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4"/>
                <w:szCs w:val="4"/>
                <w:color w:val="auto"/>
              </w:rPr>
            </w:pPr>
          </w:p>
        </w:tc>
        <w:tc>
          <w:tcPr>
            <w:tcW w:w="14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08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1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09"/>
        </w:trPr>
        <w:tc>
          <w:tcPr>
            <w:tcW w:w="3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14,723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29,532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(17,704)</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0" w:type="dxa"/>
            <w:vAlign w:val="bottom"/>
          </w:tcPr>
          <w:p>
            <w:pPr>
              <w:spacing w:after="0"/>
              <w:rPr>
                <w:sz w:val="1"/>
                <w:szCs w:val="1"/>
                <w:color w:val="auto"/>
              </w:rPr>
            </w:pPr>
          </w:p>
        </w:tc>
      </w:tr>
      <w:tr>
        <w:trPr>
          <w:trHeight w:val="175"/>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24,920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68,546</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38,784</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42,678</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(14,576)</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19,973</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Hedges: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foreign currency swap, with a notional amount of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$5.5 million as of March 31,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foreign currency swaps not designated as hedges was $1.5 million and $1.2 million as of March 31, 2024 and December 31, 2023, respectively. The following table summarizes the gains (losses) on derivative instruments not designated as hedges on the condensed consolidated statements of income, which was included in other income:</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6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6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stock options, restricted stock awards, performance stock awards, contract stock awards and restricted stock unit awards outstanding under the Integra LifeSciences Holdings Corporation Fifth Amended and Restated 2003 Equity Incentive Plan (the “2003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there were approximately $4.9 million of total unrecognized compensation costs related to unvested stock options. These costs are expected to be recognized over a weighted-average period of approximately three years. There were 243,964 stock options granted during the three months ended March 31, 2024. For the three months ended March 31, 2024, the weighted average grant date fair value for stock options granted was $15.68 per option.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and Performance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March 31, 2024, there was approximately $48.6 million of total unrecognized compensation costs related to these unvested awards. The Company expects to recognize these costs over a weighted-average period of approximately two years. The Company granted 532,379 restricted stock awards and 263,350 performance stock awards during the three months ended March 31, 2024. For the three months ended March 31, 2024, the weighted average grant date fair value for restricted stock awards and performance stock units granted was $36.46 and $36.22 per award, respectively.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Separation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27th, 2024, the Company announced that Mr. De Witte would retire from his position as President and Chief Executive Officer and director of the Company following the completion of a succession process and entered into a letter agreement with Mr. De Witte to modify his current employment agreement and put forth the form of a post-employment consulting agreement. The Company applied modification accounting to the outstanding equity-based awards granted to Mr. De Witte as of that date, which revalued and accelerated stock-based compensation associated with equity-based awards granted to him over his expected service period to the Company. Pursuant to this letter agreement, Mr. De Witte’s unvested equity-based awards will continue to vest during his continued service period to the Company and vested stock options were modified such that they will remain exercisable until the lesser of (a) the stated term of the stock options and (b) six months following his cessation of continued service to the Company. As a result of the modifications, the Company recorded incremental stock-based compensation expense of $0.2 million during the three months ended March 31, 2024. The Company will record a total of $1.9 million in accelerated stock-based compensation expenses for the twelve months ended 2024 that would not have been recognized if Mr. De Witte had not announced his retirement from Integra.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months ended March 31, 2024 were $0.4 million. The components of the net periodic benefit costs other than the service cost component of $0.8 million for the three months ended March 31, 2024 are included in other income, net in the consolidated statements of operations.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months ended March 31, 2023 were $0.3 million. The components of the net periodic benefit costs other than the service cost component of $0.5 million for the three months ended March 31, 2023 are included in other income,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plan assets were $40.4 million and $45.7 million as of March 31, 2024 and December 31, 2023, respectively. The net plan assets of the pension plans are invested in common trusts as of March 31, 2024 and December 31, 2023.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$5.7 million and $6.1 million as of March 31, 2024 and December 31, 2023, respectively. Offsetting liabilities relating to the deferred compensation plan are included in other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AND RELATED PARTY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vehicles through operating lease agreements. The Company has no finance leases as of March 31, 2024.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lease expense for the three months ended March 31, 2024 and March 31, 2023 was $6.3 million and $6.0 million, respectively, which includes $0.3 million, in related party operating lease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lease term and discount rate</w:t>
            </w:r>
          </w:p>
        </w:tc>
        <w:tc>
          <w:tcPr>
            <w:tcW w:w="380" w:type="dxa"/>
            <w:vAlign w:val="bottom"/>
          </w:tcPr>
          <w:p>
            <w:pPr>
              <w:spacing w:after="0"/>
              <w:rPr>
                <w:sz w:val="16"/>
                <w:szCs w:val="16"/>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94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156,184</w:t>
            </w:r>
          </w:p>
        </w:tc>
      </w:tr>
      <w:tr>
        <w:trPr>
          <w:trHeight w:val="270"/>
        </w:trPr>
        <w:tc>
          <w:tcPr>
            <w:tcW w:w="6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15,284</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170,082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166,849</w:t>
            </w: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186,385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182,133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8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 years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 years</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years</w:t>
            </w:r>
          </w:p>
        </w:tc>
      </w:tr>
      <w:tr>
        <w:trPr>
          <w:trHeight w:val="270"/>
        </w:trPr>
        <w:tc>
          <w:tcPr>
            <w:tcW w:w="6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March 31, 2024 and 2023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4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54"/>
        </w:trPr>
        <w:tc>
          <w:tcPr>
            <w:tcW w:w="7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lease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March 31,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23,155</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20,506</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16,899</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16,017</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163,479</w:t>
            </w: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275,698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277,350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90,965</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186,385</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16,303</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170,082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future minimum lease payments under finance leases at March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its manufacturing facility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there were 12.7 million and 12.8 million shares of treasury stock outstanding with a cost of $646.4 million and $647.3 million, at a weighted average cost per share of $50.76 and $50.76,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2023, the Company entered into a $125 million accelerated share repurchase (“August 2023 ASR”) and received 2.3 million shares of common stock at inception of the August 2023 ASR, which represented approximately 80% of the expected total shares under the August 2023 ASR. On October 18, 2023 the early exercise provision was exercised by the August 2023 ASR counterparty. The Company received an additional 0.9 million shares determined using the volume-weighted average price of the Company’s common stock during the term of the August 2023 ASR.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2023, the Company entered into a $150 million accelerated share repurchase (“January 2023 ASR”) and received 2.1 million shares of common stock at inception of the January 2023 ASR, which represented approximately 80% of the expected total shares under the January 2023 ASR. The settlement of the January 2023 ASR agreement was completed in the second quarter of 2023, where the Company received 0.6 million shares, determined using the volume-weighted average price of the Company’s common stock during the term of the January 2023 ASR.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“Inflation Act”) was signed into law. The Inflation Act implements a new excise tax of 1% on the net share repurchases made by the Company effective for share repurchases performed January 1, 2023, or after.</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2023, the Board of Directors authorized a new $225 million share repurchase program, replacing the existing $225 million program authorized in April 2022, under which $75 million remained authorized at the time of its replacement. As of March 31, 2024, $100 million remained authorized. The program authorized in July 2023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2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2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tax rate</w:t>
            </w:r>
          </w:p>
        </w:tc>
        <w:tc>
          <w:tcPr>
            <w:tcW w:w="1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2024 and 2023 were 37.3% and 18.6%, respectively. For the three months ended March 31, 2024, the higher tax rate is attributable to a $1.5 million shortfall from stock based compensation, offset by a tax benefit for the intangible asset impairment, as compared to previous year. The Company does not have tax basis in the impaired intangible asset and has treated the tax impact as a discrete event in this quarter.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to income tax laws and regulations, in any of the tax jurisdictions in which the Company operates, could impact the effective tax rate. Various governments, both U.S. and non-U.S., are increasingly focused on tax reform and revenue-raising legislation. On August 16, 2022, the Inflation Act was signed into law. The Company did not experience a material impact on the Company’s effective tax rate under the Inflation Act. Further, legislation in foreign jurisdictions may be enacted, in continued response to the base erosion and profit-sharing (“BEPS”) project begun by the Organization for Economic Cooperation and Development (“OECD”).</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Several of the jurisdictions that the Company operates in have already adopted some form of the model rules, which could impact the amount of taxes that the Company pays after 2023. However, the rules are complex and provide for delays for implementing the tax during the early transition years, if certain conditions are met. At this time, the Company is projecting an immaterial amount related to Pillar 2 tax liability for the 2024 year. Such changes in U.S. and Non-U.S. jurisdictions could have an adverse effect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00" w:type="dxa"/>
            <w:vAlign w:val="bottom"/>
            <w:tcBorders>
              <w:bottom w:val="single" w:sz="8" w:color="CCEEFF"/>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Basic net (loss) income per share:</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(loss) income per common share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net (loss) income per share:</w:t>
            </w:r>
          </w:p>
        </w:tc>
        <w:tc>
          <w:tcPr>
            <w:tcW w:w="5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24,226</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Stock options and restricted stock</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for diluted earnings per share</w:t>
            </w: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income per common share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of approximately 1.3 million and 0.3 million shares at March 31, 2024, and 2023, respectively, were not included in the computation of diluted net (loss) income per share because their effect would have been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for the three months ended March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24,226</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loss/(gain) on derivatives, net of tax</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Pension liability adjustment, net of tax</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by component between December 31, 2023 and March 31, 2024 are presented in the table below, net of tax: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3"/>
                <w:szCs w:val="13"/>
                <w:color w:val="auto"/>
              </w:rPr>
            </w:pPr>
          </w:p>
        </w:tc>
        <w:tc>
          <w:tcPr>
            <w:tcW w:w="9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6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37,359</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Amounts reclassified from accumulated other comprehensive income,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32,899</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current-period other comprehensive gain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reclassified a gain of $27.2 million and $5.7 million from accumulated other comprehensive income to other income, net and interest income,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internally manages two global reportable segments and reports the results of its businesses to its chief operating decision maker.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reportable segments and their activities are described below.</w:t>
      </w:r>
    </w:p>
    <w:p>
      <w:pPr>
        <w:spacing w:after="0" w:line="99"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31" w:lineRule="exact"/>
        <w:rPr>
          <w:rFonts w:ascii="Times New Roman" w:cs="Times New Roman" w:eastAsia="Times New Roman" w:hAnsi="Times New Roman"/>
          <w:sz w:val="18"/>
          <w:szCs w:val="18"/>
          <w:color w:val="auto"/>
        </w:rPr>
      </w:pPr>
    </w:p>
    <w:p>
      <w:pPr>
        <w:ind w:left="660" w:hanging="328"/>
        <w:spacing w:after="0" w:line="25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Tissue Technologies segment includes such offerings as skin and wound repair, plastics &amp; surgical reconstruction products, bone grafts, and nerve and tendon repair products.</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executive, finance, human resource, information systems and legal functions, (ii) brand management, and (iii) share-based compensation costs.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months ended March 31, 2024 and 2023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256,434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248,136</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132,710</w:t>
            </w:r>
          </w:p>
        </w:tc>
        <w:tc>
          <w:tcPr>
            <w:tcW w:w="0" w:type="dxa"/>
            <w:vAlign w:val="bottom"/>
          </w:tcPr>
          <w:p>
            <w:pPr>
              <w:spacing w:after="0"/>
              <w:rPr>
                <w:sz w:val="1"/>
                <w:szCs w:val="1"/>
                <w:color w:val="auto"/>
              </w:rPr>
            </w:pPr>
          </w:p>
        </w:tc>
      </w:tr>
      <w:tr>
        <w:trPr>
          <w:trHeight w:val="207"/>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368,872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380,846</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Profit</w:t>
            </w: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110,933</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52,281</w:t>
            </w:r>
          </w:p>
        </w:tc>
        <w:tc>
          <w:tcPr>
            <w:tcW w:w="0" w:type="dxa"/>
            <w:vAlign w:val="bottom"/>
          </w:tcPr>
          <w:p>
            <w:pPr>
              <w:spacing w:after="0"/>
              <w:rPr>
                <w:sz w:val="1"/>
                <w:szCs w:val="1"/>
                <w:color w:val="auto"/>
              </w:rPr>
            </w:pPr>
          </w:p>
        </w:tc>
      </w:tr>
      <w:tr>
        <w:trPr>
          <w:trHeight w:val="207"/>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Segment profit</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134,158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163,214</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(120,087)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(123,724)</w:t>
            </w:r>
          </w:p>
        </w:tc>
        <w:tc>
          <w:tcPr>
            <w:tcW w:w="0" w:type="dxa"/>
            <w:vAlign w:val="bottom"/>
          </w:tcPr>
          <w:p>
            <w:pPr>
              <w:spacing w:after="0"/>
              <w:rPr>
                <w:sz w:val="1"/>
                <w:szCs w:val="1"/>
                <w:color w:val="auto"/>
              </w:rPr>
            </w:pPr>
          </w:p>
        </w:tc>
      </w:tr>
      <w:tr>
        <w:trPr>
          <w:trHeight w:val="23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4"/>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256,229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271,002</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41,596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41,064</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49,545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50,473</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21,502</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18,307</w:t>
            </w:r>
          </w:p>
        </w:tc>
        <w:tc>
          <w:tcPr>
            <w:tcW w:w="0" w:type="dxa"/>
            <w:vAlign w:val="bottom"/>
          </w:tcPr>
          <w:p>
            <w:pPr>
              <w:spacing w:after="0"/>
              <w:rPr>
                <w:sz w:val="1"/>
                <w:szCs w:val="1"/>
                <w:color w:val="auto"/>
              </w:rPr>
            </w:pP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368,872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380,846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2023, Fortis Advisors, LLC (representative of the security holders of ACell, Inc. (“ACell”)) filed for arbitration against Integra Life Sciences claiming breach of contract related to the earnout consideration from the 2021 acquisition of ACell. Refer below for additional information on the ACell contingent considerations. The Company believes that it has strong defenses to the allegations in the arbitration and intends to defend the matter vigorously.</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September 12, 2023, a securities class action complaint, captioned </w:t>
      </w:r>
      <w:r>
        <w:rPr>
          <w:rFonts w:ascii="Times New Roman" w:cs="Times New Roman" w:eastAsia="Times New Roman" w:hAnsi="Times New Roman"/>
          <w:sz w:val="18"/>
          <w:szCs w:val="18"/>
          <w:i w:val="1"/>
          <w:iCs w:val="1"/>
          <w:color w:val="auto"/>
        </w:rPr>
        <w:t>Pembroke Pines Firefighters &amp; Police Officers Pension Fund v. Integra LifeSciences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Corporation</w:t>
      </w:r>
      <w:r>
        <w:rPr>
          <w:rFonts w:ascii="Times New Roman" w:cs="Times New Roman" w:eastAsia="Times New Roman" w:hAnsi="Times New Roman"/>
          <w:sz w:val="18"/>
          <w:szCs w:val="18"/>
          <w:color w:val="auto"/>
        </w:rPr>
        <w:t>, No. 23-cv-20321 (D.N.J.), was filed by a purported stockholder of the Company in the United States District Court for the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U.S. Food and Drug Administration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defend the matter vigorously.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contingent consideration during the three month period ended March 31, 2024 and March 31, 2023 to reflect the change in estimate, additions, payments, transfers and the time value of money during the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opening balances to the closing balances of these Level 3 measurements for the three months ended March 31, 2024 and March 31, 2023 is as follows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20" w:type="dxa"/>
            <w:vAlign w:val="bottom"/>
            <w:gridSpan w:val="21"/>
          </w:tcPr>
          <w:p>
            <w:pPr>
              <w:ind w:left="58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Derma</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Innovations</w:t>
            </w:r>
          </w:p>
        </w:tc>
        <w:tc>
          <w:tcPr>
            <w:tcW w:w="164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Location in Financial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Arkis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ACell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Sciences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Associates</w:t>
            </w:r>
          </w:p>
        </w:tc>
        <w:tc>
          <w:tcPr>
            <w:tcW w:w="1640" w:type="dxa"/>
            <w:vAlign w:val="bottom"/>
            <w:vMerge w:val="restart"/>
          </w:tcPr>
          <w:p>
            <w:pPr>
              <w:ind w:left="440"/>
              <w:spacing w:after="0" w:line="162" w:lineRule="exact"/>
              <w:rPr>
                <w:sz w:val="20"/>
                <w:szCs w:val="20"/>
                <w:color w:val="auto"/>
              </w:rPr>
            </w:pPr>
            <w:r>
              <w:rPr>
                <w:rFonts w:ascii="Times New Roman" w:cs="Times New Roman" w:eastAsia="Times New Roman" w:hAnsi="Times New Roman"/>
                <w:sz w:val="16"/>
                <w:szCs w:val="16"/>
                <w:b w:val="1"/>
                <w:bCs w:val="1"/>
                <w:color w:val="auto"/>
              </w:rPr>
              <w:t>Statements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(SIA), Inc.</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35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5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5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19"/>
                <w:szCs w:val="19"/>
                <w:color w:val="auto"/>
              </w:rPr>
            </w:pPr>
          </w:p>
        </w:tc>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15,672</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5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Accrued expenses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20" w:type="dxa"/>
            <w:vAlign w:val="bottom"/>
            <w:gridSpan w:val="3"/>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60" w:type="dxa"/>
            <w:vAlign w:val="bottom"/>
            <w:gridSpan w:val="3"/>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8,110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520" w:type="dxa"/>
            <w:vAlign w:val="bottom"/>
            <w:tcBorders>
              <w:bottom w:val="single" w:sz="8" w:color="CCEEFF"/>
            </w:tcBorders>
            <w:gridSpan w:val="3"/>
            <w:shd w:val="clear" w:color="auto" w:fill="CCEEFF"/>
          </w:tcPr>
          <w:p>
            <w:pPr>
              <w:ind w:left="3180"/>
              <w:spacing w:after="0"/>
              <w:rPr>
                <w:sz w:val="20"/>
                <w:szCs w:val="20"/>
                <w:color w:val="auto"/>
              </w:rPr>
            </w:pPr>
            <w:r>
              <w:rPr>
                <w:rFonts w:ascii="Times New Roman" w:cs="Times New Roman" w:eastAsia="Times New Roman" w:hAnsi="Times New Roman"/>
                <w:sz w:val="16"/>
                <w:szCs w:val="16"/>
                <w:color w:val="auto"/>
                <w:w w:val="94"/>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15,672</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21"/>
          </w:tcPr>
          <w:p>
            <w:pPr>
              <w:ind w:left="56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restart"/>
          </w:tcPr>
          <w:p>
            <w:pPr>
              <w:jc w:val="right"/>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Derma</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Innovations</w:t>
            </w:r>
          </w:p>
        </w:tc>
        <w:tc>
          <w:tcPr>
            <w:tcW w:w="1640" w:type="dxa"/>
            <w:vAlign w:val="bottom"/>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Location in Financial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Arkis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right"/>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ACell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4"/>
            <w:vMerge w:val="restart"/>
          </w:tcPr>
          <w:p>
            <w:pPr>
              <w:jc w:val="right"/>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Sciences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32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Associates (SIA),</w:t>
            </w:r>
          </w:p>
        </w:tc>
        <w:tc>
          <w:tcPr>
            <w:tcW w:w="1640" w:type="dxa"/>
            <w:vAlign w:val="bottom"/>
            <w:vMerge w:val="restart"/>
          </w:tcPr>
          <w:p>
            <w:pPr>
              <w:ind w:left="480"/>
              <w:spacing w:after="0" w:line="162" w:lineRule="exact"/>
              <w:rPr>
                <w:sz w:val="20"/>
                <w:szCs w:val="20"/>
                <w:color w:val="auto"/>
              </w:rPr>
            </w:pPr>
            <w:r>
              <w:rPr>
                <w:rFonts w:ascii="Times New Roman" w:cs="Times New Roman" w:eastAsia="Times New Roman" w:hAnsi="Times New Roman"/>
                <w:sz w:val="16"/>
                <w:szCs w:val="16"/>
                <w:b w:val="1"/>
                <w:bCs w:val="1"/>
                <w:color w:val="auto"/>
              </w:rPr>
              <w:t>Statements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0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57,607</w:t>
            </w:r>
          </w:p>
        </w:tc>
        <w:tc>
          <w:tcPr>
            <w:tcW w:w="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3,600</w:t>
            </w:r>
          </w:p>
        </w:tc>
        <w:tc>
          <w:tcPr>
            <w:tcW w:w="20" w:type="dxa"/>
            <w:vAlign w:val="bottom"/>
          </w:tcPr>
          <w:p>
            <w:pPr>
              <w:spacing w:after="0"/>
              <w:rPr>
                <w:sz w:val="14"/>
                <w:szCs w:val="14"/>
                <w:color w:val="auto"/>
              </w:rPr>
            </w:pPr>
          </w:p>
        </w:tc>
        <w:tc>
          <w:tcPr>
            <w:tcW w:w="16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61,207</w:t>
            </w: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12,500</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Accrued expenses and</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gridSpan w:val="4"/>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48,707</w:t>
            </w: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0" w:type="dxa"/>
            <w:vAlign w:val="bottom"/>
            <w:shd w:val="clear" w:color="auto" w:fill="CCEEFF"/>
          </w:tcPr>
          <w:p>
            <w:pPr>
              <w:spacing w:after="0"/>
              <w:rPr>
                <w:sz w:val="20"/>
                <w:szCs w:val="20"/>
                <w:color w:val="auto"/>
              </w:rPr>
            </w:pPr>
          </w:p>
        </w:tc>
        <w:tc>
          <w:tcPr>
            <w:tcW w:w="3520" w:type="dxa"/>
            <w:vAlign w:val="bottom"/>
            <w:gridSpan w:val="3"/>
            <w:shd w:val="clear" w:color="auto" w:fill="CCEEFF"/>
          </w:tcPr>
          <w:p>
            <w:pPr>
              <w:ind w:left="30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61,207</w:t>
            </w: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Arkis BioSciences Inc.</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Derma Sciences,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ACell,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of ACell, the Company is required to make payments to the former shareholders of ACell up to $100 million in total for years 2022, 2023, and 2025 based on the achievement by the Company of certain revenue-based performance milestones. The 2022 and 2023 milestones were not achieved, leaving only one contingent milestone remaining.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Innovations Associates, Inc.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PMA for DuraSorb for certain uses by certain timing targets (up to $40.0 million in additional payments).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2023.</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business strategy and plans, growth and growth strategies, developments in the markets for our products and services, financial results, development launches and effectiveness, research and development strategy, regulatory approvals, competitive strengths, the potential or anticipated direct or indirect impact of the Coronavirus pandemic on our business, results of operations, and/or financial condition, objectives of management for future operations and current expectations or forecasts of future results, our expectations regarding the Boston facility; restructuring and cost-saving initiatives, intellectual property rights, litigation and tax matters, governmental proceedings and investigations, mergers and acquisitions, divestitures, market acceptance of our products and services, accounting estimates, financing activities, ongoing contractual obligations, working capital adequacy, value of our investments, our effective tax rate, our expected returns to shareholders, and sales efforts, are forward-looking statements. In some cases, these forward-looking statements may be identified by forward-looking words such as “believe,” “may,” “might,” “could,” “will,” “estimate,” “continue,” “anticipate,” “intend,” “seek,” “plan,” “expect,” “should,” “would” or the negative version of these words or other similar words and expressions in this Quarterly Report.</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2023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the ongoing and possible future effects of global challenges, including macroeconomic uncertainties, inflation, supply chain disruptions, trade regulation and tariffs, other 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global macroeconomic and political conditions, including the war in Ukraine and the conflict in Israel and Gaza;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fluctuations in hospitals’ spending for capital equipment; the Company’s ability to comply with regulations regarding products of human origin and products containing materials derived from animal source; difficulties in controlling expenses, including costs to procure and manufacture our products;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non-product costs; the Company’s ability to achieve anticipated growth rates, margins and scale and execute its strategy generally;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Devices Regulation; the scope, duration and effect of additional U.S. and international governmental, regulatory, fiscal, monetary and public health responses to public health crises; fluctuations in foreign currency exchange rates; the amount of our bank borrowings outstanding and other factors influencing liquidity; potential negative impacts resulting from environmental, social and governance matters; and the potential impact of our compliance with governmental regulations and accounting guidance.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leading global medical technology company innovating treatment pathways in surgical, neurologic and regenerative care to advance patient outcomes and set new standards of surgical, neurologic and regenerative care. Founded in 1989 with the acquisition of an engineered collagen technology platform used to repair and regenerate tissue, our common stock trades on the Nasdaq Global Select Market (“Nasdaq”) under the symbol “IART.” We have developed numerous product lines from this technology for applications ranging from burn and deep tissue wounds to the repair of dura mater in the brain, as well as nerves and tendons. We have expanded our base regenerative technology business to include surgical instruments, neurosurgical products and advanced wound care through global acquisitions and product development to meet the evolving needs of our customers and enhance patient care.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Maryland, Massachusetts, New Jersey, Ohio, Puerto Rico, Tennessee, Utah, France, Germany, Ireland and Switzerland. We source most of our handheld surgical instruments and dural sealant products through specialized third-party vendors.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strategies are focused around five pillars. Of these five pillars, we have identified three core growth drivers: (1) innovating for outcomes, (2) growing internationally, and (3) broadening our impact on care pathways. Our execution of the core growth drivers is enabled by two key levers: (4) driving operational and customer excellence and (5) cultivating a high-performance culture. As outlined in greater detail below, we believe these five pillars will enable us to realize and advance our integrated growth strategy.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our executive leadership team has established the following key priorities aligned to the following five pillars: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Innovating for Outcomes. </w:t>
      </w:r>
      <w:r>
        <w:rPr>
          <w:rFonts w:ascii="Times New Roman" w:cs="Times New Roman" w:eastAsia="Times New Roman" w:hAnsi="Times New Roman"/>
          <w:sz w:val="18"/>
          <w:szCs w:val="18"/>
          <w:color w:val="auto"/>
        </w:rPr>
        <w:t>An important part of Integra’s growth strategy is introducing new products to strengthen and expand our portfolio, including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For example, On April 1, 2024, the Company successfully completed the acquisition of Acclarent from Ethicon, Inc., a subsidiary of Johnson</w:t>
      </w:r>
    </w:p>
    <w:p>
      <w:pPr>
        <w:jc w:val="both"/>
        <w:ind w:firstLine="8"/>
        <w:spacing w:after="0" w:line="251" w:lineRule="auto"/>
        <w:tabs>
          <w:tab w:leader="none" w:pos="1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Acclarent is an innovator and market leader in ear, nose and throat (“ENT”) procedures and we believe that the acquisition of Acclarent will provide Integra with the opportunity to become a leading provider of ENT products and technologies. Furthermore, we believe that, owing to the ENT segment being an anatomical adjacency to neurosurgery, the acquisition will allow Integra to deliver future innovation both within the ENT segment and across our other CSS technology platforms. Additionally, we seek clinical evidence to support regulatory approval and strong reimbursement of our product portfolio around the world, including new indications for existing technologies. For example, in 2021, we filed a pre-market approval (“PMA”) application for a specific indication for Surgimend® in the use of post-mastectomy breast reconstruction. In 2022, we acquired SIA, which is also pursuing a PMA for DuraSorb for use in implant-based breast reconstruction (“IBBR”), and in June 2023 we completed enrollment in the DuraSorb U.S. investigational device exemption clinical study for two-stage breast reconstruction; the primary follow-up period is one year after device implantation. We hope to have approval for DuraSorb in 2025. For SurgiMend, we are not currently able to predict an approval date because of the delays in remediating our Boston manufacturing site. We also continued to advance the development of pioneering neurosurgical technologies with the expansion of our product offerings. In 2023 we launched the CUSA® Clarity Tips for use in surgical procedures requiring the controlled fragmentation, emulsification and aspiration of bone as well as in laparoscopic liver surgery.</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Growing Internationally: </w:t>
      </w:r>
      <w:r>
        <w:rPr>
          <w:rFonts w:ascii="Times New Roman" w:cs="Times New Roman" w:eastAsia="Times New Roman" w:hAnsi="Times New Roman"/>
          <w:sz w:val="18"/>
          <w:szCs w:val="18"/>
          <w:color w:val="auto"/>
        </w:rPr>
        <w:t>Over the years, we have been significantly expanding our global footprint through investments in our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organizations, the expansion and development of international markets and new product introductions. As part of our In-China-For-China strategy, we continue the build out of our assembly capabilities in our new facility in Suzhou, China. Several new products were introduced in select international markets in 2023, including MicroMatrix® and Certas Plus® Programmable Valve which were launched in Europe, and CUSA Clarity Laparoscopic tip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was launched in Australia, New Zealand, Japan, Canada, South Africa and Israel. In addition, DuraGen Secure, received approval in Japan, while DuraGen Plus, an absorbable and sutureless collagen onlay indicated as a dura substitute for the repair of dura mater, was approved in China.</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Broadening Impact on Care Pathways. </w:t>
      </w:r>
      <w:r>
        <w:rPr>
          <w:rFonts w:ascii="Times New Roman" w:cs="Times New Roman" w:eastAsia="Times New Roman" w:hAnsi="Times New Roman"/>
          <w:sz w:val="18"/>
          <w:szCs w:val="18"/>
          <w:color w:val="auto"/>
        </w:rPr>
        <w:t>We seek ways to develop products and technologies that impact the lives of patients, starting with the journey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takes from diagnosis and treatment planning to surgery and postoperative care. We are well-established in acute care in the hospital setting and continue to leverage that strong position to grow in this segment and shape treatment pathways into preoperative care and additional sites of care.</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Driving Operations and Customer Excellence. </w:t>
      </w:r>
      <w:r>
        <w:rPr>
          <w:rFonts w:ascii="Times New Roman" w:cs="Times New Roman" w:eastAsia="Times New Roman" w:hAnsi="Times New Roman"/>
          <w:sz w:val="18"/>
          <w:szCs w:val="18"/>
          <w:color w:val="auto"/>
        </w:rPr>
        <w:t>We have been making investments to build more responsive and scalable processes, enhance the reliability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supply chain, and drive productivity initiatives to further supply and lower costs. Additionally, we continue to invest in technologies, systems and processes to enhance the customer experience. We continue to invest in our capacity expansion. This includes ongoing projects of transferring our Boston manufacturing to a new location in Braintree, Massachusetts, validating manufacturing processes in our manufacturing facility in Plainsboro, New Jersey and increasing cleanroom capacity in our Memphis, Tennessee location.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Cultivating a High-Performance Culture. </w:t>
      </w:r>
      <w:r>
        <w:rPr>
          <w:rFonts w:ascii="Times New Roman" w:cs="Times New Roman" w:eastAsia="Times New Roman" w:hAnsi="Times New Roman"/>
          <w:sz w:val="18"/>
          <w:szCs w:val="18"/>
          <w:color w:val="auto"/>
        </w:rPr>
        <w:t>In seeking to sustain a culture of excellence and accountability, we have focused on employee empowerment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agility and building a diverse and inclusive workplace. These efforts resulted in our being named in several best workplace lists globally in 2023. Additionally, we have been making further strides in advancing our environmental, social and governance (“ESG”) agenda to drive sustainability across the organization and recently published our second annual ESG report in the third quarter of 2023. For more information on our ESG strategy, goals, performance, and achievements, please visit “Our Company—ESG Report” at https://www.integralife.com/esg-report. Information on our website is not incorporated by reference herein and is not part of this Quarterly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Introductions and Research and Development Updates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invest in collecting clinical evidence to support our existing products and new product launches, and to ensure that we obtain market access for broader and more cost-effective solutions.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Electromechanical Technologies and Instrumentation. </w:t>
      </w:r>
      <w:r>
        <w:rPr>
          <w:rFonts w:ascii="Times New Roman" w:cs="Times New Roman" w:eastAsia="Times New Roman" w:hAnsi="Times New Roman"/>
          <w:sz w:val="18"/>
          <w:szCs w:val="18"/>
          <w:color w:val="auto"/>
        </w:rPr>
        <w:t>The CSS business consists of a broad portfolio of market-leading brands, such as Codman®,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DuraGen®, DuraSeal®, CUSA®,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 Our lighting franchise is among the most dynamic in the industry.</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the development of core clinical applications in our electromechanical technologies portfolio. We continue to update our CUSA Clarity platform by incorporating new ultrasonic handpiece and integrated electrosurgical capabilities. We have made several enhancements to our CUSA Clarity Tissue Ablation System. The extended laparoscopic tip was launched in the U.S. to enhance laparoscopic liver procedures. In addition, a single-sided bone tip received 510(k) clearance from the FDA. Commercial launch was completed successfully in early 2023. In August 2023, we launched a modified 23 kHz CUSA Electrosurgery Module (“CEM”) for Clarity handpieces that can be used with additional electrosurgery generators. We continue to work with several instrument partners to bring new surgical instrument platforms to the market.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continued to advance the early-stage technology platforms we acquired in 2019. Through the acquisition of Arkis Biosciences, Inc. (“Arkis”) we added a platform technology, CerebroFlo® external ventricular drainage (“EVD”), a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project.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continued to advance our innovation from the Rebound Therapeutics Corporation (“Rebound Therapeutics”), which was acquired in 2019. Rebound Therapeutics specializes in a single-use medical device, known as the Aurora Surgiscope, which is the only tubular retractor system designed for cranial surgery with an integrated access channel, camera and lighting. The 9mm Surgiscope received 510(k) clearance from the FDA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18, 2022, the Company, after consultation with the FDA and other regulatory authorities outside of the United States, initiated an immediate voluntary global product removal of all CereLink® intracranial pressure monitors. Shipments of CereLink monitors to international markets resumed in the third quarter of 2023 and shipments in the U.S. resumed in the first quarter of 2024.</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Regenerative Technologies. </w:t>
      </w:r>
      <w:r>
        <w:rPr>
          <w:rFonts w:ascii="Times New Roman" w:cs="Times New Roman" w:eastAsia="Times New Roman" w:hAnsi="Times New Roman"/>
          <w:sz w:val="18"/>
          <w:szCs w:val="18"/>
          <w:color w:val="auto"/>
        </w:rPr>
        <w:t>We were the first company to receive an FDA claim for regeneration of dermal tissue and are a world leader in regenerative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healing of 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including our launch of NeuraGen 3D, provides us with strong platform technologies for multiple indications.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second quarter of 2023, after consultation with the FDA, The Company initiated a voluntary global recall of all products manufactured at the Boston facility, including PriMatrix®, SurgiMend®, Revize™, and TissueMend™, distributed between March 1, 2018 and May 22, 2023.</w:t>
      </w:r>
    </w:p>
    <w:p>
      <w:pPr>
        <w:spacing w:after="0" w:line="4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the third quarter of 2021, we filed a PMA application for a specific indication for Surgimend® in the use of post-mastectomy breast reconstruction. In 2022, we acquired SIA, which has also submitted a PMA application for DuraSorb with IBBR, and in June 2023 we completed enrollment in the DuraSorb U.S. IDE clinical study for two-stage breast reconstruction; the primary follow-up period is one year after device implantation. By offering two distinct product solutions, we believe we have the opportunity to build a leading position in the IBBR market. We hope to have approval for DuraSorb in 2025. For SurgiMend, we are not currently able to predict an approval date because of the delays in remediating our Boston manufacturing site.</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2022 we launched NeuraGen 3D Nerve Guide Matrix, a resorbable implant for repair of peripheral nerve discontinuities and engineered to create an optimized environment for nerve regeneration. Following the completion of design control activities in 2022, we launched both Cytal and MicroMatrix in Europe in 2023. In 2023, the Company received 510(k) clearance from the FDA for MicroMatrix® Flex, which is now commercially available in the U.S. as of March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ongoing efforts to remain compliant, the Company continues to work towards European Union Medical Device Regulation (“EU MDR”) certifications. In 2023 the Company received EU MDR certification in the CSS segment for Hakim Programmable Valves, Certas Plus without Bactiseal catheters, and DuraSeal Dural. Additionally, the Company received EU MDR certification in the TT segment for IDRT and BioPatch in 2023, and MicroMatrix and Cytal in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Matters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7, 2019, TEI Biosciences, Inc. (“TEI”), one of our wholly-owned subsidiaries, received a Warning Letter (the “2019 Warning Letter”), dated March 6, 2019, from the FDA. The 2019 Warning Letter related to quality systems issues at TEI’s manufacturing facility located in Boston, Massachusetts. The Boston facility manufactures extracellular bovine matrix products in our TT segment that are sold both in wound reconstruction and care and in private label channels.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its corrective actions. On October 28, 2021, the FDA initiated an inspection of the facility and at the conclusion of the inspection, issued an FDA Form 483 on November 12, 2021 (the “2021 Form 483”). We provided an initial response to the inspection observations. On March 1, 2023, the FDA commenced an inspection of the Boston facility, and issued an FDA Form 483 at the conclusion of this inspection (the “2023 Form 483”). In May 2023, after consultation with the FDA, the Company initiated a voluntary recall of products manufactured in the Boston facility distributed between March 1, 2018 and May 22, 2023, and extended the temporary halt of manufacturing at the facility to implement additional detection and quality controls.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our significant efforts to remediate the observations.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Warning Letters do not restrict the Company’s ability to seek FDA 510(k) clearance of products, PMAs for Class III devices to which the quality system regulation violations are reasonably related will not be approved until the violations have been addressed. We cannot give any assurances that the FDA will be satisfied with our response to the issues identified by the FDA or as to the expected date of the resolution of such issues. Until the issues cited by the FDA are resolved to the FDA’s satisfaction, the FDA may initiate additional regulatory action without further notice. Any adverse regulatory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action, depending on its magnitude, may restrict us from effectively manufacturing, marketing and selling our products and could have a material adverse effect on our business, financial condition and results of operations.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required by the 2023 Warning Letter, we retained an outside expert consultant to perform an audit of the Boston facility in March 2024. While we anticipated this audit would yield findings and there would be remaining work to be completed, the audit yielded more findings than we anticipated. We are still determining the full scope of the work required to address these additional findings and resume commercial distribution. Based on a preliminary assessment of the work to be done, we no longer expect to resume commercial distribution in 2024. As a result, the Company elected to perform impairment testing on certain definite-lived intangibles and goodwill. For further detail on the impairment testing, see </w:t>
      </w:r>
      <w:r>
        <w:rPr>
          <w:rFonts w:ascii="Times New Roman" w:cs="Times New Roman" w:eastAsia="Times New Roman" w:hAnsi="Times New Roman"/>
          <w:sz w:val="18"/>
          <w:szCs w:val="18"/>
          <w:i w:val="1"/>
          <w:iCs w:val="1"/>
          <w:color w:val="auto"/>
        </w:rPr>
        <w:t>Note 5. Goodwill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work with our customers in wound reconstruction and care as we move toward commercialization. Revenues of products manufactured in the Boston facility for the year ended December 31, 2022 were approximately 5.3% of consolidated revenues.</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18, 2022, we, after consultation with the FDA and other regulatory authorities outside of the United States, initiated an immediate voluntary global product removal of all CereLink intracranial pressure monitors as a result of customer reports about monitors whose pressure readings were out of range. We submitted a traditional 510(k) premarket notification to the FDA on September 15, 2023 and received 510(k) clearance on February 4, 2024 from the FDA. The submission included design changes to remedy the out-of-range readings. Shipments of CereLink monitors in the U.S. resumed in the first quarter of 2024 and shipments to international markets resumed in the third quarter of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Optimization and Integration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for the three months ended March 31, 2024 was $3.3 million, or $0.04 per diluted share, as compared to net income of $24.2 million or $0.29 per diluted share for the three months ended March 31, 2023. The decrease in net income for the three months ended March 31, 2024, was driven by higher manufacturing costs and impairment charges of $7.1 million, primarily related to our Boston facility.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2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divestiture and integration-related charges</w:t>
            </w:r>
          </w:p>
        </w:tc>
        <w:tc>
          <w:tcPr>
            <w:tcW w:w="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Structural optimization charges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 medical device regulation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2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Boston recall expenses</w:t>
            </w:r>
            <w:r>
              <w:rPr>
                <w:rFonts w:ascii="Times New Roman" w:cs="Times New Roman" w:eastAsia="Times New Roman" w:hAnsi="Times New Roman"/>
                <w:sz w:val="21"/>
                <w:szCs w:val="2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6,979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30,230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 xml:space="preserve"> This primarily includes idle capacity charges and inventory write offs.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and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and gross margin on product revenues were as follows:</w:t>
      </w:r>
    </w:p>
    <w:p>
      <w:pPr>
        <w:spacing w:after="0" w:line="259"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256,434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248,136</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Tissue Technologies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112,438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132,710</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368,872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380,846</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162,038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147,975</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 on total revenues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206,834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232,871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 as a percentage of total revenues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180"/>
        <w:spacing w:after="0" w:line="377" w:lineRule="auto"/>
        <w:rPr>
          <w:sz w:val="20"/>
          <w:szCs w:val="20"/>
          <w:color w:val="auto"/>
        </w:rPr>
      </w:pPr>
      <w:r>
        <w:rPr>
          <w:rFonts w:ascii="Times New Roman" w:cs="Times New Roman" w:eastAsia="Times New Roman" w:hAnsi="Times New Roman"/>
          <w:sz w:val="18"/>
          <w:szCs w:val="18"/>
          <w:b w:val="1"/>
          <w:bCs w:val="1"/>
          <w:color w:val="auto"/>
        </w:rPr>
        <w:t>Three Months Ended March 31, 2024 as Compared to Three Months Ended March 31, 2023 Revenues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total revenues decreased by $12.0 million to $368.9 million from $380.8 million for the same period in 2023. This decrease was primarily driven by the impact of the Boston recall of $15.2 million. The decrease was also inclusive of an unfavorable foreign currency impact of $2.4 million on revenues. Excluding the impacts of these items, domestic revenues decreased by $1.3 million, or 0.5% compared to the same period in the prior year. International revenues increased by $8.7 million or 8.1% as compared to the prior period. The increase in international revenues was primarily driven by increases in our APAC region, including China and Taiwan.</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CSS segment, revenues were $256.4 million which was an increase of $8.3 million, or 3.3% as compared to the prior-year period, inclusive of a $2.4 million unfavorable foreign currency impact on revenue. Excluding the impact of foreign exchange, the Neurosurgery portfolio grew mid-single digits primarily due to increased sales in Neuro Monitoring and CSF Management.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TT segment, revenues were $112.4 million which was a decrease of $20.3 million, or 15.3% from the prior-year period. This decrease is primarily driven by the impact of the Boston recall of $15.2 million decline in revenue. Excluding the impact of these items, the TT segment showed a decrease in sales as compared to the same period in the prior year, primarily attributable to Integra Skin MediHoney® and MicroMatrix®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$206.8 million for the three months ended March 31, 2024, a decrease of $26.0 million from $232.9 million for the same period in 2023. Gross margin as a percentage of revenues was 56.1% for the three months ended March 31, 2024 and 61.1% for the same period in 2023. The decrease in gross margin percentage was primarily associated with higher costs related to idle capacity at our Boston facility, as well as additional manufacturing expenses across our manufacturing sites.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5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43.8 %</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selling, general and administrative, and amortization expenses, increased by $6.4 million, or 3.3% to $202.9 million in the three months ended March 31, 2024, compared to $196.5 million in the same period in 2023, mainly driven by intangible amortization.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increased by $0.2 million as compared to the same period in the prior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for the three months ended March 31, 2024 decreased by $0.9 million as compared to the same period in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for the three months ended March 31, 2024 was $10.1 million compared to $3.1 million for the same period in the prior year. The increase is driven by the impairment of customer relationship intangible related to our Boston facility.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0" w:type="dxa"/>
            <w:vAlign w:val="bottom"/>
          </w:tcPr>
          <w:p>
            <w:pPr>
              <w:spacing w:after="0"/>
              <w:rPr>
                <w:sz w:val="1"/>
                <w:szCs w:val="1"/>
                <w:color w:val="auto"/>
              </w:rPr>
            </w:pPr>
          </w:p>
        </w:tc>
      </w:tr>
      <w:tr>
        <w:trPr>
          <w:trHeight w:val="207"/>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31, 2024 increased by $0.9 million as compared to the same period in the prior year primarily due to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2024 increased by $1.5 million as compared to the same period in the prior year primarily due incremental borrowing and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2024 decreased by $2.0 million compared to the same period in the prior year. The decrease is primarily driven by lower Transition Service Agreement (“TSA”) income from our divestitures.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(5,230)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29,778</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40" w:type="dxa"/>
            <w:vAlign w:val="bottom"/>
          </w:tcPr>
          <w:p>
            <w:pPr>
              <w:spacing w:after="0"/>
              <w:rPr>
                <w:sz w:val="18"/>
                <w:szCs w:val="18"/>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5,552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rates for the three months ended March 31, 2024 and 2023 were 37.3% and 18.6%, respectively.</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2024, the primary drivers of the higher tax rate relates to a $1.5 million expense due to a shortfall from stock based compensation, offset by a tax benefit for the intangible asset impairment, as compared to previous year. The Company does not have tax basis in the impaired intangible asset and has treated the tax impact as a discrete event in this quarter.</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may increase the Company’s U.S. federal income tax liability. Further, legislation in foreign jurisdictions may be enacted, in response to the base erosion and profit-shifting project begun by the Organization for Economic Cooperation and Development (“OECD”). Such changes in the U.S. and non-U.S. jurisdictions could have an adverse effect on the Company's effective tax rate.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Several of the jurisdictions in which we operate have already adopted some form of the model rules, which could impact the amount of taxes that the Company pays during 2024 and future taxable periods. The rules are complex and provide for delays of implementing the tax during the early transition years, if certain conditions are met. At this time, the Company is projecting an immaterial amount related to Pillar 2 tax liability for the 2024 year. The Company will continue to analyze the new Pillar 2 laws and any related guidance to determine potential impacts. Such changes in U.S. and non-U.S. jurisdictions could have an adverse effect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previously, the Company recorded a total impairment charge of $7.1 million in intangible asset amortization during the first quarter of 2024. The Company does not have tax basis in the impaired customer relationship, therefore the charge resulted in a $1.6 million reduction of the Company’s deferred tax liability related to such intangible.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271,002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18,307</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368,872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380,846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Domestic revenues decreased by $14.8 million for the three months ended March 31, 2024 compared to the same period last year. European sales increased by $0.5 million for the three months ended March 31, 2024 compared to the same period last year. Sales to customers in Asia Pacific decreased by $0.9 million for the three months ended March 31, 2024. Sales to customers in the the Rest of World for the three months ended March 31, 2024 increased by $3.2 million compared to the same period last year. The international revenues were impacted by $2.4 million of unfavorable foreign exchange impact, with the larger impact in Asia. The decrease in global revenues is primarily the result of the Boston recall which affected both domestic and international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working capital as of March 31, 2024 and December 31, 2023 was $1,113.3 million and $751.1 million, respectively. Working capital consists of total current assets less total current liabilities as presented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cash and cash equivalents totaling approximately $591.9 million and $276.4 million at March 31, 2024 and December 31, 2023 respectively, which are valued based on Level 1 measurements in the fair value hierarchy. At March 31, 2024, our non-U.S. subsidiaries held approximately $210.6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totaling approximately $71.2 million at March 31, 2024 compared to $32.7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26,156</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(162,683)</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cash flows for the three months ended March 31, 2024 decreased by $10.4 million compared to the same period in 2023. Within operating cash flows, net income less non-cash adjustments decreased for the three months ended March 31, 2024 by approximately $29.7 million as compared to the same period in 2023 primarily due to lower revenues attributable to the Boston recall, as well as additional manufacturing expenses across our manufacturing sites.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for the three months ended March 31, 2024, net of business acquisitions, decreased cash flows by $23.4 million, mainly attributable to increases in inventory, and decreases in other current liabilities and accounts receivable.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for the three months ended March 31, 2023, net of business acquisitions, decreased cash flows by $42.6 million, primarily due to increases in inventory.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investing activities for the three months ended March 31, 2024 related to $38.5 million related to short term investments, and $15.5 million paid for capital expenditures to support operations improvement initiatives at a number of our manufacturing facilities and other information technology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sources of cash from investing activities during the three months ended March 31,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Uses of cash from investing activities during the three months ended March 31, 2023 related to $13.7 million paid for capital expenditures to support operations improvement initiatives at a number of our manufacturing facilities and other information technology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sources of cash from investing activities during the three months ended March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or Used in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Uses of cash from financing activities in the three months ended March 31, 2024 related to the repayments of $15.1 million under our Senior Credit Facility and Securitization Facility. In addition, the Company had $3.1 million in cash taxes paid for net equity settlements.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three months ended March 31, 2024 were $370.5 million proceeds from borrowings of long-term indebtedness and $6.4 million proceeds from the exercise of stock options.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three months ended March 31, 2023 related to the repurchase of treasury stock of $150.0 million under the share repurchase agreements, repayments of $12.4 million under our Senior Credit Facility and Securitization Facility. In addition, we had $7.6 million attributable to debt issuance costs, as well as $5.2 million in cash taxes paid for net equity settlements.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three months ended March 31, 2023 were $10.2 million borrowing under our Senior Credit Facility and Securitization Facility and $2.3 million proceeds from the exercise of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Senior Credit Agreement, Convertible Senior Notes, Securitization and Related Hedging Activities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a discussion of our Amended and Restated Senior Credit Agreement, the 2025 Notes and Securitization Facility and Note 7,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discussion of our hedging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Treasury Stock</w:t>
      </w:r>
      <w:r>
        <w:rPr>
          <w:rFonts w:ascii="Times New Roman" w:cs="Times New Roman" w:eastAsia="Times New Roman" w:hAnsi="Times New Roman"/>
          <w:sz w:val="18"/>
          <w:szCs w:val="18"/>
          <w:color w:val="auto"/>
        </w:rPr>
        <w:t>, to the Notes to Unaudited Condensed Consolidated Financial Statements (Part I, Item 1 of this Quarterly Report) for further details of our share repurchase programs.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and capital expenditures for the next 12 months and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during the three months ended March 31, 2024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Our primary obligations include principal and interest payments on the revolving portion and term loan component of the Senior Credit Facility, Securitization Facility and 2025 Notes. See </w:t>
      </w:r>
      <w:r>
        <w:rPr>
          <w:rFonts w:ascii="Times New Roman" w:cs="Times New Roman" w:eastAsia="Times New Roman" w:hAnsi="Times New Roman"/>
          <w:sz w:val="17"/>
          <w:szCs w:val="17"/>
          <w:i w:val="1"/>
          <w:iCs w:val="1"/>
          <w:color w:val="auto"/>
        </w:rPr>
        <w:t>Note 6. Debt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to the Notes to Unaudited Condensed Consolidated Financial Statements (Part I, Item 1 of this Quarterly Report) for details. We also lease some of our manufacturing facilities and office buildings which have future minimum lease payments. See </w:t>
      </w:r>
      <w:r>
        <w:rPr>
          <w:rFonts w:ascii="Times New Roman" w:cs="Times New Roman" w:eastAsia="Times New Roman" w:hAnsi="Times New Roman"/>
          <w:sz w:val="17"/>
          <w:szCs w:val="17"/>
          <w:i w:val="1"/>
          <w:iCs w:val="1"/>
          <w:color w:val="auto"/>
        </w:rPr>
        <w:t>Note</w:t>
      </w:r>
    </w:p>
    <w:p>
      <w:pPr>
        <w:spacing w:after="0" w:line="2" w:lineRule="exact"/>
        <w:rPr>
          <w:sz w:val="20"/>
          <w:szCs w:val="20"/>
          <w:color w:val="auto"/>
        </w:rPr>
      </w:pPr>
    </w:p>
    <w:p>
      <w:pPr>
        <w:jc w:val="both"/>
        <w:ind w:right="20" w:firstLine="8"/>
        <w:spacing w:after="0" w:line="255" w:lineRule="auto"/>
        <w:tabs>
          <w:tab w:leader="none" w:pos="273"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Leases and Related Party Leases</w:t>
      </w:r>
      <w:r>
        <w:rPr>
          <w:rFonts w:ascii="Times New Roman" w:cs="Times New Roman" w:eastAsia="Times New Roman" w:hAnsi="Times New Roman"/>
          <w:sz w:val="18"/>
          <w:szCs w:val="18"/>
          <w:color w:val="auto"/>
        </w:rPr>
        <w:t>, to the Notes to Unaudited Condensed Consolidated Financial Statements (Part I, Item 1 of this Quarterly Report)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schedule of our future minimum lease payments. Amounts related to our other obligations, including employment agreements and purchase obligations were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contingent consideration obligations related to prior and current year acquisitions and future pension contribution obligations. See </w:t>
      </w:r>
      <w:r>
        <w:rPr>
          <w:rFonts w:ascii="Times New Roman" w:cs="Times New Roman" w:eastAsia="Times New Roman" w:hAnsi="Times New Roman"/>
          <w:sz w:val="18"/>
          <w:szCs w:val="18"/>
          <w:i w:val="1"/>
          <w:iCs w:val="1"/>
          <w:color w:val="auto"/>
        </w:rPr>
        <w:t>Note</w:t>
      </w:r>
    </w:p>
    <w:p>
      <w:pPr>
        <w:spacing w:after="0" w:line="29" w:lineRule="exact"/>
        <w:rPr>
          <w:sz w:val="20"/>
          <w:szCs w:val="20"/>
          <w:color w:val="auto"/>
        </w:rPr>
      </w:pPr>
    </w:p>
    <w:p>
      <w:pPr>
        <w:jc w:val="both"/>
        <w:ind w:firstLine="8"/>
        <w:spacing w:after="0" w:line="255" w:lineRule="auto"/>
        <w:tabs>
          <w:tab w:leader="none" w:pos="1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16. Commitments and Contingencies</w:t>
      </w:r>
      <w:r>
        <w:rPr>
          <w:rFonts w:ascii="Times New Roman" w:cs="Times New Roman" w:eastAsia="Times New Roman" w:hAnsi="Times New Roman"/>
          <w:sz w:val="18"/>
          <w:szCs w:val="18"/>
          <w:color w:val="auto"/>
        </w:rPr>
        <w:t>, to the Notes to Unaudited Condensed Consolidated Financial Statements (Part I,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Quarterly Report) for details. The associated obligations are not fixed. We also have a liability for uncertain tax benefits including interest and penalties. We cannot make a reliable estimate of the period in which the uncertain tax benefits may be realized.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2023 did not materially change in the three months ended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w:t>
      </w:r>
      <w:r>
        <w:rPr>
          <w:rFonts w:ascii="Times New Roman" w:cs="Times New Roman" w:eastAsia="Times New Roman" w:hAnsi="Times New Roman"/>
          <w:sz w:val="18"/>
          <w:szCs w:val="18"/>
          <w:i w:val="1"/>
          <w:iCs w:val="1"/>
          <w:color w:val="auto"/>
        </w:rPr>
        <w:t>Note 1. Basis of Presentation</w:t>
      </w:r>
      <w:r>
        <w:rPr>
          <w:rFonts w:ascii="Times New Roman" w:cs="Times New Roman" w:eastAsia="Times New Roman" w:hAnsi="Times New Roman"/>
          <w:sz w:val="18"/>
          <w:szCs w:val="18"/>
          <w:color w:val="auto"/>
        </w:rPr>
        <w:t>, to the Notes to Unaudited Condensed Consolidated Financial Statements (Part I, Item 1 of this Quarterly Report), and is applicable to the current period’s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Notes to Unaudited Condensed Consolidated Financial Statements (Part I, Item 1 of this Quarterly Report) for further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points movement in interest rates applicable to our cash and cash equivalents outstanding at March 31, 2024 would impact interest income by approximately $5.9 million on an annual basis. We are subject to foreign currency exchange risk with respect to cash balances maintained in foreign currencies.</w:t>
      </w:r>
    </w:p>
    <w:p>
      <w:pPr>
        <w:spacing w:after="0" w:line="7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interest rate risk relates primarily to U.S. dollar SOFR-indexed borrowings. We use interest rate swap derivative instruments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earnings and cash flow exposure to changes in interest rates. These interest rate swaps fix the interest rate on a portion of our expected SOFR-indexed floating-rate borrowings. These interest rate swaps were designated as cash flow hedges as of March 31, 2024. The total notional amounts related to the Company's interest rate swaps were $1.5 billion with $775.0 million effective as of March 31, 2024. Based on our outstanding borrowings at March 31, 2024, a 100 basis points change in interest rates would have impacted interest expense on the unhedged portion of the debt by $5.1 million on an annualized basis. See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the Notes to Unaudited Condensed Consolidated Financial Statements (Part I, Item 1 of this Quarterly Report) for further information regarding interest rate swaps.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2024. Based upon this evaluation, our principal executive officer and principal financial officer concluded that our disclosure controls and procedures were effective as of March 31, 2024 to provide such reasonable assurance.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March 31, 2024 that have materially affected, or are reasonably likely to materially affect, our internal control over financial reporting.</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response to business integration activities, we have and will continue to further align and streamline the design and operation of the financial control environment to be responsive to the changing business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16, Commitments and Contingencies,</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further details on current legal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 xml:space="preserve">There have been no material changes in our risk factors included in our Annual Report on Form 10-K for the fiscal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 xml:space="preserve"> and subsequent periodic reports filed with the Securities and Exchange Commission pursuant to the Exchange Act.</w:t>
      </w:r>
    </w:p>
    <w:p>
      <w:pPr>
        <w:spacing w:after="0" w:line="158" w:lineRule="exact"/>
        <w:rPr>
          <w:sz w:val="20"/>
          <w:szCs w:val="20"/>
          <w:color w:val="auto"/>
        </w:rPr>
      </w:pPr>
    </w:p>
    <w:p>
      <w:pPr>
        <w:ind w:right="414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 of Unregistered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2024, none of the Company’s directors or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3.1(a)</w:t>
            </w:r>
          </w:p>
        </w:tc>
        <w:tc>
          <w:tcPr>
            <w:tcW w:w="9560" w:type="dxa"/>
            <w:vAlign w:val="bottom"/>
            <w:gridSpan w:val="17"/>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Certificate of Incorporation of the Company dated February 16, 1993 (Incorporated by reference to Exhibit</w:t>
              </w:r>
            </w:hyperlink>
          </w:p>
        </w:tc>
      </w:tr>
      <w:tr>
        <w:trPr>
          <w:trHeight w:val="155"/>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1(a)</w:t>
              </w:r>
              <w:r>
                <w:rPr>
                  <w:rFonts w:ascii="Times New Roman" w:cs="Times New Roman" w:eastAsia="Times New Roman" w:hAnsi="Times New Roman"/>
                  <w:sz w:val="18"/>
                  <w:szCs w:val="18"/>
                  <w:color w:val="0000FF"/>
                  <w:w w:val="99"/>
                </w:rPr>
                <w:t xml:space="preserve"> to the Company’s Annual Report on Form 10-K for the fiscal year ended December 31, 2005)</w:t>
              </w:r>
            </w:hyperlink>
          </w:p>
        </w:tc>
        <w:tc>
          <w:tcPr>
            <w:tcW w:w="220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3.1(b)</w:t>
            </w:r>
          </w:p>
        </w:tc>
        <w:tc>
          <w:tcPr>
            <w:tcW w:w="9560" w:type="dxa"/>
            <w:vAlign w:val="bottom"/>
            <w:gridSpan w:val="17"/>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of Amendment to Amended and Restated Certificate of Incorporation of the Company dated May 22, 1998 (Incorporated</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by reference to Exhibit 3.1(b) to the Company’s Annual Report on Form 10-K for the fiscal year ended December 31, 1998)</w:t>
              </w:r>
            </w:hyperlink>
          </w:p>
        </w:tc>
        <w:tc>
          <w:tcPr>
            <w:tcW w:w="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3.1(c)</w:t>
            </w:r>
          </w:p>
        </w:tc>
        <w:tc>
          <w:tcPr>
            <w:tcW w:w="9560" w:type="dxa"/>
            <w:vAlign w:val="bottom"/>
            <w:gridSpan w:val="17"/>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Certificate of Amendment to Amended and Restated Certificate of Incorporation of the Company dated May 17, 1999 (Incorporated</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by reference to Exhibit 3.1(c) to the Company’s Annual Report on Form 10-K for the fiscal year ended December 31, 2004)</w:t>
              </w:r>
            </w:hyperlink>
          </w:p>
        </w:tc>
        <w:tc>
          <w:tcPr>
            <w:tcW w:w="6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3.1(d)</w:t>
            </w:r>
          </w:p>
        </w:tc>
        <w:tc>
          <w:tcPr>
            <w:tcW w:w="9560" w:type="dxa"/>
            <w:vAlign w:val="bottom"/>
            <w:gridSpan w:val="17"/>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Certificate of Amendment to Amended and Restated Certificate of Incorporation of the Company dated December 21, 2016</w:t>
              </w:r>
            </w:hyperlink>
          </w:p>
        </w:tc>
      </w:tr>
      <w:tr>
        <w:trPr>
          <w:trHeight w:val="155"/>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(Incorporated by reference to Exhibit 3.1 to the Company’s Current Report on Form 8-K filed on December 22, 2016)</w:t>
              </w:r>
            </w:hyperlink>
          </w:p>
        </w:tc>
        <w:tc>
          <w:tcPr>
            <w:tcW w:w="3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9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Third Amended and Restated Bylaws of Integra LifeSciences Holdings Corporation, effective as of February 21, 2023 (Incorporated</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by reference to Exhibit 3.3 to the Company’s Annual Report on Form 10-K for the fiscal year ended December 31, 2022 filed on</w:t>
              </w:r>
            </w:hyperlink>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February 22, 2023)</w:t>
              </w:r>
            </w:hyperlink>
          </w:p>
        </w:tc>
        <w:tc>
          <w:tcPr>
            <w:tcW w:w="7880" w:type="dxa"/>
            <w:vAlign w:val="bottom"/>
            <w:tcBorders>
              <w:top w:val="single" w:sz="8" w:color="0000FF"/>
            </w:tcBorders>
            <w:gridSpan w:val="1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Letter Agreement, dated February 27, 2024 (Incorporated by reference to Exhibit 10.1 to the Company’s Current Report on Form 8-</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K filed on February 28, 2024)</w:t>
              </w:r>
            </w:hyperlink>
          </w:p>
        </w:tc>
        <w:tc>
          <w:tcPr>
            <w:tcW w:w="734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Form of Integra LifeSciences Holdings Corporation Fifth Amended and Restated 2003 Equity Incentive Plan Non-Qualified Stock</w:t>
            </w:r>
          </w:p>
        </w:tc>
      </w:tr>
      <w:tr>
        <w:trPr>
          <w:trHeight w:val="155"/>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Option Award Agreement – CEO</w:t>
            </w:r>
          </w:p>
        </w:tc>
        <w:tc>
          <w:tcPr>
            <w:tcW w:w="7000" w:type="dxa"/>
            <w:vAlign w:val="bottom"/>
            <w:tcBorders>
              <w:top w:val="single" w:sz="8" w:color="0000FF"/>
            </w:tcBorders>
            <w:gridSpan w:val="9"/>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3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31.1+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120" w:type="dxa"/>
            <w:vAlign w:val="bottom"/>
            <w:gridSpan w:val="11"/>
          </w:tcPr>
          <w:p>
            <w:pPr>
              <w:spacing w:after="0"/>
              <w:rPr>
                <w:sz w:val="24"/>
                <w:szCs w:val="24"/>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31.2+</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gridSpan w:val="5"/>
            <w:shd w:val="clear" w:color="auto" w:fill="0000FF"/>
          </w:tcPr>
          <w:p>
            <w:pPr>
              <w:spacing w:after="0" w:line="20" w:lineRule="exact"/>
              <w:rPr>
                <w:sz w:val="1"/>
                <w:szCs w:val="1"/>
                <w:color w:val="auto"/>
              </w:rPr>
            </w:pPr>
          </w:p>
        </w:tc>
        <w:tc>
          <w:tcPr>
            <w:tcW w:w="2180" w:type="dxa"/>
            <w:vAlign w:val="bottom"/>
            <w:gridSpan w:val="12"/>
          </w:tcPr>
          <w:p>
            <w:pPr>
              <w:spacing w:after="0" w:line="20" w:lineRule="exact"/>
              <w:rPr>
                <w:sz w:val="1"/>
                <w:szCs w:val="1"/>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906 of the Sarbanes-Oxley Act of 2002</w:t>
            </w:r>
          </w:p>
        </w:tc>
        <w:tc>
          <w:tcPr>
            <w:tcW w:w="2120" w:type="dxa"/>
            <w:vAlign w:val="bottom"/>
            <w:gridSpan w:val="11"/>
          </w:tcPr>
          <w:p>
            <w:pPr>
              <w:spacing w:after="0"/>
              <w:rPr>
                <w:sz w:val="24"/>
                <w:szCs w:val="24"/>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32.2+</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20"/>
        </w:trPr>
        <w:tc>
          <w:tcPr>
            <w:tcW w:w="1500" w:type="dxa"/>
            <w:vAlign w:val="bottom"/>
            <w:gridSpan w:val="3"/>
          </w:tcPr>
          <w:p>
            <w:pPr>
              <w:spacing w:after="0" w:line="20" w:lineRule="exact"/>
              <w:rPr>
                <w:sz w:val="1"/>
                <w:szCs w:val="1"/>
                <w:color w:val="auto"/>
              </w:rPr>
            </w:pPr>
          </w:p>
        </w:tc>
        <w:tc>
          <w:tcPr>
            <w:tcW w:w="7380" w:type="dxa"/>
            <w:vAlign w:val="bottom"/>
            <w:gridSpan w:val="5"/>
            <w:shd w:val="clear" w:color="auto" w:fill="0000FF"/>
          </w:tcPr>
          <w:p>
            <w:pPr>
              <w:spacing w:after="0" w:line="20" w:lineRule="exact"/>
              <w:rPr>
                <w:sz w:val="1"/>
                <w:szCs w:val="1"/>
                <w:color w:val="auto"/>
              </w:rPr>
            </w:pPr>
          </w:p>
        </w:tc>
        <w:tc>
          <w:tcPr>
            <w:tcW w:w="2180" w:type="dxa"/>
            <w:vAlign w:val="bottom"/>
            <w:gridSpan w:val="12"/>
          </w:tcPr>
          <w:p>
            <w:pPr>
              <w:spacing w:after="0" w:line="20" w:lineRule="exact"/>
              <w:rPr>
                <w:sz w:val="1"/>
                <w:szCs w:val="1"/>
                <w:color w:val="auto"/>
              </w:rPr>
            </w:pPr>
          </w:p>
        </w:tc>
      </w:tr>
      <w:tr>
        <w:trPr>
          <w:trHeight w:val="304"/>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46"/>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03" w:lineRule="exact"/>
        <w:rPr>
          <w:sz w:val="20"/>
          <w:szCs w:val="20"/>
          <w:color w:val="auto"/>
        </w:rPr>
      </w:pPr>
    </w:p>
    <w:p>
      <w:pPr>
        <w:ind w:left="1580" w:hanging="1507"/>
        <w:spacing w:after="0"/>
        <w:tabs>
          <w:tab w:leader="none" w:pos="1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60"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sz w:val="20"/>
          <w:szCs w:val="20"/>
          <w:color w:val="auto"/>
        </w:rPr>
      </w:pPr>
    </w:p>
    <w:p>
      <w:pPr>
        <w:ind w:left="700" w:hanging="63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this document is filed as an exhibit herewith.</w:t>
      </w:r>
    </w:p>
    <w:p>
      <w:pPr>
        <w:spacing w:after="0" w:line="23" w:lineRule="exact"/>
        <w:rPr>
          <w:sz w:val="20"/>
          <w:szCs w:val="20"/>
          <w:color w:val="auto"/>
        </w:rPr>
      </w:pPr>
    </w:p>
    <w:p>
      <w:pPr>
        <w:ind w:left="700" w:right="20" w:hanging="634"/>
        <w:spacing w:after="0" w:line="21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March 31, 2024 filed on 05/06/2024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Jan De Witte</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A. Mosebrook</w:t>
            </w:r>
          </w:p>
        </w:tc>
      </w:tr>
      <w:tr>
        <w:trPr>
          <w:trHeight w:val="228"/>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Jeffrey A. Mosebrook</w:t>
            </w:r>
          </w:p>
        </w:tc>
      </w:tr>
    </w:tbl>
    <w:p>
      <w:pPr>
        <w:ind w:left="56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4" w:name="page45"/>
    <w:bookmarkEnd w:id="44"/>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INTEGRA LIFESCIENCES HOLDINGS CORPORATION</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2003 EQUITY INCENTIVE PLAN</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NON-QUALIFIED STOCK OPTION AGREEMENT</w:t>
      </w:r>
    </w:p>
    <w:p>
      <w:pPr>
        <w:spacing w:after="0" w:line="232" w:lineRule="exact"/>
        <w:rPr>
          <w:sz w:val="20"/>
          <w:szCs w:val="20"/>
          <w:color w:val="auto"/>
        </w:rPr>
      </w:pPr>
    </w:p>
    <w:p>
      <w:pPr>
        <w:jc w:val="both"/>
        <w:ind w:firstLine="3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NON-QUALIFIED STOCK OPTION AGREEMENT </w:t>
      </w:r>
      <w:r>
        <w:rPr>
          <w:rFonts w:ascii="Times New Roman" w:cs="Times New Roman" w:eastAsia="Times New Roman" w:hAnsi="Times New Roman"/>
          <w:sz w:val="22"/>
          <w:szCs w:val="22"/>
          <w:color w:val="auto"/>
        </w:rPr>
        <w:t>(together with the attached Notice of Grant of Stock Options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Agreement (“Notice of Grant”), the “Option Agreement”) made as of the date (the “Grant Date”) set forth in Notice of Grant, between Integra LifeSciences Holdings Corporation, a Delaware corporation (the “Company”), and the named Key Employee of the Company, a Related Corporation, or an affiliate (the “Employee”).</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afford the Employee an opportunity to purchase shares of common stock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par value $.01 per share (“Common Stock”), as hereinafter provided, in accordance with the provisions of the Integra LifeSciences Holdings Corporation Fifth Amended and Restated 2003 Equity Incentive Plan, as amended (the “Plan”). Requests for hardcopies of the “Plan” should be directed to Mythili Seshan at the New Jersey Corporate Office.</w:t>
      </w:r>
    </w:p>
    <w:p>
      <w:pPr>
        <w:spacing w:after="0" w:line="195" w:lineRule="exact"/>
        <w:rPr>
          <w:sz w:val="20"/>
          <w:szCs w:val="20"/>
          <w:color w:val="auto"/>
        </w:rPr>
      </w:pPr>
    </w:p>
    <w:p>
      <w:pPr>
        <w:jc w:val="both"/>
        <w:ind w:firstLine="37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hereinafter set forth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legal sufficiency of which is hereby acknowledged, the parties hereto, intending to be legally bound hereby, agree as follows:</w:t>
      </w:r>
    </w:p>
    <w:p>
      <w:pPr>
        <w:spacing w:after="0" w:line="211"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18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22"/>
          <w:szCs w:val="22"/>
          <w:color w:val="auto"/>
        </w:rPr>
        <w:t>. Effective , the Company hereby grants to the Employee a non-qualified stock option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to purchase all or any part of an aggregate of the number of shares of Common Stock as set forth in the attached Notice of Grant, subject to adjustment in accordance with Section 8 of the Plan.</w:t>
      </w:r>
    </w:p>
    <w:p>
      <w:pPr>
        <w:spacing w:after="0" w:line="18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1"/>
          <w:szCs w:val="21"/>
          <w:b w:val="1"/>
          <w:bCs w:val="1"/>
          <w:u w:val="single" w:color="auto"/>
          <w:color w:val="auto"/>
        </w:rPr>
        <w:t>Purchase Price</w:t>
      </w:r>
      <w:r>
        <w:rPr>
          <w:rFonts w:ascii="Times New Roman" w:cs="Times New Roman" w:eastAsia="Times New Roman" w:hAnsi="Times New Roman"/>
          <w:sz w:val="21"/>
          <w:szCs w:val="21"/>
          <w:color w:val="auto"/>
        </w:rPr>
        <w:t>. The purchase price per share of the shares of Common Stock covered by the Option shall be that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the attached Notice of Grant, subject to adjustment in accordance with Section 8 of the Plan. It is the determination of the Company’s Compensation Committee (the “Committee”) that on the Grant Date the per share Option exercise price was not less than the greater of one hundred percent (100%) of the fair market value of the Common Stock, or the par value thereof.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Unless earlier terminated pursuant to any provision of this Option Agreement, this Option shall expire on</w:t>
      </w:r>
    </w:p>
    <w:p>
      <w:pPr>
        <w:spacing w:after="0" w:line="33" w:lineRule="exact"/>
        <w:rPr>
          <w:sz w:val="20"/>
          <w:szCs w:val="20"/>
          <w:color w:val="auto"/>
        </w:rPr>
      </w:pPr>
    </w:p>
    <w:p>
      <w:pPr>
        <w:ind w:right="120" w:firstLine="1242"/>
        <w:spacing w:after="0" w:line="259" w:lineRule="auto"/>
        <w:rPr>
          <w:sz w:val="20"/>
          <w:szCs w:val="20"/>
          <w:color w:val="auto"/>
        </w:rPr>
      </w:pPr>
      <w:r>
        <w:rPr>
          <w:rFonts w:ascii="Times New Roman" w:cs="Times New Roman" w:eastAsia="Times New Roman" w:hAnsi="Times New Roman"/>
          <w:sz w:val="22"/>
          <w:szCs w:val="22"/>
          <w:color w:val="auto"/>
        </w:rPr>
        <w:t>(the “Expiration Date”). Notwithstanding anything herein to the contrary, this Option shall not be exercisable after the Expiration Date.</w:t>
      </w:r>
    </w:p>
    <w:p>
      <w:pPr>
        <w:sectPr>
          <w:pgSz w:w="11900" w:h="16838" w:orient="portrait"/>
          <w:cols w:equalWidth="0" w:num="1">
            <w:col w:w="11240"/>
          </w:cols>
          <w:pgMar w:left="320" w:top="33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80" w:firstLine="648"/>
        <w:spacing w:after="0" w:line="274" w:lineRule="auto"/>
        <w:rPr>
          <w:sz w:val="20"/>
          <w:szCs w:val="20"/>
          <w:color w:val="auto"/>
        </w:rPr>
      </w:pPr>
      <w:r>
        <w:rPr>
          <w:rFonts w:ascii="Times New Roman" w:cs="Times New Roman" w:eastAsia="Times New Roman" w:hAnsi="Times New Roman"/>
          <w:sz w:val="21"/>
          <w:szCs w:val="21"/>
          <w:b w:val="1"/>
          <w:bCs w:val="1"/>
          <w:u w:val="single" w:color="auto"/>
          <w:color w:val="auto"/>
        </w:rPr>
        <w:t>Exercise of Option</w:t>
      </w:r>
      <w:r>
        <w:rPr>
          <w:rFonts w:ascii="Times New Roman" w:cs="Times New Roman" w:eastAsia="Times New Roman" w:hAnsi="Times New Roman"/>
          <w:sz w:val="21"/>
          <w:szCs w:val="21"/>
          <w:color w:val="auto"/>
        </w:rPr>
        <w:t>. Twenty Five percent (25%) of the shares of Stock Options shall become vested each of the first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second, third and fourth anniversaries of the grant date. Any portion of the Option that becomes exercisable in accordance with the foregoing shall remain exercisable, subject to the provisions contained in this Option Agreement, until the expiration of the term of this Option as set forth above or until other termination of the Option as set forth in this Option Agreement.</w:t>
      </w:r>
    </w:p>
    <w:p>
      <w:pPr>
        <w:spacing w:after="0" w:line="157"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22"/>
          <w:szCs w:val="22"/>
          <w:color w:val="auto"/>
        </w:rPr>
        <w:t>Notwithstanding anything contained herein, no portion of the Option which has not become vested and exercisable as of the Employee’s Termination of Service or in connection with Employee’s Termination of Service shall thereafter become vested or exercisable.</w:t>
      </w:r>
    </w:p>
    <w:p>
      <w:pPr>
        <w:spacing w:after="0" w:line="200" w:lineRule="exact"/>
        <w:rPr>
          <w:sz w:val="20"/>
          <w:szCs w:val="20"/>
          <w:color w:val="auto"/>
        </w:rPr>
      </w:pPr>
    </w:p>
    <w:p>
      <w:pPr>
        <w:jc w:val="both"/>
        <w:ind w:firstLine="661"/>
        <w:spacing w:after="0" w:line="251" w:lineRule="auto"/>
        <w:rPr>
          <w:sz w:val="20"/>
          <w:szCs w:val="20"/>
          <w:color w:val="auto"/>
        </w:rPr>
      </w:pPr>
      <w:r>
        <w:rPr>
          <w:rFonts w:ascii="Times New Roman" w:cs="Times New Roman" w:eastAsia="Times New Roman" w:hAnsi="Times New Roman"/>
          <w:sz w:val="22"/>
          <w:szCs w:val="22"/>
          <w:color w:val="auto"/>
        </w:rPr>
        <w:t>For purposes of this Agreement, “Termination of Service” shall mean the time when the Employee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Employee is simultaneously reemployed by, or remains employed by, or continues to provide services to, the Company and/or one or more of its Related Corporations and Affiliates or a successor entity thereto.</w:t>
      </w:r>
    </w:p>
    <w:p>
      <w:pPr>
        <w:spacing w:after="0" w:line="20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Method of Exercising Option</w:t>
      </w:r>
      <w:r>
        <w:rPr>
          <w:rFonts w:ascii="Times New Roman" w:cs="Times New Roman" w:eastAsia="Times New Roman" w:hAnsi="Times New Roman"/>
          <w:sz w:val="22"/>
          <w:szCs w:val="22"/>
          <w:color w:val="auto"/>
        </w:rPr>
        <w:t>. Subject to the terms and conditions of this Option Agreement, the Option may be</w:t>
      </w:r>
    </w:p>
    <w:p>
      <w:pPr>
        <w:spacing w:after="0" w:line="3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2"/>
          <w:szCs w:val="22"/>
          <w:color w:val="auto"/>
        </w:rPr>
        <w:t>exercised in whole or in part by written notice to the Company, at its principal office, which currently is located at 1100 Campus Road, Princeton, New Jersey 08540.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below; and shall be accompanied by payment of the full Option price of such shares.</w:t>
      </w:r>
    </w:p>
    <w:p>
      <w:pPr>
        <w:spacing w:after="0" w:line="198" w:lineRule="exact"/>
        <w:rPr>
          <w:sz w:val="20"/>
          <w:szCs w:val="20"/>
          <w:color w:val="auto"/>
        </w:rPr>
      </w:pPr>
    </w:p>
    <w:p>
      <w:pPr>
        <w:ind w:firstLine="428"/>
        <w:spacing w:after="0" w:line="251" w:lineRule="auto"/>
        <w:rPr>
          <w:sz w:val="20"/>
          <w:szCs w:val="20"/>
          <w:color w:val="auto"/>
        </w:rPr>
      </w:pPr>
      <w:r>
        <w:rPr>
          <w:rFonts w:ascii="Times New Roman" w:cs="Times New Roman" w:eastAsia="Times New Roman" w:hAnsi="Times New Roman"/>
          <w:sz w:val="22"/>
          <w:szCs w:val="22"/>
          <w:color w:val="auto"/>
        </w:rPr>
        <w:t>The Option price shall be paid to the Company: (i) in cash; (ii) in cash equivalent; (iii) in Common Stock of the Company, in accordance with Section 7.1(f)(ii) of the Plan (as in effect on the date of this Option Agreement); (iv) by delivering a properly executed notice of exercise of the Option, in accordance with Section 7.1(f)(iii) of the Plan (as in effect on the date of this Option Agreement); (v) in Common Stock of the Company issuable pursuant to the exercise of the Option or otherwise withheld in net settlement of the Option, in accordance with Section 7.1(f)(iv) of the Plan (as in effect on the date of this Option Agreement); or (vi) by any combination of (i)-(v).</w:t>
      </w:r>
    </w:p>
    <w:p>
      <w:pPr>
        <w:spacing w:after="0" w:line="181" w:lineRule="exact"/>
        <w:rPr>
          <w:sz w:val="20"/>
          <w:szCs w:val="20"/>
          <w:color w:val="auto"/>
        </w:rPr>
      </w:pPr>
    </w:p>
    <w:p>
      <w:pPr>
        <w:ind w:right="60" w:firstLine="432"/>
        <w:spacing w:after="0" w:line="250" w:lineRule="auto"/>
        <w:rPr>
          <w:sz w:val="20"/>
          <w:szCs w:val="20"/>
          <w:color w:val="auto"/>
        </w:rPr>
      </w:pPr>
      <w:r>
        <w:rPr>
          <w:rFonts w:ascii="Times New Roman" w:cs="Times New Roman" w:eastAsia="Times New Roman" w:hAnsi="Times New Roman"/>
          <w:sz w:val="22"/>
          <w:szCs w:val="22"/>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w:t>
      </w:r>
    </w:p>
    <w:p>
      <w:pPr>
        <w:sectPr>
          <w:pgSz w:w="11900" w:h="16838" w:orient="portrait"/>
          <w:cols w:equalWidth="0" w:num="1">
            <w:col w:w="11240"/>
          </w:cols>
          <w:pgMar w:left="320" w:top="33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175"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b w:val="1"/>
          <w:bCs w:val="1"/>
          <w:u w:val="single" w:color="auto"/>
          <w:color w:val="auto"/>
        </w:rPr>
        <w:t>Shares to be Purchased for Investment</w:t>
      </w:r>
      <w:r>
        <w:rPr>
          <w:rFonts w:ascii="Times New Roman" w:cs="Times New Roman" w:eastAsia="Times New Roman" w:hAnsi="Times New Roman"/>
          <w:sz w:val="22"/>
          <w:szCs w:val="22"/>
          <w:color w:val="auto"/>
        </w:rPr>
        <w:t>. Unless the Company has theretofore notified the Employee that a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spacing w:after="0" w:line="199"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Non-Transferability of Option</w:t>
      </w:r>
      <w:r>
        <w:rPr>
          <w:rFonts w:ascii="Times New Roman" w:cs="Times New Roman" w:eastAsia="Times New Roman" w:hAnsi="Times New Roman"/>
          <w:sz w:val="22"/>
          <w:szCs w:val="22"/>
          <w:color w:val="auto"/>
        </w:rPr>
        <w:t>. This Option is not assignable or transferable, in whole or in part, by the Employee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by will or by the laws of descent and distribution, and during the lifetime of the Employee the Option shall be exercisable only by the Employee or by his or her guardian or legal representative.</w:t>
      </w:r>
    </w:p>
    <w:p>
      <w:pPr>
        <w:spacing w:after="0" w:line="1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auto"/>
        </w:rPr>
        <w:t>Termination of Service</w:t>
      </w:r>
      <w:r>
        <w:rPr>
          <w:rFonts w:ascii="Times New Roman" w:cs="Times New Roman" w:eastAsia="Times New Roman" w:hAnsi="Times New Roman"/>
          <w:sz w:val="22"/>
          <w:szCs w:val="22"/>
          <w:color w:val="auto"/>
        </w:rPr>
        <w:t>. If the Employee experiences a Termination of Service prior to the Expiration Date for any reason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by (i) death or disability or (ii) a Qualifying Termination upon a Change in Control as further described below, this Option may be exercised, to the extent of the number of shares with respect to which the Employee could have exercised it on the date of such Termination of Service, or to any greater extent permitted by the Committee, by the Employee at any time prior to the earlier of (i) the Expiration Date or (ii) six (6) months after such Termination of Service.</w:t>
      </w:r>
    </w:p>
    <w:p>
      <w:pPr>
        <w:spacing w:after="0" w:line="17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auto"/>
        </w:rPr>
        <w:t>Death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contained in this Option Agreement to the contrary, if the Employee dies during his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and Related Corporations and prior to the Expiration Date, the Option shall become fully vested and exercisable and such Option upon such death can be exercised by the Employee’s estate, personal representative or beneficiary who acquired the right to exercise such Option by bequest or inheritance or by reason of the Employee’s death, at any time prior to the earlier of (i) the Expiration Date or (ii) one year after the date of the Employee’s death.</w:t>
      </w:r>
    </w:p>
    <w:p>
      <w:pPr>
        <w:spacing w:after="0" w:line="17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Notwithstanding anything contained in this Option Agreement to the contrary, if the Employee incurs a disability,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the Plan, during his service with the Company and Related Corporations and, prior to the Expiration Date, the Employee experiences a Termination of Service as a consequence of such disability, this</w:t>
      </w:r>
    </w:p>
    <w:p>
      <w:pPr>
        <w:sectPr>
          <w:pgSz w:w="11900" w:h="16838" w:orient="portrait"/>
          <w:cols w:equalWidth="0" w:num="1">
            <w:col w:w="11240"/>
          </w:cols>
          <w:pgMar w:left="320" w:top="338"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1"/>
          <w:szCs w:val="21"/>
          <w:color w:val="auto"/>
        </w:rPr>
        <w:t>Option shall become fully vested and exercisable and such Option upon such termination due to such Disability can be exercised by the Employee, or in the event of the Employee’s legal disability, by the Employee’s legal representative, at any time prior to the earlier of (i) the Expiration Date or (ii) one year after the date of such termination of service due to such Disability.</w:t>
      </w:r>
    </w:p>
    <w:p>
      <w:pPr>
        <w:spacing w:after="0" w:line="16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Double Trigger Change in Control</w:t>
      </w:r>
      <w:r>
        <w:rPr>
          <w:rFonts w:ascii="Times New Roman" w:cs="Times New Roman" w:eastAsia="Times New Roman" w:hAnsi="Times New Roman"/>
          <w:sz w:val="22"/>
          <w:szCs w:val="22"/>
          <w:color w:val="auto"/>
        </w:rPr>
        <w:t>. Notwithstanding anything contained in this Option Agreement to the contrary, if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service with the Company and Related Corporations and prior to the Expiration Date, a Change in Control occurs and the Employee incurs a Qualifying Termination on or within twelve (12) months following the date of such Change in Control, this Option shall become fully vested and exercisable and such Option upon such Qualifying Termination can be exercised by the Employee at any time prior to the Expiration Date.</w:t>
      </w:r>
    </w:p>
    <w:p>
      <w:pPr>
        <w:spacing w:after="0" w:line="189" w:lineRule="exact"/>
        <w:rPr>
          <w:sz w:val="20"/>
          <w:szCs w:val="20"/>
          <w:color w:val="auto"/>
        </w:rPr>
      </w:pPr>
    </w:p>
    <w:p>
      <w:pPr>
        <w:ind w:left="260" w:right="20"/>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contained in the Plan or the Option Agreement to the contrary, the Option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Option under the Plan.</w:t>
      </w:r>
    </w:p>
    <w:p>
      <w:pPr>
        <w:spacing w:after="0" w:line="176"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Withholding of Taxes</w:t>
      </w:r>
      <w:r>
        <w:rPr>
          <w:rFonts w:ascii="Times New Roman" w:cs="Times New Roman" w:eastAsia="Times New Roman" w:hAnsi="Times New Roman"/>
          <w:sz w:val="22"/>
          <w:szCs w:val="22"/>
          <w:color w:val="auto"/>
        </w:rPr>
        <w:t>. The obligation of the Company to deliver shares of Common Stock upon the exercise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183" w:lineRule="exact"/>
        <w:rPr>
          <w:sz w:val="20"/>
          <w:szCs w:val="20"/>
          <w:color w:val="auto"/>
        </w:rPr>
      </w:pPr>
    </w:p>
    <w:p>
      <w:pPr>
        <w:ind w:right="300" w:firstLine="648"/>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This Option Agreement is made under and subject to the provisions of the Plan as in effect on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all of the provisions of the Plan as in effect on the Grant Date are hereby incorporated herein as provisions of this Option Agreement.</w:t>
      </w:r>
    </w:p>
    <w:p>
      <w:pPr>
        <w:spacing w:after="0" w:line="161"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Non-Qualified Stock Option Agreement shall be governed by applicable federal law and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laws of the State of Delaware.</w:t>
      </w:r>
    </w:p>
    <w:p>
      <w:pPr>
        <w:sectPr>
          <w:pgSz w:w="11900" w:h="16838" w:orient="portrait"/>
          <w:cols w:equalWidth="0" w:num="1">
            <w:col w:w="11240"/>
          </w:cols>
          <w:pgMar w:left="320" w:top="33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33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this Option Agreement has been executed and delivered by the parties hereto.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INTEGRA LIFESCIENCES</w:t>
      </w:r>
    </w:p>
    <w:p>
      <w:pPr>
        <w:spacing w:after="0" w:line="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HOLDINGS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PARTICIPANT</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-13970</wp:posOffset>
            </wp:positionV>
            <wp:extent cx="6858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548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160"/>
          </w:cols>
          <w:pgMar w:left="400" w:top="33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De Witte,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6, 2024</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Lea Knight, certify that:</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6,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6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March 31, 2024 as filed with the Securities Exchange Commission on the date hereof (the “Report”), I, Jan De Witte, President and Chief Executive Officer of the Company, hereby certify, pursuant to 18 U.S.C. §1350, as adopted pursuant to §906 of the Sarbanes-Oxley Act of 2002, that to the best of my knowledge:</w:t>
      </w:r>
    </w:p>
    <w:p>
      <w:pPr>
        <w:spacing w:after="0" w:line="203"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544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54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March 31, 2024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w:t>
      </w:r>
    </w:p>
    <w:p>
      <w:pPr>
        <w:spacing w:after="0" w:line="207"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6,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5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Roman"/>
      <w:start w:val="1"/>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amp;"/>
      <w:numFmt w:val="bullet"/>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
      <w:numFmt w:val="bullet"/>
      <w:start w:val="1"/>
    </w:lvl>
    <w:lvl w:ilvl="1">
      <w:lvlJc w:val="left"/>
      <w:lvlText w:val="%2"/>
      <w:numFmt w:val="decimal"/>
      <w:start w:val="104"/>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77" Type="http://schemas.openxmlformats.org/officeDocument/2006/relationships/hyperlink" Target="https://www.sec.gov/Archives/edgar/data/917520/000091752006000066/ex3-1aform10k031406.txt" TargetMode="External"/><Relationship Id="rId78" Type="http://schemas.openxmlformats.org/officeDocument/2006/relationships/hyperlink" Target="https://www.sec.gov/Archives/edgar/data/917520/0000889812-99-001063.txt" TargetMode="External"/><Relationship Id="rId79" Type="http://schemas.openxmlformats.org/officeDocument/2006/relationships/hyperlink" Target="https://www.sec.gov/Archives/edgar/data/917520/000095012305003217/y06769exv3w1wc.txt" TargetMode="External"/><Relationship Id="rId80" Type="http://schemas.openxmlformats.org/officeDocument/2006/relationships/hyperlink" Target="https://www.sec.gov/Archives/edgar/data/917520/000091752016000107/ex_3x1xfileddecember22x2016.htm" TargetMode="External"/><Relationship Id="rId81" Type="http://schemas.openxmlformats.org/officeDocument/2006/relationships/hyperlink" Target="https://www.sec.gov/Archives/edgar/data/917520/000091752023000015/iart-20221231xexx33.htm" TargetMode="External"/><Relationship Id="rId82" Type="http://schemas.openxmlformats.org/officeDocument/2006/relationships/hyperlink" Target="https://www.sec.gov/Archives/edgar/data/917520/000091752024000018/exhibit101_integraxlet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2024-05-06T15:19:03Z</dcterms:created>
  <dcterms:modified xsi:type="dcterms:W3CDTF">2024-05-06T15:19:03Z</dcterms:modified>
</cp:coreProperties>
</file>