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6,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6, 2024, Integra LifeSciences Holdings Corporation (the “Company”) issued a press release announcing financial results for the quarter ended March 31, 2024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and organic revenues excluding Boston, respectively, for the quarters ended March 31, 2024 and 2023, GAAP net income to adjusted earnings before interest, taxes, depreciation and amortization (“EBITDA”) for the quarters ended March 31, 2024 and 2023, GAAP net income to adjusted net income for the quarters ended March 31, 2024 and 2023, GAAP earnings per diluted share to adjusted earnings per diluted share for the quarters ended March 31, 2024 and 2023, GAAP total debt to net debt for the quarters ended March 31, 2024 and 2023, and GAAP operating cash flow to free cash flow and adjusted free cash flow conversion used by management for the quarters and twelve months ended March 31, 2024 and 2023.</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organic revenues excluding Boston,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w:t>
      </w:r>
    </w:p>
    <w:p>
      <w:pPr>
        <w:spacing w:after="0" w:line="6" w:lineRule="exact"/>
        <w:rPr>
          <w:sz w:val="20"/>
          <w:szCs w:val="20"/>
          <w:color w:val="auto"/>
        </w:rPr>
      </w:pPr>
    </w:p>
    <w:p>
      <w:pPr>
        <w:jc w:val="both"/>
        <w:ind w:firstLine="8"/>
        <w:spacing w:after="0" w:line="251"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organic revenues excluding Boston and the various adjusted EBITDA, adjusted net income, adjusted gross profit, adjusted gross margin, adjusted earnings per diluted share, net debt, free cash flow and adjusted free cash flow conversion measures provides important supplemental information to management and investors regarding financial and business trends relating to the Company's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condition and results of operations. Management uses non-GAAP financial measures in the form of organic revenues, organic revenues excluding Boston,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decrease in total revenues for the quarter ended March 31, 2024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measure of organic revenues excluding Boston that we report reflects our total revenues for the quarter ended March 31, 2024 adjusted (i) for the effects of currency exchange rates, revenues from acquisitions, and revenues from divested products on current period revenues and (ii) revenues associated with Boston-produced products including sales reported prior to the recall and the impact of sales return provisions recorded. Management believes that this measure provides useful information when evaluating the Company’s revenues because of the infrequent and/or large scale nature of the recall which can distort our current period revenues when compared to prior periods.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73" w:lineRule="exact"/>
        <w:rPr>
          <w:sz w:val="20"/>
          <w:szCs w:val="20"/>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 charges</w:t>
      </w:r>
      <w:r>
        <w:rPr>
          <w:rFonts w:ascii="Times New Roman" w:cs="Times New Roman" w:eastAsia="Times New Roman" w:hAnsi="Times New Roman"/>
          <w:sz w:val="18"/>
          <w:szCs w:val="18"/>
          <w:color w:val="auto"/>
        </w:rPr>
        <w:t>. These charges represent costs, including inventory write-offs and idle capacity charges, incurred in connection with the recall. Management excludes this item when evaluating the Company’s operating performance because of the infrequent and/or large scale nature of these activities.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77" w:lineRule="exact"/>
        <w:rPr>
          <w:sz w:val="20"/>
          <w:szCs w:val="20"/>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reported revenues to organic revenues excluding Boston, GAAP net income to adjusted EBITDA, GAAP net income to adjusted net income, GAAP gross profit to adjusted gross profit, GAAP gross margin to adjusted gross margin, and GAAP earnings per diluted share to adjusted earnings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each for the quarters ended March 31, 2024 and 2023. The Company has included reconciliations of GAAP operating cash flow to free cash flow and adjusted free cash flow conversion for the quarters and twelve months ended March 31, 2024 and 2023. The Company has included a reconciliation of GAAP total debt to net debt for the quarters ended March 31, 2024 and December 31,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May 6, 2024,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45"/>
        </w:trPr>
        <w:tc>
          <w:tcPr>
            <w:tcW w:w="3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 Knight</w:t>
            </w:r>
          </w:p>
        </w:tc>
        <w:tc>
          <w:tcPr>
            <w:tcW w:w="2820" w:type="dxa"/>
            <w:vAlign w:val="bottom"/>
          </w:tcPr>
          <w:p>
            <w:pPr>
              <w:spacing w:after="0"/>
              <w:rPr>
                <w:sz w:val="21"/>
                <w:szCs w:val="21"/>
                <w:color w:val="auto"/>
              </w:rPr>
            </w:pPr>
          </w:p>
        </w:tc>
      </w:tr>
      <w:tr>
        <w:trPr>
          <w:trHeight w:val="234"/>
        </w:trPr>
        <w:tc>
          <w:tcPr>
            <w:tcW w:w="3040" w:type="dxa"/>
            <w:vAlign w:val="bottom"/>
          </w:tcPr>
          <w:p>
            <w:pPr>
              <w:spacing w:after="0"/>
              <w:rPr>
                <w:sz w:val="20"/>
                <w:szCs w:val="20"/>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First Quarter 2024 Financial Results</w:t>
      </w:r>
    </w:p>
    <w:p>
      <w:pPr>
        <w:spacing w:after="0" w:line="245"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 xml:space="preserve">PRINCETON, N.J., May 6, 2024 -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first quarter ending March 31, 2024.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Highlights</w:t>
      </w:r>
    </w:p>
    <w:p>
      <w:pPr>
        <w:spacing w:after="0" w:line="193" w:lineRule="exact"/>
        <w:rPr>
          <w:sz w:val="20"/>
          <w:szCs w:val="20"/>
          <w:color w:val="auto"/>
        </w:rPr>
      </w:pPr>
    </w:p>
    <w:p>
      <w:pPr>
        <w:ind w:left="660" w:right="22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revenues of $368.9 million declined 3.1% on a reported basis and declined 2.5% on an organic basis compared to the prior year. Revenue increased 1.6% on an organic basis excluding Boston</w:t>
      </w:r>
    </w:p>
    <w:p>
      <w:pPr>
        <w:spacing w:after="0" w:line="199"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First quarter GAAP earnings per diluted share of $(0.04), compared to $0.29 in the prior year; adjusted earnings per diluted share of $0.55, compared to $0.74 in the prior year</w:t>
      </w:r>
    </w:p>
    <w:p>
      <w:pPr>
        <w:spacing w:after="0" w:line="21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Completed the acquisition of the Acclarent, Inc. on April 1</w:t>
      </w:r>
    </w:p>
    <w:p>
      <w:pPr>
        <w:spacing w:after="0" w:line="246" w:lineRule="exact"/>
        <w:rPr>
          <w:rFonts w:ascii="Arial" w:cs="Arial" w:eastAsia="Arial" w:hAnsi="Arial"/>
          <w:sz w:val="22"/>
          <w:szCs w:val="22"/>
          <w:color w:val="auto"/>
        </w:rPr>
      </w:pPr>
    </w:p>
    <w:p>
      <w:pPr>
        <w:ind w:left="660" w:hanging="328"/>
        <w:spacing w:after="0" w:line="248"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Updating full-year 2024 revenue guidance to a range of $1.672 billion to $1.687 billion from a range of $1.603 billion to $1.618 billion to include the close of the Acclarent acquisition, adding approximately $80 million to guidance, and updated expectations for the relaunch of SurgiMend® and PriMatrix®</w:t>
      </w:r>
    </w:p>
    <w:p>
      <w:pPr>
        <w:spacing w:after="0" w:line="200" w:lineRule="exact"/>
        <w:rPr>
          <w:sz w:val="20"/>
          <w:szCs w:val="20"/>
          <w:color w:val="auto"/>
        </w:rPr>
      </w:pPr>
    </w:p>
    <w:p>
      <w:pPr>
        <w:spacing w:after="0" w:line="2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pleased with our strong first quarter financial performance, which reflects the strength of our diversified portfolio and the unwavering commitment of our colleagues worldwide to our customers and patients,” said Jan De Witte, Integra LifeSciences' president and chief executive officer. “As we look to the rest of the year, we remain focused on executing our key priorities, particularly on enhancing quality, reliability and resilience of our manufacturing operations and supply chain, advancing our new product pipeline, and integrating the Acclarent business and welcoming our new colleagues.”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Consolidated Performance</w:t>
      </w:r>
    </w:p>
    <w:p>
      <w:pPr>
        <w:spacing w:after="0" w:line="24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Total reported revenues of $368.9 million declined 3.1% on a reported basis and declined 2.5% on an organic basis compared to the prior year. Organic growth excluding Boston was 1.6%. Revenue exceeded the outlook the Company provided in February.</w:t>
      </w:r>
    </w:p>
    <w:p>
      <w:pPr>
        <w:spacing w:after="0" w:line="11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Company reported GAAP gross margin of 56.1%, compared to 61.1% in the first quarter of 2023. Adjusted gross margin was 64.4%, compared to 67.3% in the prior year.</w:t>
      </w:r>
    </w:p>
    <w:p>
      <w:pPr>
        <w:spacing w:after="0" w:line="13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 xml:space="preserve">Adjusted EBITDA for the first quarter of 2024 was $71.8 million, or </w:t>
      </w:r>
      <w:r>
        <w:rPr>
          <w:rFonts w:ascii="Times New Roman" w:cs="Times New Roman" w:eastAsia="Times New Roman" w:hAnsi="Times New Roman"/>
          <w:sz w:val="17"/>
          <w:szCs w:val="17"/>
          <w:color w:val="auto"/>
        </w:rPr>
        <w:t>19.5%</w:t>
      </w:r>
      <w:r>
        <w:rPr>
          <w:rFonts w:ascii="Times New Roman" w:cs="Times New Roman" w:eastAsia="Times New Roman" w:hAnsi="Times New Roman"/>
          <w:sz w:val="20"/>
          <w:szCs w:val="20"/>
          <w:color w:val="auto"/>
        </w:rPr>
        <w:t xml:space="preserve"> of revenue, compared to $92.3 million, or 24.2% of revenue, in the prior year.</w:t>
      </w:r>
    </w:p>
    <w:p>
      <w:pPr>
        <w:spacing w:after="0" w:line="11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The Company reported a GAAP net loss of $(3.3) million, or $(0.04) per diluted share, in the first quarter of 2024, compared to a GAAP net income of $24.2 million, or $0.29 per diluted share, in the prior year.</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Adjusted net income for the first quarter of 2024 was $43.0 million, or $0.55 per diluted share, compared to $60.7 million or $0.74 per diluted share, in the prior year.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Segment Performance</w:t>
      </w:r>
    </w:p>
    <w:p>
      <w:pPr>
        <w:sectPr>
          <w:pgSz w:w="11900" w:h="16838" w:orient="portrait"/>
          <w:cols w:equalWidth="0" w:num="1">
            <w:col w:w="11140"/>
          </w:cols>
          <w:pgMar w:left="320" w:top="871" w:right="4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20"/>
          <w:szCs w:val="20"/>
          <w:b w:val="1"/>
          <w:bCs w:val="1"/>
          <w:color w:val="auto"/>
        </w:rPr>
        <w:t>Codman Specialty Surgical (~70% of Revenues)</w:t>
      </w:r>
    </w:p>
    <w:p>
      <w:pPr>
        <w:spacing w:after="0" w:line="193" w:lineRule="exact"/>
        <w:rPr>
          <w:sz w:val="20"/>
          <w:szCs w:val="20"/>
          <w:color w:val="auto"/>
        </w:rPr>
      </w:pPr>
    </w:p>
    <w:p>
      <w:pPr>
        <w:ind w:left="660" w:right="140"/>
        <w:spacing w:after="0" w:line="243" w:lineRule="auto"/>
        <w:rPr>
          <w:sz w:val="20"/>
          <w:szCs w:val="20"/>
          <w:color w:val="auto"/>
        </w:rPr>
      </w:pPr>
      <w:r>
        <w:rPr>
          <w:rFonts w:ascii="Times New Roman" w:cs="Times New Roman" w:eastAsia="Times New Roman" w:hAnsi="Times New Roman"/>
          <w:sz w:val="20"/>
          <w:szCs w:val="20"/>
          <w:color w:val="auto"/>
        </w:rPr>
        <w:t>Total revenues were $256.4 million, representing reported growth of 3.3% and organic growth of 4.4% compared to the first quarter of 2023.</w:t>
      </w:r>
    </w:p>
    <w:p>
      <w:pPr>
        <w:ind w:left="660"/>
        <w:spacing w:after="0" w:line="227" w:lineRule="auto"/>
        <w:rPr>
          <w:sz w:val="20"/>
          <w:szCs w:val="20"/>
          <w:color w:val="auto"/>
        </w:rPr>
      </w:pPr>
      <w:r>
        <w:rPr>
          <w:rFonts w:ascii="Times New Roman" w:cs="Times New Roman" w:eastAsia="Times New Roman" w:hAnsi="Times New Roman"/>
          <w:sz w:val="20"/>
          <w:szCs w:val="20"/>
          <w:color w:val="auto"/>
        </w:rPr>
        <w:t>Sales in Neurosurgery grew 6.3% on an organic basis. Key drivers for the quarter include:</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CSF management grew mid-single digits driven by Certas® Plus valves</w:t>
      </w:r>
    </w:p>
    <w:p>
      <w:pPr>
        <w:ind w:left="1300" w:hanging="320"/>
        <w:spacing w:after="0" w:line="225"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Mid-single-digit growth in dural access and repair driven by DuraGen®</w:t>
      </w:r>
    </w:p>
    <w:p>
      <w:pPr>
        <w:ind w:left="1300" w:hanging="320"/>
        <w:spacing w:after="0" w:line="225"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Neuro monitoring grew low-double digits driven by CereLink</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energy was down by low-single digits driven by lower CUSA® capital partially offset by CUSA disposables</w:t>
      </w:r>
    </w:p>
    <w:p>
      <w:pPr>
        <w:ind w:left="1300" w:hanging="320"/>
        <w:spacing w:after="0" w:line="225"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Instruments declined 2.0% on an organic basis</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international markets grew high-single digits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Tissue Technologies (~30% of Revenues)</w:t>
      </w:r>
    </w:p>
    <w:p>
      <w:pPr>
        <w:spacing w:after="0" w:line="247" w:lineRule="exact"/>
        <w:rPr>
          <w:sz w:val="20"/>
          <w:szCs w:val="20"/>
          <w:color w:val="auto"/>
        </w:rPr>
      </w:pPr>
    </w:p>
    <w:p>
      <w:pPr>
        <w:ind w:left="660" w:right="260"/>
        <w:spacing w:after="0" w:line="237" w:lineRule="auto"/>
        <w:rPr>
          <w:sz w:val="20"/>
          <w:szCs w:val="20"/>
          <w:color w:val="auto"/>
        </w:rPr>
      </w:pPr>
      <w:r>
        <w:rPr>
          <w:rFonts w:ascii="Times New Roman" w:cs="Times New Roman" w:eastAsia="Times New Roman" w:hAnsi="Times New Roman"/>
          <w:sz w:val="20"/>
          <w:szCs w:val="20"/>
          <w:color w:val="auto"/>
        </w:rPr>
        <w:t>Total revenues were $112.4 million, representing reported decline of 15.3% and organic decline of 15.3% compared to the first quarter of 2023 primarily driven by the Impact of the Boston product recall. Tissue Technologies sales were down 4.4% excluding Boston. Additional drivers for the quarter include:</w:t>
      </w:r>
    </w:p>
    <w:p>
      <w:pPr>
        <w:ind w:left="1300" w:hanging="320"/>
        <w:spacing w:after="0" w:line="227"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Triple-digit growth for DuraSorb®</w:t>
      </w:r>
    </w:p>
    <w:p>
      <w:pPr>
        <w:ind w:left="1300" w:hanging="320"/>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Mid-double-digit growth in Gentrix®</w:t>
      </w:r>
    </w:p>
    <w:p>
      <w:pPr>
        <w:ind w:left="1300" w:hanging="320"/>
        <w:spacing w:after="0" w:line="225"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double-digit decline in Integra Skin, MediHoney® and MicroMatrix®</w:t>
      </w:r>
    </w:p>
    <w:p>
      <w:pPr>
        <w:ind w:left="1300" w:hanging="320"/>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private label declined 0.6% on an organic basis, and increased 0.7% excluding Boston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Advancing our strategy</w:t>
      </w:r>
    </w:p>
    <w:p>
      <w:pPr>
        <w:spacing w:after="0" w:line="23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demand for Integra's diverse portfolio of leading brands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successful market uptake of CereLink®</w:t>
      </w:r>
    </w:p>
    <w:p>
      <w:pPr>
        <w:ind w:left="660" w:right="760" w:hanging="328"/>
        <w:spacing w:after="0" w:line="232"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Maintained growth momentum in International and expanded international portfolio for CUSA®; CereLink; DuraSeal® and MediHoney®</w:t>
      </w:r>
    </w:p>
    <w:p>
      <w:pPr>
        <w:ind w:left="660" w:right="80" w:hanging="328"/>
        <w:spacing w:after="0" w:line="225"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the acquisition of Acclarent, Inc., building a leadership position for Integra in the ENT segment and providing immediate scale and accretive growth via a dedicated sales channel</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DuraSorb® ahead of the deal model, acquisition-to-date</w:t>
      </w: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the UBM platform with the launch of MicroMatrix® Flex</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Update</w:t>
      </w:r>
    </w:p>
    <w:p>
      <w:pPr>
        <w:spacing w:after="0" w:line="21"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audit yielded more findings than anticipated</w:t>
      </w: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Currently evaluating the timeline to address the findings and resume commercial distribution</w:t>
      </w: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Removing SurgiMend and PriMatrix from 2024 guidance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7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color w:val="auto"/>
        </w:rPr>
        <w:t>The Company generated cash flow from operations of $15.8 million in the quarter. Total balance sheet debt and net debt at the end of the quarter were $1.86 billion and $1.20 billion, respectively, and the consolidated total leverage ratio was 3.2x.</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of quarter end, the Company had total liquidity of approximately $1.54 billion, including $663 million in cash plus short-term investments and the remainder available under its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Outlook</w:t>
      </w:r>
    </w:p>
    <w:p>
      <w:pPr>
        <w:spacing w:after="0" w:line="17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color w:val="auto"/>
        </w:rPr>
        <w:t>For the full year 2024, the Company is updating its revenue and adjusted EPS expectations to $1.672 to $1.687 billion and $3.01 to $3.11, respectively. The revenue range represents reported growth of 8.4% to 9.4%, with organic growth of 3.3% to 4.3%, reflecting the completion of the Acclarent acquisition and the removal of approximately $10 million of revenue from the relaunch of SurgiMend and PriMatrix beginning in the second half.</w:t>
      </w:r>
    </w:p>
    <w:p>
      <w:pPr>
        <w:sectPr>
          <w:pgSz w:w="11900" w:h="16838" w:orient="portrait"/>
          <w:cols w:equalWidth="0" w:num="1">
            <w:col w:w="11240"/>
          </w:cols>
          <w:pgMar w:left="320" w:top="882" w:right="339" w:bottom="1440" w:gutter="0" w:footer="0" w:header="0"/>
        </w:sectPr>
      </w:pPr>
    </w:p>
    <w:bookmarkStart w:id="8" w:name="page9"/>
    <w:bookmarkEnd w:id="8"/>
    <w:p>
      <w:pPr>
        <w:ind w:right="20"/>
        <w:spacing w:after="0" w:line="247" w:lineRule="auto"/>
        <w:rPr>
          <w:sz w:val="20"/>
          <w:szCs w:val="20"/>
          <w:color w:val="auto"/>
        </w:rPr>
      </w:pPr>
      <w:r>
        <w:rPr>
          <w:rFonts w:ascii="Times New Roman" w:cs="Times New Roman" w:eastAsia="Times New Roman" w:hAnsi="Times New Roman"/>
          <w:sz w:val="20"/>
          <w:szCs w:val="20"/>
          <w:color w:val="auto"/>
        </w:rPr>
        <w:t>For the second quarter 2024, the Company expects reported revenues in the range of $411 million to $416 million, representing reported growth of 7.8% to 9.1% and organic growth of 1.3% to 2.6%, reflecting the better than expected first quarter performance and the completion of the Acclarent acquisition. Adjusted earnings per diluted share are expected to be in the range of $0.60 to $0.65.</w:t>
      </w:r>
    </w:p>
    <w:p>
      <w:pPr>
        <w:spacing w:after="0" w:line="19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second quarter and the full-year excludes acquisitions and divestitures, as well as the effects of foreign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Integra has scheduled a conference call for 8:30 a.m. ET on Monday May 6, 2024, to discuss first quarter 2024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w:t>
      </w:r>
      <w:r>
        <w:rPr>
          <w:rFonts w:ascii="Times New Roman" w:cs="Times New Roman" w:eastAsia="Times New Roman" w:hAnsi="Times New Roman"/>
          <w:sz w:val="19"/>
          <w:szCs w:val="19"/>
          <w:u w:val="single" w:color="auto"/>
          <w:color w:val="auto"/>
        </w:rPr>
        <w:t>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investor.integralife.com.</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A live webcast will be available on the Investors section of the Company’s website at investor.integralife.com. For those planning to participate on the call, register here to receive dial-in details and an individual pin. While not required, it is recommended to join 10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-23495</wp:posOffset>
            </wp:positionV>
            <wp:extent cx="31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right="740"/>
        <w:spacing w:after="0" w:line="246" w:lineRule="auto"/>
        <w:rPr>
          <w:sz w:val="20"/>
          <w:szCs w:val="20"/>
          <w:color w:val="auto"/>
        </w:rPr>
      </w:pPr>
      <w:r>
        <w:rPr>
          <w:rFonts w:ascii="Times New Roman" w:cs="Times New Roman" w:eastAsia="Times New Roman" w:hAnsi="Times New Roman"/>
          <w:sz w:val="20"/>
          <w:szCs w:val="20"/>
          <w:color w:val="auto"/>
        </w:rPr>
        <w:t>prior to the event’s start. A webcast replay of the conference call will be available on the Investors section of the Company’s website following the call.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6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At Integra LifeSciences, we are driven by our purpose of restoring patients’ lives. We innovate treatment pathways to advance patient outcomes and set new standards of surgical, neurologic, and regenerative care. We offer a comprehensive portfolio of high quality, leadership brands that include Acclarent®, AmnioExcel®, Aurora®, Bactiseal®, BioD™, CerebroFlo®, CereLink® Certas® Plus, Codman®, CUSA®, Cytal®, DuraGen®, DuraSeal®, DuraSorb®, Gentrix®, ICP Express®, Integra®, Licox®, MAYFIELD®, MediHoney®, MicroFrance®, MicroMatrix®, NeuraGen®, NeuraWrap™, PriMatrix®, SurgiMend®, TCC-EZ® and VersaTru®. For the latest news and information about Integra and its products, please visit </w:t>
      </w:r>
      <w:r>
        <w:rPr>
          <w:rFonts w:ascii="Times New Roman" w:cs="Times New Roman" w:eastAsia="Times New Roman" w:hAnsi="Times New Roman"/>
          <w:sz w:val="21"/>
          <w:szCs w:val="21"/>
          <w:color w:val="0000FF"/>
        </w:rPr>
        <w:t>www.integralife.com.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19"/>
          <w:szCs w:val="19"/>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9"/>
          <w:szCs w:val="19"/>
          <w:color w:val="auto"/>
        </w:rPr>
        <w:t>historical fact, are statements that could be deemed forward-looking statements. Some of these forward-looking statements may contain words like “will,” “believe,” “may,” “could,” “would,” “might,” “possible,” “should,” “expect,” “intend,” "forecast," "guidance," “plan,”</w:t>
      </w:r>
    </w:p>
    <w:p>
      <w:pPr>
        <w:spacing w:after="0" w:line="227" w:lineRule="auto"/>
        <w:rPr>
          <w:sz w:val="20"/>
          <w:szCs w:val="20"/>
          <w:color w:val="auto"/>
        </w:rPr>
      </w:pPr>
      <w:r>
        <w:rPr>
          <w:rFonts w:ascii="Times New Roman" w:cs="Times New Roman" w:eastAsia="Times New Roman" w:hAnsi="Times New Roman"/>
          <w:sz w:val="20"/>
          <w:szCs w:val="20"/>
          <w:color w:val="auto"/>
        </w:rPr>
        <w:t>“anticipate,” "target," or “continue,” the negative of these words, other terms of similar meaning or they may use future dates. Forward-</w:t>
      </w:r>
    </w:p>
    <w:p>
      <w:pPr>
        <w:ind w:right="640"/>
        <w:spacing w:after="0" w:line="229" w:lineRule="auto"/>
        <w:rPr>
          <w:sz w:val="20"/>
          <w:szCs w:val="20"/>
          <w:color w:val="auto"/>
        </w:rPr>
      </w:pPr>
      <w:r>
        <w:rPr>
          <w:rFonts w:ascii="Times New Roman" w:cs="Times New Roman" w:eastAsia="Times New Roman" w:hAnsi="Times New Roman"/>
          <w:sz w:val="19"/>
          <w:szCs w:val="19"/>
          <w:color w:val="auto"/>
        </w:rPr>
        <w:t>looking statements contained in this news release include, but are not limited to, statements concerning: future financial performance, including projections for revenues, expected revenue growth (both reported and organic), GAAP and adjusted net income, GAAP and</w:t>
      </w:r>
    </w:p>
    <w:p>
      <w:pPr>
        <w:spacing w:after="0" w:line="227" w:lineRule="auto"/>
        <w:rPr>
          <w:sz w:val="20"/>
          <w:szCs w:val="20"/>
          <w:color w:val="auto"/>
        </w:rPr>
      </w:pPr>
      <w:r>
        <w:rPr>
          <w:rFonts w:ascii="Times New Roman" w:cs="Times New Roman" w:eastAsia="Times New Roman" w:hAnsi="Times New Roman"/>
          <w:sz w:val="20"/>
          <w:szCs w:val="20"/>
          <w:color w:val="auto"/>
        </w:rPr>
        <w:t>adjusted earnings per diluted share, non-GAAP adjustments such as divestiture, acquisition and integration-related charges, intangible asset</w:t>
      </w:r>
    </w:p>
    <w:p>
      <w:pPr>
        <w:spacing w:after="0" w:line="218" w:lineRule="auto"/>
        <w:rPr>
          <w:sz w:val="20"/>
          <w:szCs w:val="20"/>
          <w:color w:val="auto"/>
        </w:rPr>
      </w:pPr>
      <w:r>
        <w:rPr>
          <w:rFonts w:ascii="Times New Roman" w:cs="Times New Roman" w:eastAsia="Times New Roman" w:hAnsi="Times New Roman"/>
          <w:sz w:val="20"/>
          <w:szCs w:val="20"/>
          <w:color w:val="auto"/>
        </w:rPr>
        <w:t>amortization, structural optimization charges, EU Medical Device Regulation-related charges, charges related to the voluntary global recall of all products manufactured at the Company’s facility in Boston, Massachusetts, and income tax expense (benefit) related to non-GAAP</w:t>
      </w:r>
    </w:p>
    <w:p>
      <w:pPr>
        <w:spacing w:after="0" w:line="226" w:lineRule="auto"/>
        <w:rPr>
          <w:sz w:val="20"/>
          <w:szCs w:val="20"/>
          <w:color w:val="auto"/>
        </w:rPr>
      </w:pPr>
      <w:r>
        <w:rPr>
          <w:rFonts w:ascii="Times New Roman" w:cs="Times New Roman" w:eastAsia="Times New Roman" w:hAnsi="Times New Roman"/>
          <w:sz w:val="20"/>
          <w:szCs w:val="20"/>
          <w:color w:val="auto"/>
        </w:rPr>
        <w:t>adjustments and other items; the anticipated financial impact of the completion of the Acclarent, Inc. (“Acclarent”) acquisition on the</w:t>
      </w:r>
    </w:p>
    <w:p>
      <w:pPr>
        <w:ind w:right="80"/>
        <w:spacing w:after="0" w:line="229" w:lineRule="auto"/>
        <w:rPr>
          <w:sz w:val="20"/>
          <w:szCs w:val="20"/>
          <w:color w:val="auto"/>
        </w:rPr>
      </w:pPr>
      <w:r>
        <w:rPr>
          <w:rFonts w:ascii="Times New Roman" w:cs="Times New Roman" w:eastAsia="Times New Roman" w:hAnsi="Times New Roman"/>
          <w:sz w:val="19"/>
          <w:szCs w:val="19"/>
          <w:color w:val="auto"/>
        </w:rPr>
        <w:t>Company’s operating results; the anticipated benefits to the Company arising from the completion of the Acclarent acquisition; and the Company’s expectations and plans with respect to business and operational performance, strategic initiatives, capabilities, resources, product</w:t>
      </w:r>
    </w:p>
    <w:p>
      <w:pPr>
        <w:spacing w:after="0" w:line="2"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9"/>
          <w:szCs w:val="19"/>
          <w:color w:val="auto"/>
        </w:rPr>
        <w:t>development and regulatory approvals, including expectations concerning the resumption of manufacturing at the Company’s Boston, Massachusetts facility. It is important to note that the Company’s goals and expectations are not predictions of actual performance. Such</w:t>
      </w:r>
    </w:p>
    <w:p>
      <w:pPr>
        <w:spacing w:after="0" w:line="1"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forward-looking statements involve risks and uncertainties that could cause actual results to differ materially from predicted or expected results. Such risks and uncertainties include, but are not limited, to the following: the ongoing and possible future effects of global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challenges, including macroeconomic</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uncertainties, inflation, supply chain disruptions, trade regulation and tariffs, bank failures and other economic disruptions, and U.S. and</w:t>
      </w:r>
    </w:p>
    <w:p>
      <w:pPr>
        <w:spacing w:after="0" w:line="8"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9"/>
          <w:szCs w:val="19"/>
          <w:color w:val="auto"/>
        </w:rPr>
        <w:t>global recession concerns, on the Company’s customers and on the Company’s business, financial condition, results of operations and cash flows; the Company's ability to execute its operating plan effectively; the Company’s ability to successfully integrate Acclarent and other</w:t>
      </w:r>
    </w:p>
    <w:p>
      <w:pPr>
        <w:spacing w:after="0" w:line="227" w:lineRule="auto"/>
        <w:rPr>
          <w:sz w:val="20"/>
          <w:szCs w:val="20"/>
          <w:color w:val="auto"/>
        </w:rPr>
      </w:pPr>
      <w:r>
        <w:rPr>
          <w:rFonts w:ascii="Times New Roman" w:cs="Times New Roman" w:eastAsia="Times New Roman" w:hAnsi="Times New Roman"/>
          <w:sz w:val="20"/>
          <w:szCs w:val="20"/>
          <w:color w:val="auto"/>
        </w:rPr>
        <w:t>acquired businesses; the Company’s ability to achieve sales growth in a timely fashion; the Company's ability to manufacture and ship</w:t>
      </w:r>
    </w:p>
    <w:p>
      <w:pPr>
        <w:ind w:right="340"/>
        <w:spacing w:after="0" w:line="229" w:lineRule="auto"/>
        <w:rPr>
          <w:sz w:val="20"/>
          <w:szCs w:val="20"/>
          <w:color w:val="auto"/>
        </w:rPr>
      </w:pPr>
      <w:r>
        <w:rPr>
          <w:rFonts w:ascii="Times New Roman" w:cs="Times New Roman" w:eastAsia="Times New Roman" w:hAnsi="Times New Roman"/>
          <w:sz w:val="19"/>
          <w:szCs w:val="19"/>
          <w:color w:val="auto"/>
        </w:rPr>
        <w:t>sufficient quantities of its products to meet its customers' demands; the ability of third-party suppliers to supply us with raw materials and finished products; global macroeconomic and political conditions, including the war in Ukraine and the conflict in Israel and Gaza; the</w:t>
      </w:r>
    </w:p>
    <w:p>
      <w:pPr>
        <w:spacing w:after="0" w:line="2"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9"/>
          <w:szCs w:val="19"/>
          <w:color w:val="auto"/>
        </w:rPr>
        <w:t>Company's ability to manage its direct sales channels effectively; the sales performance of third-party distributors on whom the Company relies to generate revenue for certain products and geographic regions; the Company's ability to access and maintain relationships with</w:t>
      </w:r>
    </w:p>
    <w:p>
      <w:pPr>
        <w:spacing w:after="0" w:line="1" w:lineRule="exact"/>
        <w:rPr>
          <w:sz w:val="20"/>
          <w:szCs w:val="20"/>
          <w:color w:val="auto"/>
        </w:rPr>
      </w:pPr>
    </w:p>
    <w:p>
      <w:pPr>
        <w:jc w:val="both"/>
        <w:ind w:right="420"/>
        <w:spacing w:after="0" w:line="229" w:lineRule="auto"/>
        <w:rPr>
          <w:sz w:val="20"/>
          <w:szCs w:val="20"/>
          <w:color w:val="auto"/>
        </w:rPr>
      </w:pPr>
      <w:r>
        <w:rPr>
          <w:rFonts w:ascii="Times New Roman" w:cs="Times New Roman" w:eastAsia="Times New Roman" w:hAnsi="Times New Roman"/>
          <w:sz w:val="19"/>
          <w:szCs w:val="19"/>
          <w:color w:val="auto"/>
        </w:rPr>
        <w:t>customers of acquired entities and businesses; physicians' willingness to adopt and third-party payors' willingness to provide or maintain reimbursement for the Company's recently launched, planned and existing products; initiatives launched by the Company's competitors;</w:t>
      </w:r>
    </w:p>
    <w:p>
      <w:pPr>
        <w:spacing w:after="0" w:line="227" w:lineRule="auto"/>
        <w:rPr>
          <w:sz w:val="20"/>
          <w:szCs w:val="20"/>
          <w:color w:val="auto"/>
        </w:rPr>
      </w:pPr>
      <w:r>
        <w:rPr>
          <w:rFonts w:ascii="Times New Roman" w:cs="Times New Roman" w:eastAsia="Times New Roman" w:hAnsi="Times New Roman"/>
          <w:sz w:val="20"/>
          <w:szCs w:val="20"/>
          <w:color w:val="auto"/>
        </w:rPr>
        <w:t>downward pricing pressures from customers; the Company's ability to secure regulatory approval for products in development; the</w:t>
      </w:r>
    </w:p>
    <w:p>
      <w:pPr>
        <w:ind w:right="100"/>
        <w:spacing w:after="0" w:line="229" w:lineRule="auto"/>
        <w:rPr>
          <w:sz w:val="20"/>
          <w:szCs w:val="20"/>
          <w:color w:val="auto"/>
        </w:rPr>
      </w:pPr>
      <w:r>
        <w:rPr>
          <w:rFonts w:ascii="Times New Roman" w:cs="Times New Roman" w:eastAsia="Times New Roman" w:hAnsi="Times New Roman"/>
          <w:sz w:val="19"/>
          <w:szCs w:val="19"/>
          <w:color w:val="auto"/>
        </w:rPr>
        <w:t>Company's ability to remediate quality systems violations; fluctuations in hospitals' spending for capital equipment; uncertainties inherent in the development of new products and the enhancement of existing products, including FDA approval and/or clearance and other regulatory</w:t>
      </w:r>
    </w:p>
    <w:p>
      <w:pPr>
        <w:spacing w:after="0" w:line="227" w:lineRule="auto"/>
        <w:rPr>
          <w:sz w:val="20"/>
          <w:szCs w:val="20"/>
          <w:color w:val="auto"/>
        </w:rPr>
      </w:pPr>
      <w:r>
        <w:rPr>
          <w:rFonts w:ascii="Times New Roman" w:cs="Times New Roman" w:eastAsia="Times New Roman" w:hAnsi="Times New Roman"/>
          <w:sz w:val="20"/>
          <w:szCs w:val="20"/>
          <w:color w:val="auto"/>
        </w:rPr>
        <w:t>risks, technical risks, cost overruns and delays; the Company's ability to comply with regulations regarding products of human origin and</w:t>
      </w:r>
    </w:p>
    <w:p>
      <w:pPr>
        <w:spacing w:after="0" w:line="229" w:lineRule="auto"/>
        <w:rPr>
          <w:sz w:val="20"/>
          <w:szCs w:val="20"/>
          <w:color w:val="auto"/>
        </w:rPr>
      </w:pPr>
      <w:r>
        <w:rPr>
          <w:rFonts w:ascii="Times New Roman" w:cs="Times New Roman" w:eastAsia="Times New Roman" w:hAnsi="Times New Roman"/>
          <w:sz w:val="19"/>
          <w:szCs w:val="19"/>
          <w:color w:val="auto"/>
        </w:rPr>
        <w:t>products containing materials derived from animal source; difficulties in controlling expenses, including costs to procure and manufacture the Company’s products; the ability of the Company to successfully manage leadership and organizational changes and the impact of changes in</w:t>
      </w:r>
    </w:p>
    <w:p>
      <w:pPr>
        <w:spacing w:after="0"/>
        <w:rPr>
          <w:sz w:val="20"/>
          <w:szCs w:val="20"/>
          <w:color w:val="auto"/>
        </w:rPr>
      </w:pPr>
      <w:r>
        <w:rPr>
          <w:rFonts w:ascii="Times New Roman" w:cs="Times New Roman" w:eastAsia="Times New Roman" w:hAnsi="Times New Roman"/>
          <w:sz w:val="19"/>
          <w:szCs w:val="19"/>
          <w:color w:val="auto"/>
        </w:rPr>
        <w:t>management or staff levels; the impact of goodwill and intangible asset impairment charges if future operating results of acquired businesses</w:t>
      </w:r>
    </w:p>
    <w:p>
      <w:pPr>
        <w:ind w:right="220"/>
        <w:spacing w:after="0" w:line="229" w:lineRule="auto"/>
        <w:rPr>
          <w:sz w:val="20"/>
          <w:szCs w:val="20"/>
          <w:color w:val="auto"/>
        </w:rPr>
      </w:pPr>
      <w:r>
        <w:rPr>
          <w:rFonts w:ascii="Times New Roman" w:cs="Times New Roman" w:eastAsia="Times New Roman" w:hAnsi="Times New Roman"/>
          <w:sz w:val="19"/>
          <w:szCs w:val="19"/>
          <w:color w:val="auto"/>
        </w:rPr>
        <w:t>are significantly less than the results anticipated at the time of the acquisitions, the Company's ability to leverage its existing selling organizations and administrative infrastructure; the Company's ability to increase product sales and gross margins, and control non-product</w:t>
      </w:r>
    </w:p>
    <w:p>
      <w:pPr>
        <w:spacing w:after="0"/>
        <w:rPr>
          <w:sz w:val="20"/>
          <w:szCs w:val="20"/>
          <w:color w:val="auto"/>
        </w:rPr>
      </w:pPr>
      <w:r>
        <w:rPr>
          <w:rFonts w:ascii="Times New Roman" w:cs="Times New Roman" w:eastAsia="Times New Roman" w:hAnsi="Times New Roman"/>
          <w:sz w:val="19"/>
          <w:szCs w:val="19"/>
          <w:color w:val="auto"/>
        </w:rPr>
        <w:t>costs; the Company’s ability to achieve anticipated growth rates, margins and scale and execute its strategy generally; the amount and timing</w:t>
      </w:r>
    </w:p>
    <w:p>
      <w:pPr>
        <w:ind w:right="20"/>
        <w:spacing w:after="0" w:line="229" w:lineRule="auto"/>
        <w:rPr>
          <w:sz w:val="20"/>
          <w:szCs w:val="20"/>
          <w:color w:val="auto"/>
        </w:rPr>
      </w:pPr>
      <w:r>
        <w:rPr>
          <w:rFonts w:ascii="Times New Roman" w:cs="Times New Roman" w:eastAsia="Times New Roman" w:hAnsi="Times New Roman"/>
          <w:sz w:val="19"/>
          <w:szCs w:val="19"/>
          <w:color w:val="auto"/>
        </w:rPr>
        <w:t>of divestiture, acquisition and integration-related costs; the geographic distribution of where the Company generates its taxable income; new U.S. and foreign government laws and regulations, and changes in existing laws, regulations and enforcement guidance, which affect areas of</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our operations including, but not limited to, those affecting the health care industry, including the EU Medical Device Regulation; the scope, duration and effect of U.S. and international governmental, regulatory, fiscal, monetary and public health responses to any future public health crises; fluctuations in foreign currency exchange rates; the amount of our bank borrowings outstanding and other factors influencing liquidity; potential negative impacts resulting from environmental, social and governance matters; and the economic, competitive, governmental, technological, and other risk factors and uncertainties identified under the heading “Risk Factors” included in Item 1A of</w:t>
      </w:r>
    </w:p>
    <w:p>
      <w:pPr>
        <w:spacing w:after="0" w:line="1" w:lineRule="exact"/>
        <w:rPr>
          <w:sz w:val="20"/>
          <w:szCs w:val="20"/>
          <w:color w:val="auto"/>
        </w:rPr>
      </w:pPr>
    </w:p>
    <w:p>
      <w:pPr>
        <w:ind w:right="560"/>
        <w:spacing w:after="0" w:line="228" w:lineRule="auto"/>
        <w:rPr>
          <w:sz w:val="20"/>
          <w:szCs w:val="20"/>
          <w:color w:val="auto"/>
        </w:rPr>
      </w:pPr>
      <w:r>
        <w:rPr>
          <w:rFonts w:ascii="Times New Roman" w:cs="Times New Roman" w:eastAsia="Times New Roman" w:hAnsi="Times New Roman"/>
          <w:sz w:val="20"/>
          <w:szCs w:val="20"/>
          <w:color w:val="auto"/>
        </w:rPr>
        <w:t>Integra's Annual Report on Form 10-K for the year ended December 31, 2023 and information contained in subsequent filings with the Securities and Exchange Commission.</w:t>
      </w:r>
    </w:p>
    <w:p>
      <w:pPr>
        <w:spacing w:after="0" w:line="20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7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In addition to our GAAP results, we provide certain non-GAAP measures, including organic revenues, organic revenues excluding Boston, adjusted earnings before interest, taxes, depreciation and amortization (“EBITDA”), adjusted net income, adjusted gross profit, adjusted</w:t>
      </w:r>
    </w:p>
    <w:p>
      <w:pPr>
        <w:spacing w:after="0" w:line="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9"/>
          <w:szCs w:val="19"/>
          <w:color w:val="auto"/>
        </w:rPr>
        <w:t>gross margin, adjusted earnings per diluted share, free cash flow, adjusted free cash flow conversion, and net debt.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 produced products including sales reported prior to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(the “recall”);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(iv) EU</w:t>
      </w:r>
    </w:p>
    <w:p>
      <w:pPr>
        <w:sectPr>
          <w:pgSz w:w="11900" w:h="16838" w:orient="portrait"/>
          <w:cols w:equalWidth="0" w:num="1">
            <w:col w:w="11240"/>
          </w:cols>
          <w:pgMar w:left="320" w:top="873" w:right="339" w:bottom="1440" w:gutter="0" w:footer="0" w:header="0"/>
        </w:sectPr>
      </w:pPr>
    </w:p>
    <w:bookmarkStart w:id="10" w:name="page11"/>
    <w:bookmarkEnd w:id="10"/>
    <w:p>
      <w:pPr>
        <w:spacing w:after="0" w:line="250" w:lineRule="auto"/>
        <w:rPr>
          <w:sz w:val="20"/>
          <w:szCs w:val="20"/>
          <w:color w:val="auto"/>
        </w:rPr>
      </w:pPr>
      <w:r>
        <w:rPr>
          <w:rFonts w:ascii="Times New Roman" w:cs="Times New Roman" w:eastAsia="Times New Roman" w:hAnsi="Times New Roman"/>
          <w:sz w:val="20"/>
          <w:szCs w:val="20"/>
          <w:color w:val="auto"/>
        </w:rPr>
        <w:t>Medical Device Regulation-related charges; and (v) intangible asset amortization expense.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short-term investments, cash and cash equivalents.</w:t>
      </w:r>
    </w:p>
    <w:p>
      <w:pPr>
        <w:spacing w:after="0" w:line="19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Reconciliations of GAAP revenues to organic revenues, GAAP revenues to organic revenues excluding Boston, GAAP net income to adjusted EBITDA, and adjusted net income, GAAP gross profit to adjusted gross profit, GAAP gross margin to adjusted gross margin, GAAP total debt to net debt, and GAAP earnings per diluted share to adjusted earnings per diluted share all for the quarter ended March 31, 2024 and 2023, and the GAAP operating cash flow to free cash flow and adjusted free cash flow conversion for the quarters ended March 31, 2024 and 2023, appear in the financial tables in this release.</w:t>
      </w:r>
    </w:p>
    <w:p>
      <w:pPr>
        <w:spacing w:after="0" w:line="20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w:t>
      </w:r>
      <w:r>
        <w:rPr>
          <w:rFonts w:ascii="Calibri" w:cs="Calibri" w:eastAsia="Calibri" w:hAnsi="Calibri"/>
          <w:sz w:val="20"/>
          <w:szCs w:val="20"/>
          <w:color w:val="auto"/>
        </w:rPr>
        <w:t>t</w:t>
      </w:r>
      <w:r>
        <w:rPr>
          <w:rFonts w:ascii="Times New Roman" w:cs="Times New Roman" w:eastAsia="Times New Roman" w:hAnsi="Times New Roman"/>
          <w:sz w:val="20"/>
          <w:szCs w:val="20"/>
          <w:color w:val="auto"/>
        </w:rPr>
        <w:t xml:space="preserve"> www.sec.gov or on our website at </w:t>
      </w:r>
      <w:r>
        <w:rPr>
          <w:rFonts w:ascii="Times New Roman" w:cs="Times New Roman" w:eastAsia="Times New Roman" w:hAnsi="Times New Roman"/>
          <w:sz w:val="20"/>
          <w:szCs w:val="20"/>
          <w:color w:val="0094FF"/>
        </w:rPr>
        <w:t>www.integralife.com.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8" w:lineRule="exact"/>
        <w:rPr>
          <w:sz w:val="20"/>
          <w:szCs w:val="20"/>
          <w:color w:val="auto"/>
        </w:rPr>
      </w:pPr>
    </w:p>
    <w:p>
      <w:pPr>
        <w:ind w:right="9000" w:firstLine="8"/>
        <w:spacing w:after="0" w:line="279" w:lineRule="auto"/>
        <w:tabs>
          <w:tab w:leader="none" w:pos="47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8" w:lineRule="exact"/>
        <w:rPr>
          <w:sz w:val="20"/>
          <w:szCs w:val="20"/>
          <w:color w:val="auto"/>
        </w:rPr>
      </w:pPr>
    </w:p>
    <w:p>
      <w:pPr>
        <w:ind w:right="8900" w:firstLine="8"/>
        <w:spacing w:after="0" w:line="279" w:lineRule="auto"/>
        <w:tabs>
          <w:tab w:leader="none" w:pos="47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220"/>
          </w:cols>
          <w:pgMar w:left="320" w:top="886" w:right="359" w:bottom="1440" w:gutter="0" w:footer="0" w:header="0"/>
        </w:sectPr>
      </w:pPr>
    </w:p>
    <w:bookmarkStart w:id="11" w:name="page12"/>
    <w:bookmarkEnd w:id="11"/>
    <w:p>
      <w:pPr>
        <w:jc w:val="center"/>
        <w:ind w:right="-11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p>
      <w:pPr>
        <w:sectPr>
          <w:pgSz w:w="11900" w:h="16838" w:orient="portrait"/>
          <w:cols w:equalWidth="0" w:num="1">
            <w:col w:w="10139"/>
          </w:cols>
          <w:pgMar w:left="320" w:top="891" w:right="1440" w:bottom="1440" w:gutter="0" w:footer="0" w:header="0"/>
        </w:sect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revenues, net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Gain from sale of business</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57"/>
        </w:trPr>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368,872</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380,846</w:t>
            </w:r>
          </w:p>
        </w:tc>
      </w:tr>
      <w:tr>
        <w:trPr>
          <w:trHeight w:val="557"/>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162,038</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147,975</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26,965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165,798</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166,657</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10,107</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364,908</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344,464</w:t>
            </w:r>
          </w:p>
        </w:tc>
      </w:tr>
      <w:tr>
        <w:trPr>
          <w:trHeight w:val="466"/>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3,964</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36,382</w:t>
            </w:r>
          </w:p>
        </w:tc>
      </w:tr>
      <w:tr>
        <w:trPr>
          <w:trHeight w:val="461"/>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5,040</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(13,624)</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(610)</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8"/>
        </w:trPr>
        <w:tc>
          <w:tcPr>
            <w:tcW w:w="30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(5,230)</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29,778</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(1,949)</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(3,281)</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24,226</w:t>
            </w:r>
          </w:p>
        </w:tc>
      </w:tr>
    </w:tbl>
    <w:p>
      <w:pPr>
        <w:spacing w:after="0" w:line="200" w:lineRule="exact"/>
        <w:rPr>
          <w:sz w:val="20"/>
          <w:szCs w:val="20"/>
          <w:color w:val="auto"/>
        </w:rPr>
      </w:pPr>
    </w:p>
    <w:p>
      <w:pPr>
        <w:sectPr>
          <w:pgSz w:w="11900" w:h="16838" w:orient="portrait"/>
          <w:cols w:equalWidth="0" w:num="2">
            <w:col w:w="6220" w:space="320"/>
            <w:col w:w="3599"/>
          </w:cols>
          <w:pgMar w:left="320" w:top="891" w:right="1440" w:bottom="1440" w:gutter="0" w:footer="0" w:header="0"/>
          <w:type w:val="continuous"/>
        </w:sectPr>
      </w:pP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4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77,735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82,322</w:t>
            </w:r>
          </w:p>
        </w:tc>
      </w:tr>
    </w:tbl>
    <w:p>
      <w:pPr>
        <w:sectPr>
          <w:pgSz w:w="11900" w:h="16838" w:orient="portrait"/>
          <w:cols w:equalWidth="0" w:num="1">
            <w:col w:w="10139"/>
          </w:cols>
          <w:pgMar w:left="320" w:top="891"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March 31, 2024 and 2023 (amounts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Neurosurgery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7"/>
        </w:trPr>
        <w:tc>
          <w:tcPr>
            <w:tcW w:w="60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202,268</w:t>
            </w:r>
          </w:p>
        </w:tc>
        <w:tc>
          <w:tcPr>
            <w:tcW w:w="380" w:type="dxa"/>
            <w:vAlign w:val="bottom"/>
          </w:tcPr>
          <w:p>
            <w:pPr>
              <w:spacing w:after="0"/>
              <w:rPr>
                <w:sz w:val="19"/>
                <w:szCs w:val="19"/>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192,870</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Instruments</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55,266</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256,434</w:t>
            </w:r>
          </w:p>
        </w:tc>
        <w:tc>
          <w:tcPr>
            <w:tcW w:w="38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248,136</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3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100,940</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(19.9)%</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Private Label</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31,561</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31,770</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112,438</w:t>
            </w: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132,710</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(15.3)%</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368,872</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380,846</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6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Less contribution of revenues from divested products</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(208)</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60"/>
              <w:spacing w:after="0" w:line="236"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371,295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380,638</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Boston Revenue impact</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(15,218)</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80" w:type="dxa"/>
            <w:vAlign w:val="bottom"/>
          </w:tcPr>
          <w:p>
            <w:pPr>
              <w:ind w:left="220"/>
              <w:spacing w:after="0" w:line="236"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excl. Boston</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371,257</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365,420</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Organic revenues have been adjusted to exclude foreign currency (current period), acquisitions and to account for divested and discontinued products.</w:t>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2024</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Amount</w:t>
            </w: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COGS(a)</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SG&amp;A(b)</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R&amp;D(c)</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OI&amp;E(e)</w:t>
            </w:r>
          </w:p>
        </w:tc>
        <w:tc>
          <w:tcPr>
            <w:tcW w:w="1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Tax(f)</w:t>
            </w:r>
          </w:p>
        </w:tc>
      </w:tr>
      <w:tr>
        <w:trPr>
          <w:trHeight w:val="21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(46)</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(11,696)</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2023</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SG&amp;A(b)</w:t>
            </w: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R&amp;D(c)</w:t>
            </w:r>
          </w:p>
        </w:tc>
        <w:tc>
          <w:tcPr>
            <w:tcW w:w="8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Amort.(d)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OI&amp;E(e)</w:t>
            </w:r>
          </w:p>
        </w:tc>
        <w:tc>
          <w:tcPr>
            <w:tcW w:w="1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(500)</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(8,650)</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jc w:val="center"/>
        <w:ind w:right="-23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3"/>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5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GAAP net income (loss)</w:t>
            </w:r>
          </w:p>
        </w:tc>
        <w:tc>
          <w:tcPr>
            <w:tcW w:w="32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(3,281)</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w:t>
            </w:r>
          </w:p>
        </w:tc>
      </w:tr>
      <w:tr>
        <w:trPr>
          <w:trHeight w:val="23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Non-GAAP adjustments: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37,597</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30,855</w:t>
            </w:r>
          </w:p>
        </w:tc>
      </w:tr>
      <w:tr>
        <w:trPr>
          <w:trHeight w:val="23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656</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8,584</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r>
      <w:tr>
        <w:trPr>
          <w:trHeight w:val="2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(1,949)</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3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6,504</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12,023</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2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Boston Recall</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6,979</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3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4,723</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34"/>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75,118</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68,026</w:t>
            </w:r>
          </w:p>
        </w:tc>
      </w:tr>
      <w:tr>
        <w:trPr>
          <w:trHeight w:val="228"/>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71,837</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92,252</w:t>
            </w:r>
          </w:p>
        </w:tc>
      </w:tr>
    </w:tbl>
    <w:p>
      <w:pPr>
        <w:sectPr>
          <w:pgSz w:w="11900" w:h="16838" w:orient="portrait"/>
          <w:cols w:equalWidth="0" w:num="1">
            <w:col w:w="11000"/>
          </w:cols>
          <w:pgMar w:left="320" w:top="891" w:right="5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MEASURES OF ADJUSTED NET INCOME AND ADJUSTED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69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8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(3,281)</w:t>
            </w:r>
          </w:p>
        </w:tc>
        <w:tc>
          <w:tcPr>
            <w:tcW w:w="6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6,504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charges(1)</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4,723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12,023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6,979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27,698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(11,696)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46,231</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36,496</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42,950</w:t>
            </w: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60,722</w:t>
            </w:r>
          </w:p>
        </w:tc>
      </w:tr>
      <w:tr>
        <w:trPr>
          <w:trHeight w:val="46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0.55</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77,958</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82,322</w:t>
            </w:r>
          </w:p>
        </w:tc>
      </w:tr>
    </w:tbl>
    <w:p>
      <w:pPr>
        <w:sectPr>
          <w:pgSz w:w="11900" w:h="16838" w:orient="portrait"/>
          <w:cols w:equalWidth="0" w:num="1">
            <w:col w:w="11220"/>
          </w:cols>
          <w:pgMar w:left="320" w:top="113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Shot term investments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71,194</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0"/>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591,906</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241,092</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259,327</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403,422</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389,608</w:t>
            </w:r>
          </w:p>
        </w:tc>
        <w:tc>
          <w:tcPr>
            <w:tcW w:w="0" w:type="dxa"/>
            <w:vAlign w:val="bottom"/>
          </w:tcPr>
          <w:p>
            <w:pPr>
              <w:spacing w:after="0"/>
              <w:rPr>
                <w:sz w:val="1"/>
                <w:szCs w:val="1"/>
                <w:color w:val="auto"/>
              </w:rPr>
            </w:pPr>
          </w:p>
        </w:tc>
      </w:tr>
      <w:tr>
        <w:trPr>
          <w:trHeight w:val="441"/>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80" w:type="dxa"/>
            <w:vAlign w:val="bottom"/>
          </w:tcPr>
          <w:p>
            <w:pPr>
              <w:spacing w:after="0"/>
              <w:rPr>
                <w:sz w:val="24"/>
                <w:szCs w:val="24"/>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1,190,411</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840,094</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94,600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28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570,984</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432"/>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1,597,952</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41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69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15,756</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(53,965)</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by) by financing activities</w:t>
            </w:r>
          </w:p>
        </w:tc>
        <w:tc>
          <w:tcPr>
            <w:tcW w:w="104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5"/>
              </w:rPr>
              <w:t>358,676</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(162,683)</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(4,963)</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5"/>
              </w:rPr>
              <w:t>315,504</w:t>
            </w: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(149,294)</w:t>
            </w:r>
          </w:p>
        </w:tc>
      </w:tr>
    </w:tbl>
    <w:p>
      <w:pPr>
        <w:sectPr>
          <w:pgSz w:w="11900" w:h="16838" w:orient="portrait"/>
          <w:cols w:equalWidth="0" w:num="1">
            <w:col w:w="11220"/>
          </w:cols>
          <w:pgMar w:left="320" w:top="891" w:right="359" w:bottom="1440" w:gutter="0" w:footer="0" w:header="0"/>
        </w:sectPr>
      </w:pPr>
    </w:p>
    <w:bookmarkStart w:id="18" w:name="page19"/>
    <w:bookmarkEnd w:id="18"/>
    <w:p>
      <w:pPr>
        <w:jc w:val="center"/>
        <w:ind w:left="420" w:right="196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15,756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26,156</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(15,465)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(13,704)</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65"/>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42,950</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60,722</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Twelve Months Ended March 31,</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129,552</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246,284</w:t>
            </w:r>
          </w:p>
        </w:tc>
        <w:tc>
          <w:tcPr>
            <w:tcW w:w="0" w:type="dxa"/>
            <w:vAlign w:val="bottom"/>
          </w:tcPr>
          <w:p>
            <w:pPr>
              <w:spacing w:after="0"/>
              <w:rPr>
                <w:sz w:val="1"/>
                <w:szCs w:val="1"/>
                <w:color w:val="auto"/>
              </w:rPr>
            </w:pPr>
          </w:p>
        </w:tc>
      </w:tr>
      <w:tr>
        <w:trPr>
          <w:trHeight w:val="25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(68,737)</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(46,722)</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60,815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199,562</w:t>
            </w:r>
          </w:p>
        </w:tc>
        <w:tc>
          <w:tcPr>
            <w:tcW w:w="0" w:type="dxa"/>
            <w:vAlign w:val="bottom"/>
          </w:tcPr>
          <w:p>
            <w:pPr>
              <w:spacing w:after="0"/>
              <w:rPr>
                <w:sz w:val="1"/>
                <w:szCs w:val="1"/>
                <w:color w:val="auto"/>
              </w:rPr>
            </w:pPr>
          </w:p>
        </w:tc>
      </w:tr>
      <w:tr>
        <w:trPr>
          <w:trHeight w:val="26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230,004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279,586</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right="36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ended March 31, 2024 and 2023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40"/>
          </w:cols>
          <w:pgMar w:left="320" w:top="891" w:right="4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17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18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19,375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1,171,036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825,563</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94,600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570,984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8,605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(71,194)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(591,906)</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1,201,500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32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7580" w:type="dxa"/>
            <w:vAlign w:val="bottom"/>
          </w:tcPr>
          <w:p>
            <w:pPr>
              <w:spacing w:after="0"/>
              <w:rPr>
                <w:sz w:val="20"/>
                <w:szCs w:val="20"/>
                <w:color w:val="auto"/>
              </w:rPr>
            </w:pPr>
          </w:p>
        </w:tc>
        <w:tc>
          <w:tcPr>
            <w:tcW w:w="18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48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368,872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380,846</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162,038</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147,975</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206,834</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232,871</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5,384</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3,121</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6,146</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1,441</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1,464</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8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17,591</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17,524</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237,446</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256,461</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368,872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380,846</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64.4 %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r>
    </w:tbl>
    <w:p>
      <w:pPr>
        <w:spacing w:after="0" w:line="1" w:lineRule="exact"/>
        <w:rPr>
          <w:sz w:val="20"/>
          <w:szCs w:val="20"/>
          <w:color w:val="auto"/>
        </w:rPr>
      </w:pP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5"/>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609"/>
    </w:lvl>
  </w:abstractNum>
  <w:abstractNum w:abstractNumId="12">
    <w:nsid w:val="7FDCC233"/>
    <w:multiLevelType w:val="hybridMultilevel"/>
    <w:lvl w:ilvl="0">
      <w:lvlJc w:val="left"/>
      <w:lvlText w:val="(%1)"/>
      <w:numFmt w:val="decimal"/>
      <w:start w:val="609"/>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2024-05-06T05:29:57Z</dcterms:created>
  <dcterms:modified xsi:type="dcterms:W3CDTF">2024-05-06T05:29:57Z</dcterms:modified>
</cp:coreProperties>
</file>