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8, 2026</w:t>
      </w:r>
    </w:p>
    <w:p>
      <w:pPr>
        <w:spacing w:after="0" w:line="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Integra LifeSciences Holdings Corporation</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1480" w:type="dxa"/>
        <w:tblCellMar>
          <w:top w:w="0" w:type="dxa"/>
          <w:left w:w="0" w:type="dxa"/>
          <w:bottom w:w="0" w:type="dxa"/>
          <w:right w:w="0" w:type="dxa"/>
        </w:tblCellMar>
      </w:tblPr>
      <w:tr>
        <w:trPr>
          <w:trHeight w:val="190"/>
        </w:trPr>
        <w:tc>
          <w:tcPr>
            <w:tcW w:w="462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51-0317849</w:t>
            </w:r>
          </w:p>
        </w:tc>
      </w:tr>
      <w:tr>
        <w:trPr>
          <w:trHeight w:val="260"/>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920" w:type="dxa"/>
            <w:vAlign w:val="bottom"/>
          </w:tcPr>
          <w:p>
            <w:pPr>
              <w:jc w:val="center"/>
              <w:ind w:left="1936"/>
              <w:spacing w:after="0"/>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62"/>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2920" w:type="dxa"/>
            <w:vAlign w:val="bottom"/>
          </w:tcPr>
          <w:p>
            <w:pPr>
              <w:jc w:val="center"/>
              <w:ind w:left="1936"/>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563"/>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rPr>
              <w:t>1100 Campus Road, Princeton, New Jersey</w:t>
            </w:r>
          </w:p>
        </w:tc>
        <w:tc>
          <w:tcPr>
            <w:tcW w:w="29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8540</w:t>
            </w:r>
          </w:p>
        </w:tc>
      </w:tr>
      <w:tr>
        <w:trPr>
          <w:trHeight w:val="260"/>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2920" w:type="dxa"/>
            <w:vAlign w:val="bottom"/>
          </w:tcPr>
          <w:p>
            <w:pPr>
              <w:jc w:val="center"/>
              <w:ind w:left="1916"/>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Integra LifeSciences Holdings Corporation Fifth Amended and Restated 2003 Equity Incentive Plan</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Hutchinson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Chief Legal Officer &amp; Secretary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1100 Campus Road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Princeton, New Jersey 08540</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275-0500</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ind w:right="460"/>
        <w:spacing w:after="0" w:line="3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4" w:right="339" w:bottom="1440" w:gutter="0" w:footer="0" w:header="0"/>
        </w:sectPr>
      </w:pPr>
    </w:p>
    <w:p>
      <w:pPr>
        <w:spacing w:after="0" w:line="2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0" w:lineRule="exact"/>
        <w:rPr>
          <w:sz w:val="24"/>
          <w:szCs w:val="24"/>
          <w:color w:val="auto"/>
        </w:rPr>
      </w:pPr>
    </w:p>
    <w:p>
      <w:pPr>
        <w:sectPr>
          <w:pgSz w:w="11900" w:h="16838" w:orient="portrait"/>
          <w:cols w:equalWidth="0" w:num="2">
            <w:col w:w="7820" w:space="720"/>
            <w:col w:w="2700"/>
          </w:cols>
          <w:pgMar w:left="320" w:top="884" w:right="339" w:bottom="1440" w:gutter="0" w:footer="0" w:header="0"/>
          <w:type w:val="continuous"/>
        </w:sectPr>
      </w:pP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63" w:lineRule="exact"/>
        <w:rPr>
          <w:sz w:val="24"/>
          <w:szCs w:val="24"/>
          <w:color w:val="auto"/>
        </w:rPr>
      </w:pPr>
    </w:p>
    <w:p>
      <w:pPr>
        <w:sectPr>
          <w:pgSz w:w="11900" w:h="16838" w:orient="portrait"/>
          <w:cols w:equalWidth="0" w:num="2">
            <w:col w:w="7820" w:space="720"/>
            <w:col w:w="2700"/>
          </w:cols>
          <w:pgMar w:left="320" w:top="884" w:right="339" w:bottom="1440" w:gutter="0" w:footer="0" w:header="0"/>
          <w:type w:val="continuous"/>
        </w:sectPr>
      </w:pPr>
    </w:p>
    <w:p>
      <w:pPr>
        <w:ind w:left="8540"/>
        <w:spacing w:after="0"/>
        <w:rPr>
          <w:sz w:val="20"/>
          <w:szCs w:val="20"/>
          <w:color w:val="auto"/>
        </w:rPr>
      </w:pPr>
      <w:r>
        <w:rPr>
          <w:rFonts w:ascii="Times New Roman" w:cs="Times New Roman" w:eastAsia="Times New Roman" w:hAnsi="Times New Roman"/>
          <w:sz w:val="14"/>
          <w:szCs w:val="14"/>
          <w:color w:val="auto"/>
        </w:rPr>
        <w:t>Emerging growth company</w:t>
      </w:r>
    </w:p>
    <w:p>
      <w:pPr>
        <w:sectPr>
          <w:pgSz w:w="11900" w:h="16838" w:orient="portrait"/>
          <w:cols w:equalWidth="0" w:num="1">
            <w:col w:w="11240"/>
          </w:cols>
          <w:pgMar w:left="320" w:top="884" w:right="339" w:bottom="1440" w:gutter="0" w:footer="0" w:header="0"/>
          <w:type w:val="continuous"/>
        </w:sectPr>
      </w:pPr>
    </w:p>
    <w:p>
      <w:pPr>
        <w:spacing w:after="0" w:line="200" w:lineRule="exact"/>
        <w:rPr>
          <w:sz w:val="24"/>
          <w:szCs w:val="24"/>
          <w:color w:val="auto"/>
        </w:rPr>
      </w:pPr>
    </w:p>
    <w:p>
      <w:pPr>
        <w:spacing w:after="0" w:line="395" w:lineRule="exact"/>
        <w:rPr>
          <w:sz w:val="24"/>
          <w:szCs w:val="24"/>
          <w:color w:val="auto"/>
        </w:rPr>
      </w:pPr>
    </w:p>
    <w:p>
      <w:pPr>
        <w:ind w:right="560"/>
        <w:spacing w:after="0" w:line="30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240"/>
          </w:cols>
          <w:pgMar w:left="320" w:top="884" w:right="339" w:bottom="1440" w:gutter="0" w:footer="0" w:header="0"/>
          <w:type w:val="continuous"/>
        </w:sectPr>
      </w:pPr>
    </w:p>
    <w:bookmarkStart w:id="1" w:name="page2"/>
    <w:bookmarkEnd w:id="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Integra LifeSciences Holdings Corporation, a Delaware corporation (the “Company” or “Registrant”), relating to 3,550,000 shares of the Company’s common stock, par value $0.01 per share (“Common Stock”), to be issued under the Integra LifeSciences Holdings Corporation Fifth Amended and Restated 2003 Equity Incentive Plan, as amended (the “Plan”), representing the increased number of shares of Common Stock authorized by an amendment to the Plan that was approved by the Company’s stockholders on May 7, 2026.</w:t>
      </w:r>
    </w:p>
    <w:p>
      <w:pPr>
        <w:spacing w:after="0" w:line="200" w:lineRule="exact"/>
        <w:rPr>
          <w:sz w:val="20"/>
          <w:szCs w:val="20"/>
          <w:color w:val="auto"/>
        </w:rPr>
      </w:pPr>
    </w:p>
    <w:p>
      <w:pPr>
        <w:spacing w:after="0" w:line="226" w:lineRule="exact"/>
        <w:rPr>
          <w:sz w:val="20"/>
          <w:szCs w:val="20"/>
          <w:color w:val="auto"/>
        </w:rPr>
      </w:pPr>
    </w:p>
    <w:p>
      <w:pPr>
        <w:ind w:right="20"/>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Pursuant to General Instruction E to Form S-8, this Registration Statement incorporates by reference the contents of the following registration statements previously filed with the Securities and Exchange Commission (the “Commission”): (i) the registration statement on Form S-8 filed by the Registrant on July 31, 2025 (File No. </w:t>
      </w:r>
      <w:hyperlink r:id="rId17">
        <w:r>
          <w:rPr>
            <w:rFonts w:ascii="Times New Roman" w:cs="Times New Roman" w:eastAsia="Times New Roman" w:hAnsi="Times New Roman"/>
            <w:sz w:val="18"/>
            <w:szCs w:val="18"/>
            <w:u w:val="single" w:color="auto"/>
            <w:color w:val="0000FF"/>
          </w:rPr>
          <w:t>333-289145</w:t>
        </w:r>
      </w:hyperlink>
      <w:r>
        <w:rPr>
          <w:rFonts w:ascii="Times New Roman" w:cs="Times New Roman" w:eastAsia="Times New Roman" w:hAnsi="Times New Roman"/>
          <w:sz w:val="18"/>
          <w:szCs w:val="18"/>
          <w:color w:val="auto"/>
        </w:rPr>
        <w:t xml:space="preserve">) relating to the Plan; (ii) the registration statement on Form S-8 filed by the Registrant on November 4, 2024 (File No. </w:t>
      </w:r>
      <w:hyperlink r:id="rId18">
        <w:r>
          <w:rPr>
            <w:rFonts w:ascii="Times New Roman" w:cs="Times New Roman" w:eastAsia="Times New Roman" w:hAnsi="Times New Roman"/>
            <w:sz w:val="18"/>
            <w:szCs w:val="18"/>
            <w:u w:val="single" w:color="auto"/>
            <w:color w:val="0000FF"/>
          </w:rPr>
          <w:t>333-282990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relating to the Plan; (iii) the registration statement on Form S-8 filed by the Registrant on December 17, 2021 (File No.</w:t>
      </w:r>
      <w:r>
        <w:rPr>
          <w:rFonts w:ascii="Times New Roman" w:cs="Times New Roman" w:eastAsia="Times New Roman" w:hAnsi="Times New Roman"/>
          <w:sz w:val="18"/>
          <w:szCs w:val="18"/>
          <w:color w:val="0000FF"/>
        </w:rPr>
        <w:t xml:space="preserve"> </w:t>
      </w:r>
      <w:hyperlink r:id="rId19">
        <w:r>
          <w:rPr>
            <w:rFonts w:ascii="Times New Roman" w:cs="Times New Roman" w:eastAsia="Times New Roman" w:hAnsi="Times New Roman"/>
            <w:sz w:val="18"/>
            <w:szCs w:val="18"/>
            <w:color w:val="0000FF"/>
          </w:rPr>
          <w:t>333-261744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relating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to the Plan; (iv) the registration statement on Form S-8 filed by the Registrant on October 30, 2017 (File No. </w:t>
      </w:r>
      <w:hyperlink r:id="rId20">
        <w:r>
          <w:rPr>
            <w:rFonts w:ascii="Times New Roman" w:cs="Times New Roman" w:eastAsia="Times New Roman" w:hAnsi="Times New Roman"/>
            <w:sz w:val="18"/>
            <w:szCs w:val="18"/>
            <w:u w:val="single" w:color="auto"/>
            <w:color w:val="0000FF"/>
          </w:rPr>
          <w:t>333-221210</w:t>
        </w:r>
      </w:hyperlink>
      <w:r>
        <w:rPr>
          <w:rFonts w:ascii="Times New Roman" w:cs="Times New Roman" w:eastAsia="Times New Roman" w:hAnsi="Times New Roman"/>
          <w:sz w:val="18"/>
          <w:szCs w:val="18"/>
          <w:color w:val="000000"/>
        </w:rPr>
        <w:t xml:space="preserve">) relating to the Plan; (v) the registration statement on Form S-8 filed by the Registrant on February 24, 2017 (File No. </w:t>
      </w:r>
      <w:hyperlink r:id="rId21">
        <w:r>
          <w:rPr>
            <w:rFonts w:ascii="Times New Roman" w:cs="Times New Roman" w:eastAsia="Times New Roman" w:hAnsi="Times New Roman"/>
            <w:sz w:val="18"/>
            <w:szCs w:val="18"/>
            <w:u w:val="single" w:color="auto"/>
            <w:color w:val="0000FF"/>
          </w:rPr>
          <w:t>333-216212</w:t>
        </w:r>
      </w:hyperlink>
      <w:r>
        <w:rPr>
          <w:rFonts w:ascii="Times New Roman" w:cs="Times New Roman" w:eastAsia="Times New Roman" w:hAnsi="Times New Roman"/>
          <w:sz w:val="18"/>
          <w:szCs w:val="18"/>
          <w:color w:val="000000"/>
        </w:rPr>
        <w:t xml:space="preserve">) relating to the Plan; (vi) the registration statement on Form S-8 filed by the Registrant on October 29, 2010 (File No. </w:t>
      </w:r>
      <w:hyperlink r:id="rId22">
        <w:r>
          <w:rPr>
            <w:rFonts w:ascii="Times New Roman" w:cs="Times New Roman" w:eastAsia="Times New Roman" w:hAnsi="Times New Roman"/>
            <w:sz w:val="18"/>
            <w:szCs w:val="18"/>
            <w:u w:val="single" w:color="auto"/>
            <w:color w:val="0000FF"/>
          </w:rPr>
          <w:t>333-170210</w:t>
        </w:r>
      </w:hyperlink>
      <w:r>
        <w:rPr>
          <w:rFonts w:ascii="Times New Roman" w:cs="Times New Roman" w:eastAsia="Times New Roman" w:hAnsi="Times New Roman"/>
          <w:sz w:val="18"/>
          <w:szCs w:val="18"/>
          <w:color w:val="000000"/>
        </w:rPr>
        <w:t xml:space="preserve">) relating to the Plan; (vii) the registration statement on Form S-8 filed by the Registrant on November 10, 2008 (File No. </w:t>
      </w:r>
      <w:hyperlink r:id="rId23">
        <w:r>
          <w:rPr>
            <w:rFonts w:ascii="Times New Roman" w:cs="Times New Roman" w:eastAsia="Times New Roman" w:hAnsi="Times New Roman"/>
            <w:sz w:val="18"/>
            <w:szCs w:val="18"/>
            <w:u w:val="single" w:color="auto"/>
            <w:color w:val="0000FF"/>
          </w:rPr>
          <w:t>333-155263</w:t>
        </w:r>
      </w:hyperlink>
      <w:r>
        <w:rPr>
          <w:rFonts w:ascii="Times New Roman" w:cs="Times New Roman" w:eastAsia="Times New Roman" w:hAnsi="Times New Roman"/>
          <w:sz w:val="18"/>
          <w:szCs w:val="18"/>
          <w:color w:val="000000"/>
        </w:rPr>
        <w:t xml:space="preserve">) relating to the Plan; (viii) the registration statement on Form S-8 filed by the Registrant on August 12, 2005 (File No. </w:t>
      </w:r>
      <w:hyperlink r:id="rId24">
        <w:r>
          <w:rPr>
            <w:rFonts w:ascii="Times New Roman" w:cs="Times New Roman" w:eastAsia="Times New Roman" w:hAnsi="Times New Roman"/>
            <w:sz w:val="18"/>
            <w:szCs w:val="18"/>
            <w:u w:val="single" w:color="auto"/>
            <w:color w:val="0000FF"/>
          </w:rPr>
          <w:t>333-127488</w:t>
        </w:r>
      </w:hyperlink>
      <w:r>
        <w:rPr>
          <w:rFonts w:ascii="Times New Roman" w:cs="Times New Roman" w:eastAsia="Times New Roman" w:hAnsi="Times New Roman"/>
          <w:sz w:val="18"/>
          <w:szCs w:val="18"/>
          <w:color w:val="000000"/>
        </w:rPr>
        <w:t xml:space="preserve">) relating to the Plan; and (ix) the registration statement on Form S-8 filed by the Registrant on September 23, 2003 (File No. </w:t>
      </w:r>
      <w:hyperlink r:id="rId25">
        <w:r>
          <w:rPr>
            <w:rFonts w:ascii="Times New Roman" w:cs="Times New Roman" w:eastAsia="Times New Roman" w:hAnsi="Times New Roman"/>
            <w:sz w:val="18"/>
            <w:szCs w:val="18"/>
            <w:u w:val="single" w:color="auto"/>
            <w:color w:val="0000FF"/>
          </w:rPr>
          <w:t>333-109042</w:t>
        </w:r>
      </w:hyperlink>
      <w:r>
        <w:rPr>
          <w:rFonts w:ascii="Times New Roman" w:cs="Times New Roman" w:eastAsia="Times New Roman" w:hAnsi="Times New Roman"/>
          <w:sz w:val="18"/>
          <w:szCs w:val="18"/>
          <w:color w:val="000000"/>
        </w:rPr>
        <w:t>) relating to the Plan (together, the “Prior Forms S-8”). The contents of the Prior Forms S-8 are incorporated into this Registration Statement by reference except, in each case, to the extent supplemented, amended or superseded by the information set forth herein.</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6068695</wp:posOffset>
            </wp:positionH>
            <wp:positionV relativeFrom="paragraph">
              <wp:posOffset>-988695</wp:posOffset>
            </wp:positionV>
            <wp:extent cx="580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580390"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00"/>
        </w:rPr>
      </w:pPr>
    </w:p>
    <w:p>
      <w:pPr>
        <w:spacing w:after="0" w:line="211" w:lineRule="exact"/>
        <w:rPr>
          <w:rFonts w:ascii="Times New Roman" w:cs="Times New Roman" w:eastAsia="Times New Roman" w:hAnsi="Times New Roman"/>
          <w:sz w:val="18"/>
          <w:szCs w:val="18"/>
          <w:color w:val="000000"/>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rFonts w:ascii="Times New Roman" w:cs="Times New Roman" w:eastAsia="Times New Roman" w:hAnsi="Times New Roman"/>
          <w:sz w:val="18"/>
          <w:szCs w:val="18"/>
          <w:color w:val="000000"/>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21" w:lineRule="exact"/>
        <w:rPr>
          <w:rFonts w:ascii="Times New Roman" w:cs="Times New Roman" w:eastAsia="Times New Roman" w:hAnsi="Times New Roman"/>
          <w:sz w:val="18"/>
          <w:szCs w:val="18"/>
          <w:color w:val="000000"/>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sent or given to the participants in the Plan as required by Rule 428(b)(1) under the Securities Act. These documents and the documents incorporated by reference herein pursuant to Item 3 of Part II hereof, taken together, constitute a prospectus that meets the requirements of Section 10(a) of the Securities Act.</w:t>
      </w:r>
    </w:p>
    <w:p>
      <w:pPr>
        <w:spacing w:after="0" w:line="200" w:lineRule="exact"/>
        <w:rPr>
          <w:rFonts w:ascii="Times New Roman" w:cs="Times New Roman" w:eastAsia="Times New Roman" w:hAnsi="Times New Roman"/>
          <w:sz w:val="18"/>
          <w:szCs w:val="18"/>
          <w:color w:val="000000"/>
        </w:rPr>
      </w:pPr>
    </w:p>
    <w:p>
      <w:pPr>
        <w:spacing w:after="0" w:line="222" w:lineRule="exact"/>
        <w:rPr>
          <w:rFonts w:ascii="Times New Roman" w:cs="Times New Roman" w:eastAsia="Times New Roman" w:hAnsi="Times New Roman"/>
          <w:sz w:val="18"/>
          <w:szCs w:val="18"/>
          <w:color w:val="000000"/>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rFonts w:ascii="Times New Roman" w:cs="Times New Roman" w:eastAsia="Times New Roman" w:hAnsi="Times New Roman"/>
          <w:sz w:val="18"/>
          <w:szCs w:val="18"/>
          <w:color w:val="000000"/>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7"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rFonts w:ascii="Times New Roman" w:cs="Times New Roman" w:eastAsia="Times New Roman" w:hAnsi="Times New Roman"/>
          <w:sz w:val="18"/>
          <w:szCs w:val="18"/>
          <w:color w:val="000000"/>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22" w:lineRule="exact"/>
        <w:rPr>
          <w:rFonts w:ascii="Times New Roman" w:cs="Times New Roman" w:eastAsia="Times New Roman" w:hAnsi="Times New Roman"/>
          <w:sz w:val="18"/>
          <w:szCs w:val="18"/>
          <w:color w:val="000000"/>
        </w:rPr>
      </w:pPr>
    </w:p>
    <w:p>
      <w:pPr>
        <w:ind w:left="940" w:hanging="468"/>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w:t>
      </w:r>
      <w:hyperlink r:id="rId27">
        <w:r>
          <w:rPr>
            <w:rFonts w:ascii="Times New Roman" w:cs="Times New Roman" w:eastAsia="Times New Roman" w:hAnsi="Times New Roman"/>
            <w:sz w:val="18"/>
            <w:szCs w:val="18"/>
            <w:u w:val="single" w:color="auto"/>
            <w:color w:val="0000FF"/>
          </w:rPr>
          <w:t>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25, 2025;</w:t>
      </w:r>
    </w:p>
    <w:p>
      <w:pPr>
        <w:spacing w:after="0" w:line="132" w:lineRule="exact"/>
        <w:rPr>
          <w:rFonts w:ascii="Times New Roman" w:cs="Times New Roman" w:eastAsia="Times New Roman" w:hAnsi="Times New Roman"/>
          <w:sz w:val="18"/>
          <w:szCs w:val="18"/>
          <w:color w:val="auto"/>
        </w:rPr>
      </w:pPr>
    </w:p>
    <w:p>
      <w:pPr>
        <w:ind w:left="940" w:hanging="468"/>
        <w:spacing w:after="0" w:line="181" w:lineRule="auto"/>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quarterly period ended </w:t>
      </w:r>
      <w:hyperlink r:id="rId28">
        <w:r>
          <w:rPr>
            <w:rFonts w:ascii="Times New Roman" w:cs="Times New Roman" w:eastAsia="Times New Roman" w:hAnsi="Times New Roman"/>
            <w:sz w:val="18"/>
            <w:szCs w:val="18"/>
            <w:u w:val="single" w:color="auto"/>
            <w:color w:val="0000FF"/>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May 5, 2026;</w:t>
      </w:r>
    </w:p>
    <w:p>
      <w:pPr>
        <w:spacing w:after="0" w:line="211" w:lineRule="exact"/>
        <w:rPr>
          <w:rFonts w:ascii="Times New Roman" w:cs="Times New Roman" w:eastAsia="Times New Roman" w:hAnsi="Times New Roman"/>
          <w:sz w:val="18"/>
          <w:szCs w:val="18"/>
          <w:color w:val="auto"/>
        </w:rPr>
      </w:pPr>
    </w:p>
    <w:p>
      <w:pPr>
        <w:ind w:left="940" w:right="260" w:hanging="468"/>
        <w:spacing w:after="0" w:line="183" w:lineRule="auto"/>
        <w:tabs>
          <w:tab w:leader="none" w:pos="940" w:val="left"/>
        </w:tabs>
        <w:numPr>
          <w:ilvl w:val="0"/>
          <w:numId w:val="1"/>
        </w:numPr>
        <w:rPr>
          <w:rFonts w:ascii="Times New Roman" w:cs="Times New Roman" w:eastAsia="Times New Roman" w:hAnsi="Times New Roman"/>
          <w:sz w:val="17"/>
          <w:szCs w:val="17"/>
          <w:color w:val="000000"/>
          <w:highlight w:val="white"/>
        </w:rPr>
      </w:pPr>
      <w:hyperlink r:id="rId29">
        <w:r>
          <w:rPr>
            <w:rFonts w:ascii="Times New Roman" w:cs="Times New Roman" w:eastAsia="Times New Roman" w:hAnsi="Times New Roman"/>
            <w:sz w:val="17"/>
            <w:szCs w:val="17"/>
            <w:color w:val="auto"/>
          </w:rPr>
          <w:t xml:space="preserve">The Registrant’s </w:t>
        </w:r>
        <w:r>
          <w:rPr>
            <w:rFonts w:ascii="Times New Roman" w:cs="Times New Roman" w:eastAsia="Times New Roman" w:hAnsi="Times New Roman"/>
            <w:sz w:val="17"/>
            <w:szCs w:val="17"/>
            <w:u w:val="single" w:color="auto"/>
            <w:color w:val="0000FF"/>
          </w:rPr>
          <w:t>Definitive Proxy Statement</w:t>
        </w:r>
        <w:r>
          <w:rPr>
            <w:rFonts w:ascii="Times New Roman" w:cs="Times New Roman" w:eastAsia="Times New Roman" w:hAnsi="Times New Roman"/>
            <w:sz w:val="17"/>
            <w:szCs w:val="17"/>
            <w:color w:val="auto"/>
          </w:rPr>
          <w:t xml:space="preserve"> on Schedule 14A filed with the Commission on April 6, 2026 and the Registrant's </w:t>
        </w:r>
        <w:r>
          <w:rPr>
            <w:rFonts w:ascii="Times New Roman" w:cs="Times New Roman" w:eastAsia="Times New Roman" w:hAnsi="Times New Roman"/>
            <w:sz w:val="17"/>
            <w:szCs w:val="17"/>
            <w:u w:val="single" w:color="auto"/>
            <w:color w:val="0000FF"/>
          </w:rPr>
          <w:t>Definitive</w:t>
        </w:r>
      </w:hyperlink>
      <w:r>
        <w:rPr>
          <w:rFonts w:ascii="Times New Roman" w:cs="Times New Roman" w:eastAsia="Times New Roman" w:hAnsi="Times New Roman"/>
          <w:sz w:val="17"/>
          <w:szCs w:val="17"/>
          <w:color w:val="auto"/>
        </w:rPr>
        <w:t xml:space="preserve"> </w:t>
      </w:r>
      <w:hyperlink r:id="rId29">
        <w:r>
          <w:rPr>
            <w:rFonts w:ascii="Times New Roman" w:cs="Times New Roman" w:eastAsia="Times New Roman" w:hAnsi="Times New Roman"/>
            <w:sz w:val="17"/>
            <w:szCs w:val="17"/>
            <w:color w:val="0000FF"/>
          </w:rPr>
          <w:t xml:space="preserve">Proxy Statement </w:t>
        </w:r>
        <w:r>
          <w:rPr>
            <w:rFonts w:ascii="Times New Roman" w:cs="Times New Roman" w:eastAsia="Times New Roman" w:hAnsi="Times New Roman"/>
            <w:sz w:val="17"/>
            <w:szCs w:val="17"/>
            <w:color w:val="0000FF"/>
            <w:highlight w:val="white"/>
          </w:rPr>
          <w:t>Supplement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on Schedule 14A filed with the Commission on May 5, 2026, to the extent incorporated by reference into the</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highlight w:val="white"/>
        </w:rPr>
        <w:t xml:space="preserve">Registrant’s Annual Report on Form 10-K for the year ended </w:t>
      </w:r>
      <w:hyperlink r:id="rId27">
        <w:r>
          <w:rPr>
            <w:rFonts w:ascii="Times New Roman" w:cs="Times New Roman" w:eastAsia="Times New Roman" w:hAnsi="Times New Roman"/>
            <w:sz w:val="17"/>
            <w:szCs w:val="17"/>
            <w:u w:val="single" w:color="auto"/>
            <w:color w:val="0000FF"/>
            <w:highlight w:val="white"/>
          </w:rPr>
          <w:t>December 31, 2025</w:t>
        </w:r>
      </w:hyperlink>
      <w:r>
        <w:rPr>
          <w:rFonts w:ascii="Times New Roman" w:cs="Times New Roman" w:eastAsia="Times New Roman" w:hAnsi="Times New Roman"/>
          <w:sz w:val="17"/>
          <w:szCs w:val="17"/>
          <w:color w:val="000000"/>
          <w:highlight w:val="white"/>
        </w:rPr>
        <w: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1925320</wp:posOffset>
            </wp:positionH>
            <wp:positionV relativeFrom="paragraph">
              <wp:posOffset>-366395</wp:posOffset>
            </wp:positionV>
            <wp:extent cx="500634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5006340" cy="24892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left="940" w:hanging="468"/>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31">
        <w:r>
          <w:rPr>
            <w:rFonts w:ascii="Times New Roman" w:cs="Times New Roman" w:eastAsia="Times New Roman" w:hAnsi="Times New Roman"/>
            <w:sz w:val="18"/>
            <w:szCs w:val="18"/>
            <w:u w:val="single" w:color="auto"/>
            <w:color w:val="0000FF"/>
          </w:rPr>
          <w:t>April 15, 2026</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May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FF"/>
          </w:rPr>
          <w:t>May 8, 2026</w:t>
        </w:r>
      </w:hyperlink>
      <w:r>
        <w:rPr>
          <w:rFonts w:ascii="Times New Roman" w:cs="Times New Roman" w:eastAsia="Times New Roman" w:hAnsi="Times New Roman"/>
          <w:sz w:val="18"/>
          <w:szCs w:val="18"/>
          <w:color w:val="auto"/>
        </w:rPr>
        <w:t>; and</w:t>
      </w:r>
    </w:p>
    <w:p>
      <w:pPr>
        <w:spacing w:after="0" w:line="211" w:lineRule="exact"/>
        <w:rPr>
          <w:rFonts w:ascii="Times New Roman" w:cs="Times New Roman" w:eastAsia="Times New Roman" w:hAnsi="Times New Roman"/>
          <w:sz w:val="18"/>
          <w:szCs w:val="18"/>
          <w:color w:val="auto"/>
        </w:rPr>
      </w:pPr>
    </w:p>
    <w:p>
      <w:pPr>
        <w:ind w:left="940" w:right="200" w:hanging="468"/>
        <w:spacing w:after="0" w:line="18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Registrant’s Current Report on Form 8-K filed on </w:t>
      </w:r>
      <w:hyperlink r:id="rId34">
        <w:r>
          <w:rPr>
            <w:rFonts w:ascii="Times New Roman" w:cs="Times New Roman" w:eastAsia="Times New Roman" w:hAnsi="Times New Roman"/>
            <w:sz w:val="17"/>
            <w:szCs w:val="17"/>
            <w:u w:val="single" w:color="auto"/>
            <w:color w:val="0000FF"/>
          </w:rPr>
          <w:t>November 4, 2013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any amendment or report filed with the SEC for the purpose of updating the description, including </w:t>
      </w:r>
      <w:hyperlink r:id="rId35">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Registrant’s Quarterly Report on Form 10-Q for the quarterly period ended </w:t>
      </w:r>
      <w:hyperlink r:id="rId28">
        <w:r>
          <w:rPr>
            <w:rFonts w:ascii="Times New Roman" w:cs="Times New Roman" w:eastAsia="Times New Roman" w:hAnsi="Times New Roman"/>
            <w:sz w:val="17"/>
            <w:szCs w:val="17"/>
            <w:u w:val="single" w:color="auto"/>
            <w:color w:val="0000FF"/>
          </w:rPr>
          <w:t>March 31, 2026</w:t>
        </w:r>
      </w:hyperlink>
      <w:r>
        <w:rPr>
          <w:rFonts w:ascii="Times New Roman" w:cs="Times New Roman" w:eastAsia="Times New Roman" w:hAnsi="Times New Roman"/>
          <w:sz w:val="17"/>
          <w:szCs w:val="17"/>
          <w:color w:val="auto"/>
        </w:rPr>
        <w:t>, filed with the Commission on May 5, 2026.</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5674360</wp:posOffset>
            </wp:positionH>
            <wp:positionV relativeFrom="paragraph">
              <wp:posOffset>-537845</wp:posOffset>
            </wp:positionV>
            <wp:extent cx="28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5" w:lineRule="exact"/>
        <w:rPr>
          <w:rFonts w:ascii="Times New Roman" w:cs="Times New Roman" w:eastAsia="Times New Roman" w:hAnsi="Times New Roman"/>
          <w:sz w:val="17"/>
          <w:szCs w:val="17"/>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and 15(d) of the Securities Exchange Act of 1934, as amended (the “Exchange Act”) (excluding information deemed to be furnished and not filed with the Commission) subsequent to the date of this Registration Statement and prior to the filing of a post-effective amendment that indicates that all securities offered hereby have been sold or that deregisters all securities then remaining unsold, will be deemed to be incorporated by reference in this Registration Statement and to be part hereof from the date of filing of such documents. The Registrant does not and will not, however, incorporate by reference in this Registration Statement any documents or portions thereof that are not deemed “filed” with the Commission, including any information or exhibits furnished pursuant to Item 2.02 or Item 7.01 of the Registrant’s Current Reports on Form 8-K unless, and except to the extent, specified in such Current Reports.</w:t>
      </w:r>
    </w:p>
    <w:p>
      <w:pPr>
        <w:spacing w:after="0" w:line="81" w:lineRule="exact"/>
        <w:rPr>
          <w:rFonts w:ascii="Times New Roman" w:cs="Times New Roman" w:eastAsia="Times New Roman" w:hAnsi="Times New Roman"/>
          <w:sz w:val="17"/>
          <w:szCs w:val="17"/>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00" w:lineRule="exact"/>
        <w:rPr>
          <w:rFonts w:ascii="Times New Roman" w:cs="Times New Roman" w:eastAsia="Times New Roman" w:hAnsi="Times New Roman"/>
          <w:sz w:val="17"/>
          <w:szCs w:val="17"/>
          <w:color w:val="auto"/>
        </w:rPr>
      </w:pPr>
    </w:p>
    <w:p>
      <w:pPr>
        <w:spacing w:after="0" w:line="21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7"/>
          <w:szCs w:val="17"/>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7"/>
          <w:szCs w:val="17"/>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7" w:lineRule="exact"/>
        <w:rPr>
          <w:rFonts w:ascii="Times New Roman" w:cs="Times New Roman" w:eastAsia="Times New Roman" w:hAnsi="Times New Roman"/>
          <w:sz w:val="17"/>
          <w:szCs w:val="17"/>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summary is qualified in its entirety by reference to the complete text of any statutes referred to below and the certificate of incorporation and bylaws of Integra LifeSciences Holdings Corporation.</w:t>
      </w:r>
    </w:p>
    <w:p>
      <w:pPr>
        <w:spacing w:after="0" w:line="51" w:lineRule="exact"/>
        <w:rPr>
          <w:rFonts w:ascii="Times New Roman" w:cs="Times New Roman" w:eastAsia="Times New Roman" w:hAnsi="Times New Roman"/>
          <w:sz w:val="17"/>
          <w:szCs w:val="17"/>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The Registrant is organized under the laws of the State of Delaware. As permitted by the Delaware General Corporation Law (“DGCL”), Article 7 of the Company’s amended and restated certificate of incorporation, as amended (the “Certificate of Incorporation”) provides that our directors and officers shall not be personally liable to the Company or our stockholders for monetary damages for breach of fiduciary duty as directors and officers, except to the extent that Section 102(b)(7) (or any successor provision) of the DGCL, as amended from time to time, expressly provides that the liability of a director or officer may not be eliminated or limited. Under Section 102(b)(7) of the DGCL, liability of a director or officer may not be limited (i) for any breach of a director’s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w:t>
      </w:r>
    </w:p>
    <w:p>
      <w:pPr>
        <w:spacing w:after="0" w:line="2"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 (v) an officer in any action by or in the right of the</w:t>
      </w:r>
    </w:p>
    <w:p>
      <w:pPr>
        <w:spacing w:after="0" w:line="9"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 addition, Article 6 of our third amended and restated bylaws (the “Bylaws”) provides for indemnification of our officers and directors to the fullest extent permitted under Delaware law.</w:t>
      </w:r>
    </w:p>
    <w:p>
      <w:pPr>
        <w:spacing w:after="0" w:line="73" w:lineRule="exact"/>
        <w:rPr>
          <w:rFonts w:ascii="Times New Roman" w:cs="Times New Roman" w:eastAsia="Times New Roman" w:hAnsi="Times New Roman"/>
          <w:sz w:val="17"/>
          <w:szCs w:val="17"/>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84" w:lineRule="exact"/>
        <w:rPr>
          <w:rFonts w:ascii="Times New Roman" w:cs="Times New Roman" w:eastAsia="Times New Roman" w:hAnsi="Times New Roman"/>
          <w:sz w:val="17"/>
          <w:szCs w:val="17"/>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w:t>
      </w:r>
    </w:p>
    <w:p>
      <w:pPr>
        <w:sectPr>
          <w:pgSz w:w="11900" w:h="16838" w:orient="portrait"/>
          <w:cols w:equalWidth="0" w:num="1">
            <w:col w:w="11220"/>
          </w:cols>
          <w:pgMar w:left="320" w:top="738" w:right="3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t>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liabilities under Section 145.</w:t>
      </w:r>
    </w:p>
    <w:p>
      <w:pPr>
        <w:spacing w:after="0" w:line="8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Any person claiming indemnification within the scope of Section 6.01 of the Registrant’s Bylaws is entitled to advances from the Registrant for payment of the expenses of defending actions against such person in the manner and to the full extent permissible under Delaware law.</w:t>
      </w: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indemnification provided under Article 6 of the Bylaws is in the nature of a contract between the Registrant and each of its directors and officers. No amendment or repeal of any provision of Article 6 of the Bylaws will alter, to the detriment of such director or officer, the right of such person to the advancement of expenses or indemnification related to a claim based on an act or failure to act which took place prior to such amendment, repeal or termination.</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Article 6 of the Bylaws is not exclusive of any other rights to which those seeking indemnification or advancement of expenses may be entitled under any insurance or other agreement, vote of shareholders or disinterested directors or otherwise, both as to actions in their official capacity and as to actions in another capacity while holding an office, and will continue as to a person who has ceased to be a director or officer and will inure to the benefit of the heirs, executors and administrators of such person.</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all of its non-employee directors and executive officers that require it to indemnify these persons to the fullest extent permitted by applicable law against expenses, judgments, fines and amounts paid in settlement actually and reasonably incurred by the indemnitee, or on their behalf, as applicable, in connection with such third-party proceeding or any claim, issue or matter therein, if the indemnitee acted in good faith and in a manner they reasonably believed to be in, or not opposed to, the best interests of the Company and, in the case of a criminal action or proceeding, had no reasonable cause to believe that his or her conduct was unlawful. The indemnification agreements further provide for the indemnification of any such non-employee director or executive officer against all expenses incurred in the successful defense of any proceeding, whether on the merits or otherwise, in a proceeding or in defense of any claim, issue or matter therein, in whole or in part, and also establish procedures that will apply if a claim for indemnification arises under the indemnification agreements.</w:t>
      </w:r>
    </w:p>
    <w:p>
      <w:pPr>
        <w:spacing w:after="0" w:line="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executive officers or persons controlling us, we have been informed that, in the opinion of the Commission, such indemnification is against public policy as expressed in the Securities Act and is therefore unenforceable.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87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1200"/>
          </w:cols>
          <w:pgMar w:left="320" w:top="779" w:right="379" w:bottom="1440" w:gutter="0" w:footer="0" w:header="0"/>
        </w:sect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Exhibit</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62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4.1(a)</w:t>
      </w: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4.1(b)</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4.1(c)</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4.1(d)</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4.2(a)</w:t>
      </w: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4.3(a)</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4.3(b)</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4.3(c)</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4.3(d)</w:t>
      </w:r>
    </w:p>
    <w:p>
      <w:pPr>
        <w:spacing w:after="0" w:line="2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6437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34" w:lineRule="exact"/>
        <w:rPr>
          <w:sz w:val="20"/>
          <w:szCs w:val="20"/>
          <w:color w:val="auto"/>
        </w:rPr>
      </w:pPr>
    </w:p>
    <w:p>
      <w:pPr>
        <w:ind w:right="740"/>
        <w:spacing w:after="0" w:line="280" w:lineRule="auto"/>
        <w:rPr>
          <w:rFonts w:ascii="Times New Roman" w:cs="Times New Roman" w:eastAsia="Times New Roman" w:hAnsi="Times New Roman"/>
          <w:sz w:val="16"/>
          <w:szCs w:val="16"/>
          <w:u w:val="single" w:color="auto"/>
          <w:color w:val="0000FF"/>
        </w:rPr>
      </w:pPr>
      <w:hyperlink r:id="rId39">
        <w:r>
          <w:rPr>
            <w:rFonts w:ascii="Times New Roman" w:cs="Times New Roman" w:eastAsia="Times New Roman" w:hAnsi="Times New Roman"/>
            <w:sz w:val="16"/>
            <w:szCs w:val="16"/>
            <w:u w:val="single" w:color="auto"/>
            <w:color w:val="0000FF"/>
          </w:rPr>
          <w:t>Amended and Restated Certificate of Incorporation of the Registrant dated February 16, 1993 (Incorporated by reference to Exhibit 3.1(a) to the</w:t>
        </w:r>
      </w:hyperlink>
      <w:r>
        <w:rPr>
          <w:rFonts w:ascii="Times New Roman" w:cs="Times New Roman" w:eastAsia="Times New Roman" w:hAnsi="Times New Roman"/>
          <w:sz w:val="16"/>
          <w:szCs w:val="16"/>
          <w:u w:val="single" w:color="auto"/>
          <w:color w:val="0000FF"/>
        </w:rPr>
        <w:t xml:space="preserve"> </w:t>
      </w:r>
      <w:hyperlink r:id="rId39">
        <w:r>
          <w:rPr>
            <w:rFonts w:ascii="Times New Roman" w:cs="Times New Roman" w:eastAsia="Times New Roman" w:hAnsi="Times New Roman"/>
            <w:sz w:val="16"/>
            <w:szCs w:val="16"/>
            <w:u w:val="single" w:color="auto"/>
            <w:color w:val="0000FF"/>
          </w:rPr>
          <w:t>Registrant’s Annual Report on Form 10-K for the year ended December 31, 2005).</w:t>
        </w:r>
      </w:hyperlink>
    </w:p>
    <w:p>
      <w:pPr>
        <w:spacing w:after="0" w:line="138" w:lineRule="exact"/>
        <w:rPr>
          <w:sz w:val="20"/>
          <w:szCs w:val="20"/>
          <w:color w:val="auto"/>
        </w:rPr>
      </w:pPr>
    </w:p>
    <w:p>
      <w:pPr>
        <w:ind w:right="460"/>
        <w:spacing w:after="0" w:line="280" w:lineRule="auto"/>
        <w:rPr>
          <w:rFonts w:ascii="Times New Roman" w:cs="Times New Roman" w:eastAsia="Times New Roman" w:hAnsi="Times New Roman"/>
          <w:sz w:val="16"/>
          <w:szCs w:val="16"/>
          <w:u w:val="single" w:color="auto"/>
          <w:color w:val="0000FF"/>
        </w:rPr>
      </w:pPr>
      <w:hyperlink r:id="rId40">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May 22, 1998 (Incorporated by reference to</w:t>
        </w:r>
      </w:hyperlink>
      <w:r>
        <w:rPr>
          <w:rFonts w:ascii="Times New Roman" w:cs="Times New Roman" w:eastAsia="Times New Roman" w:hAnsi="Times New Roman"/>
          <w:sz w:val="16"/>
          <w:szCs w:val="16"/>
          <w:u w:val="single" w:color="auto"/>
          <w:color w:val="0000FF"/>
        </w:rPr>
        <w:t xml:space="preserve"> </w:t>
      </w:r>
      <w:hyperlink r:id="rId40">
        <w:r>
          <w:rPr>
            <w:rFonts w:ascii="Times New Roman" w:cs="Times New Roman" w:eastAsia="Times New Roman" w:hAnsi="Times New Roman"/>
            <w:sz w:val="16"/>
            <w:szCs w:val="16"/>
            <w:u w:val="single" w:color="auto"/>
            <w:color w:val="0000FF"/>
          </w:rPr>
          <w:t>Exhibit 3.1(b) to the Registrant’s Annual Report on Form 10-K for the year ended December 31, 1998).</w:t>
        </w:r>
      </w:hyperlink>
    </w:p>
    <w:p>
      <w:pPr>
        <w:spacing w:after="0" w:line="84" w:lineRule="exact"/>
        <w:rPr>
          <w:sz w:val="20"/>
          <w:szCs w:val="20"/>
          <w:color w:val="auto"/>
        </w:rPr>
      </w:pPr>
    </w:p>
    <w:p>
      <w:pPr>
        <w:ind w:right="460"/>
        <w:spacing w:after="0" w:line="280" w:lineRule="auto"/>
        <w:rPr>
          <w:rFonts w:ascii="Times New Roman" w:cs="Times New Roman" w:eastAsia="Times New Roman" w:hAnsi="Times New Roman"/>
          <w:sz w:val="16"/>
          <w:szCs w:val="16"/>
          <w:u w:val="single" w:color="auto"/>
          <w:color w:val="0000FF"/>
        </w:rPr>
      </w:pPr>
      <w:hyperlink r:id="rId41">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May 17, 1999 (Incorporated by reference to</w:t>
        </w:r>
      </w:hyperlink>
      <w:r>
        <w:rPr>
          <w:rFonts w:ascii="Times New Roman" w:cs="Times New Roman" w:eastAsia="Times New Roman" w:hAnsi="Times New Roman"/>
          <w:sz w:val="16"/>
          <w:szCs w:val="16"/>
          <w:u w:val="single" w:color="auto"/>
          <w:color w:val="0000FF"/>
        </w:rPr>
        <w:t xml:space="preserve"> </w:t>
      </w:r>
      <w:hyperlink r:id="rId41">
        <w:r>
          <w:rPr>
            <w:rFonts w:ascii="Times New Roman" w:cs="Times New Roman" w:eastAsia="Times New Roman" w:hAnsi="Times New Roman"/>
            <w:sz w:val="16"/>
            <w:szCs w:val="16"/>
            <w:u w:val="single" w:color="auto"/>
            <w:color w:val="0000FF"/>
          </w:rPr>
          <w:t>Exhibit 3.1(c) to the Registrant’s Annual Report on Form 10-K for the year ended December 31, 2004).</w:t>
        </w:r>
      </w:hyperlink>
    </w:p>
    <w:p>
      <w:pPr>
        <w:spacing w:after="0" w:line="84" w:lineRule="exact"/>
        <w:rPr>
          <w:sz w:val="20"/>
          <w:szCs w:val="20"/>
          <w:color w:val="auto"/>
        </w:rPr>
      </w:pPr>
    </w:p>
    <w:p>
      <w:pPr>
        <w:ind w:right="80"/>
        <w:spacing w:after="0" w:line="280" w:lineRule="auto"/>
        <w:rPr>
          <w:rFonts w:ascii="Times New Roman" w:cs="Times New Roman" w:eastAsia="Times New Roman" w:hAnsi="Times New Roman"/>
          <w:sz w:val="16"/>
          <w:szCs w:val="16"/>
          <w:u w:val="single" w:color="auto"/>
          <w:color w:val="0000FF"/>
        </w:rPr>
      </w:pPr>
      <w:hyperlink r:id="rId42">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December 21, 2016 (Incorporated by reference to</w:t>
        </w:r>
      </w:hyperlink>
      <w:r>
        <w:rPr>
          <w:rFonts w:ascii="Times New Roman" w:cs="Times New Roman" w:eastAsia="Times New Roman" w:hAnsi="Times New Roman"/>
          <w:sz w:val="16"/>
          <w:szCs w:val="16"/>
          <w:u w:val="single" w:color="auto"/>
          <w:color w:val="0000FF"/>
        </w:rPr>
        <w:t xml:space="preserve"> </w:t>
      </w:r>
      <w:hyperlink r:id="rId42">
        <w:r>
          <w:rPr>
            <w:rFonts w:ascii="Times New Roman" w:cs="Times New Roman" w:eastAsia="Times New Roman" w:hAnsi="Times New Roman"/>
            <w:sz w:val="16"/>
            <w:szCs w:val="16"/>
            <w:u w:val="single" w:color="auto"/>
            <w:color w:val="0000FF"/>
          </w:rPr>
          <w:t>Exhibit 3.1 to the Registrant’s Current Report on Form 8-K filed on December 22, 2016).</w:t>
        </w:r>
      </w:hyperlink>
    </w:p>
    <w:p>
      <w:pPr>
        <w:spacing w:after="0" w:line="16" w:lineRule="exact"/>
        <w:rPr>
          <w:sz w:val="20"/>
          <w:szCs w:val="20"/>
          <w:color w:val="auto"/>
        </w:rPr>
      </w:pPr>
    </w:p>
    <w:p>
      <w:pPr>
        <w:ind w:right="20"/>
        <w:spacing w:after="0" w:line="245" w:lineRule="auto"/>
        <w:rPr>
          <w:rFonts w:ascii="Times New Roman" w:cs="Times New Roman" w:eastAsia="Times New Roman" w:hAnsi="Times New Roman"/>
          <w:sz w:val="16"/>
          <w:szCs w:val="16"/>
          <w:u w:val="single" w:color="auto"/>
          <w:color w:val="0E32E1"/>
        </w:rPr>
      </w:pPr>
      <w:hyperlink r:id="rId43">
        <w:r>
          <w:rPr>
            <w:rFonts w:ascii="Times New Roman" w:cs="Times New Roman" w:eastAsia="Times New Roman" w:hAnsi="Times New Roman"/>
            <w:sz w:val="16"/>
            <w:szCs w:val="16"/>
            <w:u w:val="single" w:color="auto"/>
            <w:color w:val="0E32E1"/>
          </w:rPr>
          <w:t>Certificate of Amendment to Amended and Restated Certificate of Incorporation of the Registrant dated May 9, 2024 (Incorporated by reference to Exhibit</w:t>
        </w:r>
      </w:hyperlink>
      <w:r>
        <w:rPr>
          <w:rFonts w:ascii="Times New Roman" w:cs="Times New Roman" w:eastAsia="Times New Roman" w:hAnsi="Times New Roman"/>
          <w:sz w:val="16"/>
          <w:szCs w:val="16"/>
          <w:u w:val="single" w:color="auto"/>
          <w:color w:val="0E32E1"/>
        </w:rPr>
        <w:t xml:space="preserve"> </w:t>
      </w:r>
      <w:hyperlink r:id="rId43">
        <w:r>
          <w:rPr>
            <w:rFonts w:ascii="Times New Roman" w:cs="Times New Roman" w:eastAsia="Times New Roman" w:hAnsi="Times New Roman"/>
            <w:sz w:val="16"/>
            <w:szCs w:val="16"/>
            <w:u w:val="single" w:color="auto"/>
            <w:color w:val="0E32E1"/>
          </w:rPr>
          <w:t>3.1 to the Registrant’s Quarterly Report on Form 10-Q for the quarter ended September 30, 2024).</w:t>
        </w:r>
      </w:hyperlink>
    </w:p>
    <w:p>
      <w:pPr>
        <w:spacing w:after="0" w:line="70" w:lineRule="exact"/>
        <w:rPr>
          <w:sz w:val="20"/>
          <w:szCs w:val="20"/>
          <w:color w:val="auto"/>
        </w:rPr>
      </w:pPr>
    </w:p>
    <w:p>
      <w:pPr>
        <w:ind w:right="480"/>
        <w:spacing w:after="0" w:line="280" w:lineRule="auto"/>
        <w:rPr>
          <w:rFonts w:ascii="Times New Roman" w:cs="Times New Roman" w:eastAsia="Times New Roman" w:hAnsi="Times New Roman"/>
          <w:sz w:val="16"/>
          <w:szCs w:val="16"/>
          <w:u w:val="single" w:color="auto"/>
          <w:color w:val="0000FF"/>
        </w:rPr>
      </w:pPr>
      <w:hyperlink r:id="rId44">
        <w:r>
          <w:rPr>
            <w:rFonts w:ascii="Times New Roman" w:cs="Times New Roman" w:eastAsia="Times New Roman" w:hAnsi="Times New Roman"/>
            <w:sz w:val="16"/>
            <w:szCs w:val="16"/>
            <w:u w:val="single" w:color="auto"/>
            <w:color w:val="0000FF"/>
          </w:rPr>
          <w:t>Third Amended and Restated Bylaws of Integra LifeSciences Holdings Corporation, effective as of February 21, 2023 (Incorporated by reference to</w:t>
        </w:r>
      </w:hyperlink>
      <w:r>
        <w:rPr>
          <w:rFonts w:ascii="Times New Roman" w:cs="Times New Roman" w:eastAsia="Times New Roman" w:hAnsi="Times New Roman"/>
          <w:sz w:val="16"/>
          <w:szCs w:val="16"/>
          <w:u w:val="single" w:color="auto"/>
          <w:color w:val="0000FF"/>
        </w:rPr>
        <w:t xml:space="preserve"> </w:t>
      </w:r>
      <w:hyperlink r:id="rId44">
        <w:r>
          <w:rPr>
            <w:rFonts w:ascii="Times New Roman" w:cs="Times New Roman" w:eastAsia="Times New Roman" w:hAnsi="Times New Roman"/>
            <w:sz w:val="16"/>
            <w:szCs w:val="16"/>
            <w:u w:val="single" w:color="auto"/>
            <w:color w:val="0000FF"/>
          </w:rPr>
          <w:t>Exhibit 3.3 to the Registrant’s Annual Report on Form 10-K for the year ended December 31, 2022).</w:t>
        </w:r>
      </w:hyperlink>
    </w:p>
    <w:p>
      <w:pPr>
        <w:spacing w:after="0" w:line="138" w:lineRule="exact"/>
        <w:rPr>
          <w:sz w:val="20"/>
          <w:szCs w:val="20"/>
          <w:color w:val="auto"/>
        </w:rPr>
      </w:pPr>
    </w:p>
    <w:p>
      <w:pPr>
        <w:ind w:right="400"/>
        <w:spacing w:after="0" w:line="280" w:lineRule="auto"/>
        <w:rPr>
          <w:rFonts w:ascii="Times New Roman" w:cs="Times New Roman" w:eastAsia="Times New Roman" w:hAnsi="Times New Roman"/>
          <w:sz w:val="16"/>
          <w:szCs w:val="16"/>
          <w:u w:val="single" w:color="auto"/>
          <w:color w:val="0000FF"/>
        </w:rPr>
      </w:pPr>
      <w:hyperlink r:id="rId45">
        <w:r>
          <w:rPr>
            <w:rFonts w:ascii="Times New Roman" w:cs="Times New Roman" w:eastAsia="Times New Roman" w:hAnsi="Times New Roman"/>
            <w:sz w:val="16"/>
            <w:szCs w:val="16"/>
            <w:u w:val="single" w:color="auto"/>
            <w:color w:val="0000FF"/>
          </w:rPr>
          <w:t>Integra LifeSciences Holdings Corporation Fifth Amended and Restated 2003 Equity Incentive Plan (Incorporated by reference to Exhibit 10.1 to the</w:t>
        </w:r>
      </w:hyperlink>
      <w:r>
        <w:rPr>
          <w:rFonts w:ascii="Times New Roman" w:cs="Times New Roman" w:eastAsia="Times New Roman" w:hAnsi="Times New Roman"/>
          <w:sz w:val="16"/>
          <w:szCs w:val="16"/>
          <w:u w:val="single" w:color="auto"/>
          <w:color w:val="0000FF"/>
        </w:rPr>
        <w:t xml:space="preserve"> </w:t>
      </w:r>
      <w:hyperlink r:id="rId45">
        <w:r>
          <w:rPr>
            <w:rFonts w:ascii="Times New Roman" w:cs="Times New Roman" w:eastAsia="Times New Roman" w:hAnsi="Times New Roman"/>
            <w:sz w:val="16"/>
            <w:szCs w:val="16"/>
            <w:u w:val="single" w:color="auto"/>
            <w:color w:val="0000FF"/>
          </w:rPr>
          <w:t>Registrant’s Current Report on Form 8-K filed on May 18, 2021).</w:t>
        </w:r>
      </w:hyperlink>
    </w:p>
    <w:p>
      <w:pPr>
        <w:spacing w:after="0" w:line="84"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46">
        <w:r>
          <w:rPr>
            <w:rFonts w:ascii="Times New Roman" w:cs="Times New Roman" w:eastAsia="Times New Roman" w:hAnsi="Times New Roman"/>
            <w:sz w:val="16"/>
            <w:szCs w:val="16"/>
            <w:u w:val="single" w:color="auto"/>
            <w:color w:val="0000FF"/>
          </w:rPr>
          <w:t>Amendment No. 1 to the Integra LifeSciences Holdings Corporation Fifth Amended and Restated 2003 Equity Incentive Plan (Incorporated by reference to</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Exhibit 10.1 to the Registrant’s Current Report on Form 8-K filed on May 13, 2024).</w:t>
        </w:r>
      </w:hyperlink>
    </w:p>
    <w:p>
      <w:pPr>
        <w:spacing w:after="0" w:line="16" w:lineRule="exact"/>
        <w:rPr>
          <w:sz w:val="20"/>
          <w:szCs w:val="20"/>
          <w:color w:val="auto"/>
        </w:rPr>
      </w:pPr>
    </w:p>
    <w:p>
      <w:pPr>
        <w:spacing w:after="0" w:line="245" w:lineRule="auto"/>
        <w:rPr>
          <w:rFonts w:ascii="Times New Roman" w:cs="Times New Roman" w:eastAsia="Times New Roman" w:hAnsi="Times New Roman"/>
          <w:sz w:val="16"/>
          <w:szCs w:val="16"/>
          <w:u w:val="single" w:color="auto"/>
          <w:color w:val="0E32E1"/>
        </w:rPr>
      </w:pPr>
      <w:hyperlink r:id="rId47">
        <w:r>
          <w:rPr>
            <w:rFonts w:ascii="Times New Roman" w:cs="Times New Roman" w:eastAsia="Times New Roman" w:hAnsi="Times New Roman"/>
            <w:sz w:val="16"/>
            <w:szCs w:val="16"/>
            <w:u w:val="single" w:color="auto"/>
            <w:color w:val="0E32E1"/>
          </w:rPr>
          <w:t>Amendment No. 2 to the Integra LifeSciences Holdings Corporation Fifth Amended and Restated 2003 Equity Incentive Plan (Incorporated by reference to</w:t>
        </w:r>
      </w:hyperlink>
      <w:r>
        <w:rPr>
          <w:rFonts w:ascii="Times New Roman" w:cs="Times New Roman" w:eastAsia="Times New Roman" w:hAnsi="Times New Roman"/>
          <w:sz w:val="16"/>
          <w:szCs w:val="16"/>
          <w:u w:val="single" w:color="auto"/>
          <w:color w:val="0E32E1"/>
        </w:rPr>
        <w:t xml:space="preserve"> </w:t>
      </w:r>
      <w:hyperlink r:id="rId47">
        <w:r>
          <w:rPr>
            <w:rFonts w:ascii="Times New Roman" w:cs="Times New Roman" w:eastAsia="Times New Roman" w:hAnsi="Times New Roman"/>
            <w:sz w:val="16"/>
            <w:szCs w:val="16"/>
            <w:u w:val="single" w:color="auto"/>
            <w:color w:val="0E32E1"/>
          </w:rPr>
          <w:t>Exhibit 10.1 to the Registrant’s Current Report on Form 8-K filed on May 13, 2025).</w:t>
        </w:r>
      </w:hyperlink>
    </w:p>
    <w:p>
      <w:pPr>
        <w:spacing w:after="0" w:line="2" w:lineRule="exact"/>
        <w:rPr>
          <w:sz w:val="20"/>
          <w:szCs w:val="20"/>
          <w:color w:val="auto"/>
        </w:rPr>
      </w:pPr>
    </w:p>
    <w:p>
      <w:pPr>
        <w:ind w:right="760"/>
        <w:spacing w:after="0" w:line="245" w:lineRule="auto"/>
        <w:rPr>
          <w:rFonts w:ascii="Times New Roman" w:cs="Times New Roman" w:eastAsia="Times New Roman" w:hAnsi="Times New Roman"/>
          <w:sz w:val="16"/>
          <w:szCs w:val="16"/>
          <w:color w:val="3051F2"/>
        </w:rPr>
      </w:pPr>
      <w:hyperlink r:id="rId48">
        <w:r>
          <w:rPr>
            <w:rFonts w:ascii="Times New Roman" w:cs="Times New Roman" w:eastAsia="Times New Roman" w:hAnsi="Times New Roman"/>
            <w:sz w:val="16"/>
            <w:szCs w:val="16"/>
            <w:u w:val="single" w:color="auto"/>
            <w:color w:val="3051F2"/>
          </w:rPr>
          <w:t>Amendment No. 3 to the Integra LifeSciences Holdings Corporation Fifth Amended and Restated 2003 Equity Incentive Plan. (Incorporated by</w:t>
        </w:r>
      </w:hyperlink>
      <w:r>
        <w:rPr>
          <w:rFonts w:ascii="Times New Roman" w:cs="Times New Roman" w:eastAsia="Times New Roman" w:hAnsi="Times New Roman"/>
          <w:sz w:val="16"/>
          <w:szCs w:val="16"/>
          <w:u w:val="single" w:color="auto"/>
          <w:color w:val="3051F2"/>
        </w:rPr>
        <w:t xml:space="preserve"> </w:t>
      </w:r>
      <w:hyperlink r:id="rId48">
        <w:r>
          <w:rPr>
            <w:rFonts w:ascii="Times New Roman" w:cs="Times New Roman" w:eastAsia="Times New Roman" w:hAnsi="Times New Roman"/>
            <w:sz w:val="16"/>
            <w:szCs w:val="16"/>
            <w:u w:val="single" w:color="auto"/>
            <w:color w:val="3051F2"/>
          </w:rPr>
          <w:t>reference to Exhibit 10.1 to the Registrant's Current Report on Form 8-K filed on May 8, 2026)</w:t>
        </w:r>
        <w:r>
          <w:rPr>
            <w:rFonts w:ascii="Times New Roman" w:cs="Times New Roman" w:eastAsia="Times New Roman" w:hAnsi="Times New Roman"/>
            <w:sz w:val="16"/>
            <w:szCs w:val="16"/>
            <w:color w:val="3051F2"/>
          </w:rPr>
          <w:t>.</w:t>
        </w:r>
      </w:hyperlink>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E32E1"/>
        </w:rPr>
        <w:t>Opinion of Hogan Lovells US LLP.+</w:t>
      </w:r>
    </w:p>
    <w:p>
      <w:pPr>
        <w:spacing w:after="0" w:line="132" w:lineRule="exact"/>
        <w:rPr>
          <w:sz w:val="20"/>
          <w:szCs w:val="20"/>
          <w:color w:val="auto"/>
        </w:rPr>
      </w:pPr>
    </w:p>
    <w:p>
      <w:pPr>
        <w:sectPr>
          <w:pgSz w:w="11900" w:h="16838" w:orient="portrait"/>
          <w:cols w:equalWidth="0" w:num="2">
            <w:col w:w="640" w:space="480"/>
            <w:col w:w="10080"/>
          </w:cols>
          <w:pgMar w:left="320" w:top="779" w:right="379" w:bottom="1440" w:gutter="0" w:footer="0" w:header="0"/>
          <w:type w:val="continuous"/>
        </w:sectPr>
      </w:pPr>
    </w:p>
    <w:tbl>
      <w:tblPr>
        <w:tblLayout w:type="fixed"/>
        <w:tblInd w:w="240" w:type="dxa"/>
        <w:tblCellMar>
          <w:top w:w="0" w:type="dxa"/>
          <w:left w:w="0" w:type="dxa"/>
          <w:bottom w:w="0" w:type="dxa"/>
          <w:right w:w="0" w:type="dxa"/>
        </w:tblCellMar>
      </w:tblPr>
      <w:tr>
        <w:trPr>
          <w:trHeight w:val="184"/>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23.1</w:t>
            </w:r>
          </w:p>
        </w:tc>
        <w:tc>
          <w:tcPr>
            <w:tcW w:w="402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6"/>
                <w:szCs w:val="16"/>
                <w:color w:val="0E32E1"/>
              </w:rPr>
              <w:t>Consent of Independent Registered Public Accounting Firm.+</w:t>
            </w:r>
          </w:p>
        </w:tc>
        <w:tc>
          <w:tcPr>
            <w:tcW w:w="20" w:type="dxa"/>
            <w:vAlign w:val="bottom"/>
          </w:tcPr>
          <w:p>
            <w:pPr>
              <w:spacing w:after="0"/>
              <w:rPr>
                <w:sz w:val="16"/>
                <w:szCs w:val="16"/>
                <w:color w:val="auto"/>
              </w:rPr>
            </w:pPr>
          </w:p>
        </w:tc>
      </w:tr>
      <w:tr>
        <w:trPr>
          <w:trHeight w:val="250"/>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23.2</w:t>
            </w:r>
          </w:p>
        </w:tc>
        <w:tc>
          <w:tcPr>
            <w:tcW w:w="40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6"/>
                <w:szCs w:val="16"/>
                <w:color w:val="0E32E1"/>
              </w:rPr>
              <w:t>Consent of Hogan Lovells US LLP (included in Exhibit 5.1).+</w:t>
            </w:r>
          </w:p>
        </w:tc>
      </w:tr>
      <w:tr>
        <w:trPr>
          <w:trHeight w:val="250"/>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24.1</w:t>
            </w:r>
          </w:p>
        </w:tc>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color w:val="0E32E1"/>
              </w:rPr>
              <w:t>Power of Attorney. +</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E32E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sz w:val="20"/>
          <w:szCs w:val="20"/>
          <w:color w:val="auto"/>
        </w:rPr>
      </w:pPr>
    </w:p>
    <w:p>
      <w:pPr>
        <w:ind w:left="220" w:right="8880" w:firstLine="31"/>
        <w:spacing w:after="0" w:line="333" w:lineRule="auto"/>
        <w:tabs>
          <w:tab w:leader="none" w:pos="111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 xml:space="preserve">Filing Fee Table.+ </w:t>
      </w:r>
      <w:r>
        <w:rPr>
          <w:rFonts w:ascii="Times New Roman" w:cs="Times New Roman" w:eastAsia="Times New Roman" w:hAnsi="Times New Roman"/>
          <w:sz w:val="16"/>
          <w:szCs w:val="16"/>
          <w:color w:val="000000"/>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980" w:hanging="324"/>
        <w:spacing w:after="0" w:line="255" w:lineRule="auto"/>
        <w:tabs>
          <w:tab w:leader="none" w:pos="105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80"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10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2" w:lineRule="exact"/>
        <w:rPr>
          <w:sz w:val="20"/>
          <w:szCs w:val="20"/>
          <w:color w:val="auto"/>
        </w:rPr>
      </w:pPr>
    </w:p>
    <w:p>
      <w:pPr>
        <w:jc w:val="both"/>
        <w:ind w:left="340"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1200"/>
          </w:cols>
          <w:pgMar w:left="320" w:top="779" w:right="379" w:bottom="1440" w:gutter="0" w:footer="0" w:header="0"/>
          <w:type w:val="continuous"/>
        </w:sectPr>
      </w:pPr>
    </w:p>
    <w:bookmarkStart w:id="5" w:name="page6"/>
    <w:bookmarkEnd w:id="5"/>
    <w:p>
      <w:pPr>
        <w:ind w:left="652" w:right="20" w:hanging="328"/>
        <w:spacing w:after="0" w:line="266" w:lineRule="auto"/>
        <w:tabs>
          <w:tab w:leader="none" w:pos="71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652" w:right="820" w:hanging="328"/>
        <w:spacing w:after="0" w:line="282" w:lineRule="auto"/>
        <w:tabs>
          <w:tab w:leader="none" w:pos="71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 w:firstLine="8"/>
        <w:spacing w:after="0" w:line="281" w:lineRule="auto"/>
        <w:tabs>
          <w:tab w:leader="none" w:pos="38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56" w:lineRule="exact"/>
        <w:rPr>
          <w:rFonts w:ascii="Times New Roman" w:cs="Times New Roman" w:eastAsia="Times New Roman" w:hAnsi="Times New Roman"/>
          <w:sz w:val="17"/>
          <w:szCs w:val="17"/>
          <w:color w:val="auto"/>
        </w:rPr>
      </w:pPr>
    </w:p>
    <w:p>
      <w:pPr>
        <w:ind w:left="-8" w:right="140" w:firstLine="8"/>
        <w:spacing w:after="0" w:line="254"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12"/>
          </w:cols>
          <w:pgMar w:left="328" w:top="877"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40" w:firstLine="648"/>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Princeton, state of New Jersey, on this 8th day of May, 2026.</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Stuart M. Essig, Ph.D.</w:t>
            </w:r>
          </w:p>
        </w:tc>
      </w:tr>
      <w:tr>
        <w:trPr>
          <w:trHeight w:val="218"/>
        </w:trPr>
        <w:tc>
          <w:tcPr>
            <w:tcW w:w="100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M. Essig, Ph.D.</w:t>
            </w:r>
          </w:p>
        </w:tc>
      </w:tr>
      <w:tr>
        <w:trPr>
          <w:trHeight w:val="234"/>
        </w:trPr>
        <w:tc>
          <w:tcPr>
            <w:tcW w:w="10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on May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8, 2026.</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3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Stuart M. Essig,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Stuart M. Essig</w:t>
      </w:r>
    </w:p>
    <w:p>
      <w:pPr>
        <w:spacing w:after="0" w:line="3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54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3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Lea Knight</w:t>
      </w:r>
    </w:p>
    <w:p>
      <w:pPr>
        <w:spacing w:after="0" w:line="3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Jeffrey A. Mosebrook</w:t>
      </w:r>
    </w:p>
    <w:p>
      <w:pPr>
        <w:spacing w:after="0" w:line="2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Keith Bradley, Ph.D.</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Shaundra Clay</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Jeffrey A. Graves, Ph.D.</w:t>
      </w:r>
    </w:p>
    <w:p>
      <w:pPr>
        <w:spacing w:after="0" w:line="21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Barbara B. Hill</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Renee W. Lo</w:t>
      </w:r>
    </w:p>
    <w:p>
      <w:pPr>
        <w:spacing w:after="0" w:line="26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Christian S. Schade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17145</wp:posOffset>
            </wp:positionV>
            <wp:extent cx="348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5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3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5"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6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462915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6440" w:space="720"/>
            <w:col w:w="408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right="480" w:hanging="254"/>
        <w:spacing w:after="0" w:line="237"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has been signed on behalf of the above directors by Stuart M. Essig, Ph.D., as attorney-in-fact pursuant to a power of attorney filed as Exhibit 24.1 to this Registration Statement.</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25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 Stuart M. Essig, Ph.D.</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5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M. Essig, Ph.D., Attorney-in-Fact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1440" w:gutter="0" w:footer="0" w:header="0"/>
          <w:type w:val="continuous"/>
        </w:sectPr>
      </w:pPr>
    </w:p>
    <w:bookmarkStart w:id="7" w:name="page8"/>
    <w:bookmarkEnd w:id="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971550</wp:posOffset>
            </wp:positionV>
            <wp:extent cx="814070"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4"/>
          <w:szCs w:val="14"/>
          <w:color w:val="auto"/>
        </w:rPr>
        <w:t>Hogan Lovells US LLP</w:t>
      </w:r>
    </w:p>
    <w:p>
      <w:pPr>
        <w:ind w:left="6500"/>
        <w:spacing w:after="0" w:line="220" w:lineRule="auto"/>
        <w:rPr>
          <w:sz w:val="20"/>
          <w:szCs w:val="20"/>
          <w:color w:val="auto"/>
        </w:rPr>
      </w:pPr>
      <w:r>
        <w:rPr>
          <w:rFonts w:ascii="Arial" w:cs="Arial" w:eastAsia="Arial" w:hAnsi="Arial"/>
          <w:sz w:val="14"/>
          <w:szCs w:val="14"/>
          <w:color w:val="auto"/>
        </w:rPr>
        <w:t>1735 Market Street, 23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Floor</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Philadelphia, PA 19103</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T +1 267 675 4600</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F +1 267 675 4601</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www.hoganlovells.com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May 8, 2026</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Board of Directors</w:t>
      </w:r>
    </w:p>
    <w:p>
      <w:pPr>
        <w:spacing w:after="0"/>
        <w:rPr>
          <w:sz w:val="20"/>
          <w:szCs w:val="20"/>
          <w:color w:val="auto"/>
        </w:rPr>
      </w:pPr>
      <w:r>
        <w:rPr>
          <w:rFonts w:ascii="Arial" w:cs="Arial" w:eastAsia="Arial" w:hAnsi="Arial"/>
          <w:sz w:val="19"/>
          <w:szCs w:val="19"/>
          <w:color w:val="auto"/>
        </w:rPr>
        <w:t>Integra LifeSciences Holdings Corporation</w:t>
      </w:r>
    </w:p>
    <w:p>
      <w:pPr>
        <w:spacing w:after="0" w:line="222" w:lineRule="auto"/>
        <w:rPr>
          <w:sz w:val="20"/>
          <w:szCs w:val="20"/>
          <w:color w:val="auto"/>
        </w:rPr>
      </w:pPr>
      <w:r>
        <w:rPr>
          <w:rFonts w:ascii="Arial" w:cs="Arial" w:eastAsia="Arial" w:hAnsi="Arial"/>
          <w:sz w:val="19"/>
          <w:szCs w:val="19"/>
          <w:color w:val="auto"/>
        </w:rPr>
        <w:t>1100 Campus Road</w:t>
      </w:r>
    </w:p>
    <w:p>
      <w:pPr>
        <w:spacing w:after="0"/>
        <w:rPr>
          <w:sz w:val="20"/>
          <w:szCs w:val="20"/>
          <w:color w:val="auto"/>
        </w:rPr>
      </w:pPr>
      <w:r>
        <w:rPr>
          <w:rFonts w:ascii="Arial" w:cs="Arial" w:eastAsia="Arial" w:hAnsi="Arial"/>
          <w:sz w:val="19"/>
          <w:szCs w:val="19"/>
          <w:color w:val="auto"/>
        </w:rPr>
        <w:t>Princeton, New Jersey 08540</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To the addressee referred to above:</w:t>
      </w:r>
    </w:p>
    <w:p>
      <w:pPr>
        <w:spacing w:after="0" w:line="241" w:lineRule="exact"/>
        <w:rPr>
          <w:sz w:val="20"/>
          <w:szCs w:val="20"/>
          <w:color w:val="auto"/>
        </w:rPr>
      </w:pPr>
    </w:p>
    <w:p>
      <w:pPr>
        <w:jc w:val="both"/>
        <w:spacing w:after="0" w:line="213" w:lineRule="exact"/>
        <w:rPr>
          <w:sz w:val="20"/>
          <w:szCs w:val="20"/>
          <w:color w:val="auto"/>
        </w:rPr>
      </w:pPr>
      <w:r>
        <w:rPr>
          <w:rFonts w:ascii="Arial" w:cs="Arial" w:eastAsia="Arial" w:hAnsi="Arial"/>
          <w:sz w:val="19"/>
          <w:szCs w:val="19"/>
          <w:color w:val="auto"/>
        </w:rPr>
        <w:t>We are acting as counsel to Integra LifeSciences Holdings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its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Securities and Exchange Commission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relating to the proposed offering of up to 3,550,000 shares (the “</w:t>
      </w:r>
      <w:r>
        <w:rPr>
          <w:rFonts w:ascii="Arial" w:cs="Arial" w:eastAsia="Arial" w:hAnsi="Arial"/>
          <w:sz w:val="19"/>
          <w:szCs w:val="19"/>
          <w:b w:val="1"/>
          <w:bCs w:val="1"/>
          <w:color w:val="auto"/>
        </w:rPr>
        <w:t>Shares</w:t>
      </w:r>
      <w:r>
        <w:rPr>
          <w:rFonts w:ascii="Arial" w:cs="Arial" w:eastAsia="Arial" w:hAnsi="Arial"/>
          <w:sz w:val="19"/>
          <w:szCs w:val="19"/>
          <w:color w:val="auto"/>
        </w:rPr>
        <w:t>”) of common stock, par value $0.01 per share, of the Company issuable pursuant to the Integra LifeSciences Holdings Corporation Fifth Amended and Restated 2003 Equity Incentive Plan, as amended (the “</w:t>
      </w:r>
      <w:r>
        <w:rPr>
          <w:rFonts w:ascii="Arial" w:cs="Arial" w:eastAsia="Arial" w:hAnsi="Arial"/>
          <w:sz w:val="19"/>
          <w:szCs w:val="19"/>
          <w:b w:val="1"/>
          <w:bCs w:val="1"/>
          <w:color w:val="auto"/>
        </w:rPr>
        <w:t>Incentive Plan</w:t>
      </w:r>
      <w:r>
        <w:rPr>
          <w:rFonts w:ascii="Arial" w:cs="Arial" w:eastAsia="Arial" w:hAnsi="Arial"/>
          <w:sz w:val="19"/>
          <w:szCs w:val="19"/>
          <w:color w:val="auto"/>
        </w:rPr>
        <w:t>”). This opinion letter is furnished to you at your request to enable you to fulfill the requirements of Item 601(b)(5) of Regulation S</w:t>
      </w:r>
      <w:r>
        <w:rPr>
          <w:rFonts w:ascii="MS PGothic" w:cs="MS PGothic" w:eastAsia="MS PGothic" w:hAnsi="MS PGothic"/>
          <w:sz w:val="19"/>
          <w:szCs w:val="19"/>
          <w:color w:val="auto"/>
        </w:rPr>
        <w:t>‑</w:t>
      </w:r>
      <w:r>
        <w:rPr>
          <w:rFonts w:ascii="Arial" w:cs="Arial" w:eastAsia="Arial" w:hAnsi="Arial"/>
          <w:sz w:val="19"/>
          <w:szCs w:val="19"/>
          <w:color w:val="auto"/>
        </w:rPr>
        <w:t>K, 17 C.F.R. § 229.601(b)(5), in connection with the Registration Statement.</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opinion letter is based as to matters of law solely on the Delaware General Corporation Law, as amended. We express no opinion herein as to any other statutes, rules or regulations.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Based upon, subject to and limited by the foregoing, we are of the opinion that following (i) effectiveness of the Registration Statement, (ii) issuance of the Shares pursuant to the terms of the Incentive Plan, and (iii) receipt by the Company of the consideration for the Shares specified in the resolutions of the Board of Directors (or a duly authorized committee thereof) and in the Incentive Plan, the Shares will be validly issued, fully paid, and nonassessable.</w:t>
      </w:r>
    </w:p>
    <w:p>
      <w:pPr>
        <w:spacing w:after="0" w:line="213" w:lineRule="exact"/>
        <w:rPr>
          <w:sz w:val="20"/>
          <w:szCs w:val="20"/>
          <w:color w:val="auto"/>
        </w:rPr>
      </w:pPr>
    </w:p>
    <w:p>
      <w:pPr>
        <w:jc w:val="both"/>
        <w:ind w:right="20"/>
        <w:spacing w:after="0" w:line="256" w:lineRule="auto"/>
        <w:rPr>
          <w:sz w:val="20"/>
          <w:szCs w:val="20"/>
          <w:color w:val="auto"/>
        </w:rPr>
      </w:pPr>
      <w:r>
        <w:rPr>
          <w:rFonts w:ascii="Arial" w:cs="Arial" w:eastAsia="Arial" w:hAnsi="Arial"/>
          <w:sz w:val="19"/>
          <w:szCs w:val="19"/>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Hogan Lovells US LLP is a limited liability partnership registered in the state of Delaware. “Hogan Lovells” is an international legal practice that includes Hogan Lovells US LLP and Hogan Lovells International LLP, with offices in:</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auto"/>
        </w:rPr>
        <w:t>Alicante Amsterdam Baltimore Beijing Berlin Birmingham Boston Brussels Colorado Springs Denver Dubai Dublin Dusseldorf Frankfurt Hamburg Hanoi Ho Chi Minh City Hong Kong Houston London Los Angeles Luxembourg Madrid</w:t>
      </w:r>
    </w:p>
    <w:p>
      <w:pPr>
        <w:spacing w:after="0" w:line="17" w:lineRule="exact"/>
        <w:rPr>
          <w:sz w:val="20"/>
          <w:szCs w:val="20"/>
          <w:color w:val="auto"/>
        </w:rPr>
      </w:pPr>
    </w:p>
    <w:p>
      <w:pPr>
        <w:ind w:right="320"/>
        <w:spacing w:after="0" w:line="246" w:lineRule="auto"/>
        <w:rPr>
          <w:sz w:val="20"/>
          <w:szCs w:val="20"/>
          <w:color w:val="auto"/>
        </w:rPr>
      </w:pPr>
      <w:r>
        <w:rPr>
          <w:rFonts w:ascii="Arial" w:cs="Arial" w:eastAsia="Arial" w:hAnsi="Arial"/>
          <w:sz w:val="11"/>
          <w:szCs w:val="11"/>
          <w:color w:val="auto"/>
        </w:rPr>
        <w:t>Mexico City Miami Milan Minneapolis Monterrey Munich New York Northern Virginia Paris Philadelphia Riyadh Rome San Francisco São Paulo Shanghai Silicon Valley Singapore Tokyo Washington, D.C. For more information see www.hoganlovells.com.</w:t>
      </w:r>
    </w:p>
    <w:p>
      <w:pPr>
        <w:sectPr>
          <w:pgSz w:w="11900" w:h="16838" w:orient="portrait"/>
          <w:cols w:equalWidth="0" w:num="1">
            <w:col w:w="11240"/>
          </w:cols>
          <w:pgMar w:left="320" w:top="1440" w:right="339" w:bottom="1440" w:gutter="0" w:footer="0" w:header="0"/>
        </w:sectPr>
      </w:pPr>
    </w:p>
    <w:bookmarkStart w:id="8" w:name="page9"/>
    <w:bookmarkEnd w:id="8"/>
    <w:tbl>
      <w:tblPr>
        <w:tblLayout w:type="fixed"/>
        <w:tblInd w:w="80" w:type="dxa"/>
        <w:tblCellMar>
          <w:top w:w="0" w:type="dxa"/>
          <w:left w:w="0" w:type="dxa"/>
          <w:bottom w:w="0" w:type="dxa"/>
          <w:right w:w="0" w:type="dxa"/>
        </w:tblCellMar>
      </w:tblPr>
      <w:tr>
        <w:trPr>
          <w:trHeight w:val="249"/>
        </w:trPr>
        <w:tc>
          <w:tcPr>
            <w:tcW w:w="4460" w:type="dxa"/>
            <w:vAlign w:val="bottom"/>
          </w:tcPr>
          <w:p>
            <w:pPr>
              <w:spacing w:after="0"/>
              <w:rPr>
                <w:sz w:val="20"/>
                <w:szCs w:val="20"/>
                <w:color w:val="auto"/>
              </w:rPr>
            </w:pPr>
            <w:r>
              <w:rPr>
                <w:rFonts w:ascii="Arial" w:cs="Arial" w:eastAsia="Arial" w:hAnsi="Arial"/>
                <w:sz w:val="19"/>
                <w:szCs w:val="19"/>
                <w:color w:val="auto"/>
              </w:rPr>
              <w:t>Integra LifeSciences Holdings Corporation</w:t>
            </w:r>
          </w:p>
        </w:tc>
        <w:tc>
          <w:tcPr>
            <w:tcW w:w="3420" w:type="dxa"/>
            <w:vAlign w:val="bottom"/>
          </w:tcPr>
          <w:p>
            <w:pPr>
              <w:jc w:val="right"/>
              <w:ind w:right="2086"/>
              <w:spacing w:after="0"/>
              <w:rPr>
                <w:sz w:val="20"/>
                <w:szCs w:val="20"/>
                <w:color w:val="auto"/>
              </w:rPr>
            </w:pPr>
            <w:r>
              <w:rPr>
                <w:rFonts w:ascii="Arial" w:cs="Arial" w:eastAsia="Arial" w:hAnsi="Arial"/>
                <w:sz w:val="19"/>
                <w:szCs w:val="19"/>
                <w:color w:val="auto"/>
              </w:rPr>
              <w:t>- 2 -</w:t>
            </w:r>
          </w:p>
        </w:tc>
        <w:tc>
          <w:tcPr>
            <w:tcW w:w="3220" w:type="dxa"/>
            <w:vAlign w:val="bottom"/>
          </w:tcPr>
          <w:p>
            <w:pPr>
              <w:ind w:left="2180"/>
              <w:spacing w:after="0"/>
              <w:rPr>
                <w:sz w:val="20"/>
                <w:szCs w:val="20"/>
                <w:color w:val="auto"/>
              </w:rPr>
            </w:pPr>
            <w:r>
              <w:rPr>
                <w:rFonts w:ascii="Arial" w:cs="Arial" w:eastAsia="Arial" w:hAnsi="Arial"/>
                <w:sz w:val="19"/>
                <w:szCs w:val="19"/>
                <w:color w:val="auto"/>
                <w:w w:val="97"/>
              </w:rPr>
              <w:t>May 8,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0"/>
        <w:spacing w:after="0" w:line="256" w:lineRule="auto"/>
        <w:rPr>
          <w:sz w:val="20"/>
          <w:szCs w:val="20"/>
          <w:color w:val="auto"/>
        </w:rPr>
      </w:pPr>
      <w:r>
        <w:rPr>
          <w:rFonts w:ascii="Arial" w:cs="Arial" w:eastAsia="Arial" w:hAnsi="Arial"/>
          <w:sz w:val="19"/>
          <w:szCs w:val="19"/>
          <w:color w:val="auto"/>
        </w:rPr>
        <w:t>We hereby consent to the filing of this opinion letter as Exhibit 5.1 to the Registration Statement. In giving this consent, we do not thereby admit that we are an “expert” within the meaning of the Act.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/s/ HOGAN LOVELLS US LLP</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HOGAN LOVELLS US LLP</w:t>
      </w:r>
    </w:p>
    <w:p>
      <w:pPr>
        <w:sectPr>
          <w:pgSz w:w="11900" w:h="16838" w:orient="portrait"/>
          <w:cols w:equalWidth="0" w:num="1">
            <w:col w:w="11180"/>
          </w:cols>
          <w:pgMar w:left="320" w:top="180" w:right="399" w:bottom="1440" w:gutter="0" w:footer="0" w:header="0"/>
        </w:sectPr>
      </w:pPr>
    </w:p>
    <w:bookmarkStart w:id="9" w:name="page10"/>
    <w:bookmarkEnd w:id="9"/>
    <w:p>
      <w:pPr>
        <w:jc w:val="right"/>
        <w:spacing w:after="0"/>
        <w:rPr>
          <w:sz w:val="20"/>
          <w:szCs w:val="20"/>
          <w:color w:val="auto"/>
        </w:rPr>
      </w:pPr>
      <w:r>
        <w:rPr>
          <w:rFonts w:ascii="Georgia" w:cs="Georgia" w:eastAsia="Georgia" w:hAnsi="Georgia"/>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Integra LifeSciences Holdings Corporation of our report dated February 26, 2026 relating to the financial statements and the effectiveness of internal control over financial reporting, which appears in Integra LifeSciences Holdings Corporation's Annual Report on Form 10-K for the year ended December 31, 2025.</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Florham Park, New Jersey</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May 8, 2026</w:t>
      </w:r>
    </w:p>
    <w:p>
      <w:pPr>
        <w:sectPr>
          <w:pgSz w:w="11900" w:h="16838" w:orient="portrait"/>
          <w:cols w:equalWidth="0" w:num="1">
            <w:col w:w="11240"/>
          </w:cols>
          <w:pgMar w:left="320" w:top="1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Stuart M. Essig, Ph.D., Lea Knight, and Michael Hutchinson, or any one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34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Stuart M. Essig,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Stuart M. Essig, Ph.D.</w:t>
      </w:r>
    </w:p>
    <w:p>
      <w:pPr>
        <w:spacing w:after="0" w:line="200" w:lineRule="exact"/>
        <w:rPr>
          <w:sz w:val="20"/>
          <w:szCs w:val="20"/>
          <w:color w:val="auto"/>
        </w:rPr>
      </w:pPr>
    </w:p>
    <w:p>
      <w:pPr>
        <w:spacing w:after="0" w:line="2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34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2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Lea Knight</w:t>
      </w:r>
    </w:p>
    <w:p>
      <w:pPr>
        <w:spacing w:after="0" w:line="3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Jeffrey A. Mosebrook</w:t>
      </w:r>
    </w:p>
    <w:p>
      <w:pPr>
        <w:spacing w:after="0" w:line="29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Keith Bradley,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Keith Bradley, Ph.D.</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Shaundra Clay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Shaundra Clay</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/s/ Jeffrey A. Graves,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434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4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Jeffrey A. Graves, Ph.D.</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Barbara B.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Barbara B. Hill</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Renee W.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Renee W. Lo</w:t>
      </w:r>
    </w:p>
    <w:p>
      <w:pPr>
        <w:spacing w:after="0" w:line="2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Christian S. Schade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Christian S. Schade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TITLE</w:t>
            </w:r>
          </w:p>
        </w:tc>
        <w:tc>
          <w:tcPr>
            <w:tcW w:w="318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5"/>
              </w:rPr>
              <w:t>DATE</w:t>
            </w:r>
          </w:p>
        </w:tc>
      </w:tr>
      <w:tr>
        <w:trPr>
          <w:trHeight w:val="345"/>
        </w:trPr>
        <w:tc>
          <w:tcPr>
            <w:tcW w:w="41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Chairman, President and</w:t>
            </w: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May 6, 2026</w:t>
            </w:r>
          </w:p>
        </w:tc>
      </w:tr>
      <w:tr>
        <w:trPr>
          <w:trHeight w:val="243"/>
        </w:trPr>
        <w:tc>
          <w:tcPr>
            <w:tcW w:w="4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180" w:type="dxa"/>
            <w:vAlign w:val="bottom"/>
          </w:tcPr>
          <w:p>
            <w:pPr>
              <w:spacing w:after="0"/>
              <w:rPr>
                <w:sz w:val="21"/>
                <w:szCs w:val="21"/>
                <w:color w:val="auto"/>
              </w:rPr>
            </w:pPr>
          </w:p>
        </w:tc>
      </w:tr>
      <w:tr>
        <w:trPr>
          <w:trHeight w:val="257"/>
        </w:trPr>
        <w:tc>
          <w:tcPr>
            <w:tcW w:w="4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180" w:type="dxa"/>
            <w:vAlign w:val="bottom"/>
          </w:tcPr>
          <w:p>
            <w:pPr>
              <w:spacing w:after="0"/>
              <w:rPr>
                <w:sz w:val="22"/>
                <w:szCs w:val="22"/>
                <w:color w:val="auto"/>
              </w:rPr>
            </w:pPr>
          </w:p>
        </w:tc>
      </w:tr>
      <w:tr>
        <w:trPr>
          <w:trHeight w:val="473"/>
        </w:trPr>
        <w:tc>
          <w:tcPr>
            <w:tcW w:w="4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May 6, 2026</w:t>
            </w:r>
          </w:p>
        </w:tc>
      </w:tr>
      <w:tr>
        <w:trPr>
          <w:trHeight w:val="243"/>
        </w:trPr>
        <w:tc>
          <w:tcPr>
            <w:tcW w:w="4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3180" w:type="dxa"/>
            <w:vAlign w:val="bottom"/>
          </w:tcPr>
          <w:p>
            <w:pPr>
              <w:spacing w:after="0"/>
              <w:rPr>
                <w:sz w:val="21"/>
                <w:szCs w:val="21"/>
                <w:color w:val="auto"/>
              </w:rPr>
            </w:pPr>
          </w:p>
        </w:tc>
      </w:tr>
      <w:tr>
        <w:trPr>
          <w:trHeight w:val="256"/>
        </w:trPr>
        <w:tc>
          <w:tcPr>
            <w:tcW w:w="4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180" w:type="dxa"/>
            <w:vAlign w:val="bottom"/>
          </w:tcPr>
          <w:p>
            <w:pPr>
              <w:spacing w:after="0"/>
              <w:rPr>
                <w:sz w:val="22"/>
                <w:szCs w:val="22"/>
                <w:color w:val="auto"/>
              </w:rPr>
            </w:pPr>
          </w:p>
        </w:tc>
      </w:tr>
      <w:tr>
        <w:trPr>
          <w:trHeight w:val="432"/>
        </w:trPr>
        <w:tc>
          <w:tcPr>
            <w:tcW w:w="41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May 6, 2026</w:t>
            </w:r>
          </w:p>
        </w:tc>
      </w:tr>
    </w:tbl>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3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May 6, 2026</w:t>
      </w:r>
    </w:p>
    <w:p>
      <w:pPr>
        <w:ind w:left="156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3220" w:space="720"/>
            <w:col w:w="7300"/>
          </w:cols>
          <w:pgMar w:left="320" w:top="117" w:right="339" w:bottom="1440" w:gutter="0" w:footer="0" w:header="0"/>
          <w:type w:val="continuous"/>
        </w:sectPr>
      </w:pPr>
    </w:p>
    <w:bookmarkStart w:id="11" w:name="page12"/>
    <w:bookmarkEnd w:id="11"/>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Note #</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8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gridSpan w:val="2"/>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840" w:type="dxa"/>
            <w:vAlign w:val="bottom"/>
            <w:tcBorders>
              <w:bottom w:val="single" w:sz="8" w:color="auto"/>
            </w:tcBorders>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Unit</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61"/>
        </w:trPr>
        <w:tc>
          <w:tcPr>
            <w:tcW w:w="600" w:type="dxa"/>
            <w:vAlign w:val="bottom"/>
            <w:tcBorders>
              <w:left w:val="single" w:sz="8" w:color="auto"/>
              <w:right w:val="single" w:sz="8" w:color="auto"/>
            </w:tcBorders>
          </w:tcPr>
          <w:p>
            <w:pPr>
              <w:jc w:val="right"/>
              <w:ind w:right="184"/>
              <w:spacing w:after="0" w:line="161" w:lineRule="exact"/>
              <w:rPr>
                <w:sz w:val="20"/>
                <w:szCs w:val="20"/>
                <w:color w:val="auto"/>
              </w:rPr>
            </w:pPr>
            <w:r>
              <w:rPr>
                <w:rFonts w:ascii="Times New Roman" w:cs="Times New Roman" w:eastAsia="Times New Roman" w:hAnsi="Times New Roman"/>
                <w:sz w:val="16"/>
                <w:szCs w:val="16"/>
                <w:color w:val="auto"/>
              </w:rPr>
              <w:t>1</w:t>
            </w:r>
          </w:p>
        </w:tc>
        <w:tc>
          <w:tcPr>
            <w:tcW w:w="144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Equity</w:t>
            </w:r>
          </w:p>
        </w:tc>
        <w:tc>
          <w:tcPr>
            <w:tcW w:w="184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rPr>
              <w:t>Common Stock, par value</w:t>
            </w:r>
          </w:p>
        </w:tc>
        <w:tc>
          <w:tcPr>
            <w:tcW w:w="420" w:type="dxa"/>
            <w:vAlign w:val="bottom"/>
          </w:tcPr>
          <w:p>
            <w:pPr>
              <w:spacing w:after="0"/>
              <w:rPr>
                <w:sz w:val="13"/>
                <w:szCs w:val="13"/>
                <w:color w:val="auto"/>
              </w:rPr>
            </w:pPr>
          </w:p>
        </w:tc>
        <w:tc>
          <w:tcPr>
            <w:tcW w:w="840" w:type="dxa"/>
            <w:vAlign w:val="bottom"/>
            <w:tcBorders>
              <w:right w:val="single" w:sz="8" w:color="auto"/>
            </w:tcBorders>
          </w:tcPr>
          <w:p>
            <w:pPr>
              <w:jc w:val="center"/>
              <w:ind w:right="364"/>
              <w:spacing w:after="0" w:line="161" w:lineRule="exact"/>
              <w:rPr>
                <w:sz w:val="20"/>
                <w:szCs w:val="20"/>
                <w:color w:val="auto"/>
              </w:rPr>
            </w:pPr>
            <w:r>
              <w:rPr>
                <w:rFonts w:ascii="Times New Roman" w:cs="Times New Roman" w:eastAsia="Times New Roman" w:hAnsi="Times New Roman"/>
                <w:sz w:val="16"/>
                <w:szCs w:val="16"/>
                <w:color w:val="auto"/>
                <w:w w:val="98"/>
              </w:rPr>
              <w:t>Other</w:t>
            </w:r>
          </w:p>
        </w:tc>
        <w:tc>
          <w:tcPr>
            <w:tcW w:w="12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3,550,000</w:t>
            </w:r>
          </w:p>
        </w:tc>
        <w:tc>
          <w:tcPr>
            <w:tcW w:w="128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$11.09</w:t>
            </w:r>
          </w:p>
        </w:tc>
        <w:tc>
          <w:tcPr>
            <w:tcW w:w="128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$39,369,500.00</w:t>
            </w:r>
          </w:p>
        </w:tc>
        <w:tc>
          <w:tcPr>
            <w:tcW w:w="1080" w:type="dxa"/>
            <w:vAlign w:val="bottom"/>
            <w:tcBorders>
              <w:right w:val="single" w:sz="8" w:color="auto"/>
            </w:tcBorders>
          </w:tcPr>
          <w:p>
            <w:pPr>
              <w:jc w:val="right"/>
              <w:ind w:right="144"/>
              <w:spacing w:after="0" w:line="161" w:lineRule="exact"/>
              <w:rPr>
                <w:sz w:val="20"/>
                <w:szCs w:val="20"/>
                <w:color w:val="auto"/>
              </w:rPr>
            </w:pPr>
            <w:r>
              <w:rPr>
                <w:rFonts w:ascii="Times New Roman" w:cs="Times New Roman" w:eastAsia="Times New Roman" w:hAnsi="Times New Roman"/>
                <w:sz w:val="16"/>
                <w:szCs w:val="16"/>
                <w:color w:val="auto"/>
              </w:rPr>
              <w:t>0.0001381</w:t>
            </w:r>
          </w:p>
        </w:tc>
        <w:tc>
          <w:tcPr>
            <w:tcW w:w="128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$5,437.00</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$0.01 per share, reserved</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 issuance under the</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Integra LifeSciences</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Holdings Corporation Fifth</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Amended and Restated</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left w:val="single" w:sz="8" w:color="auto"/>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2003 Equity Incentive</w:t>
            </w:r>
          </w:p>
        </w:tc>
        <w:tc>
          <w:tcPr>
            <w:tcW w:w="4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Plan, as amended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$39,369,500.00</w:t>
            </w: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$5,437.00</w:t>
            </w: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$5,437.00</w:t>
            </w: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40" w:type="dxa"/>
            <w:vAlign w:val="bottom"/>
            <w:tcBorders>
              <w:top w:val="single" w:sz="8" w:color="auto"/>
              <w:left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Fee Note #</w:t>
            </w:r>
          </w:p>
        </w:tc>
        <w:tc>
          <w:tcPr>
            <w:tcW w:w="98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Fee Note text</w:t>
            </w:r>
          </w:p>
        </w:tc>
      </w:tr>
      <w:tr>
        <w:trPr>
          <w:trHeight w:val="27"/>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9820" w:type="dxa"/>
            <w:vAlign w:val="bottom"/>
            <w:tcBorders>
              <w:bottom w:val="single" w:sz="8" w:color="auto"/>
              <w:right w:val="single" w:sz="8" w:color="auto"/>
            </w:tcBorders>
          </w:tcPr>
          <w:p>
            <w:pPr>
              <w:spacing w:after="0"/>
              <w:rPr>
                <w:sz w:val="2"/>
                <w:szCs w:val="2"/>
                <w:color w:val="auto"/>
              </w:rPr>
            </w:pPr>
          </w:p>
        </w:tc>
      </w:tr>
      <w:tr>
        <w:trPr>
          <w:trHeight w:val="231"/>
        </w:trPr>
        <w:tc>
          <w:tcPr>
            <w:tcW w:w="1440" w:type="dxa"/>
            <w:vAlign w:val="bottom"/>
            <w:tcBorders>
              <w:left w:val="single" w:sz="8" w:color="auto"/>
              <w:right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 In accordance with Rule 416 under the Securities Act of 1933, as amended (the “Securities Act”), this registration statement shall be deemed to</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cover any additional securities that may from time to time be offered or issued under the Integra LifeSciences Holdings Corporation Fifth Amended</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and Restated 2003 Equity Incentive Plan, as amended (the “Plan”) by reason of any substitutions or adjustments to shares to account for any change</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 corporate capitalization, such as a merger, consolidation, reorganization, recapitalization, separation, partial or complete liquidation, stock</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dividend, stock split, reverse stock split, split up, spin-off, or other distribution of stock or property of Integra LifeSciences Holdings Corporation</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“Company” or “Registrant”), combination or exchange of shares of common stock, $0.01 par value per share (the “Common Stock”), dividend</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 kind, or other like change in capital structure.</w:t>
            </w:r>
          </w:p>
        </w:tc>
      </w:tr>
      <w:tr>
        <w:trPr>
          <w:trHeight w:val="445"/>
        </w:trPr>
        <w:tc>
          <w:tcPr>
            <w:tcW w:w="144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 Represents shares of Common Stock of the Registrant reserved for future issuance under the Plan, as of the date of this registration statement,</w:t>
            </w:r>
          </w:p>
        </w:tc>
      </w:tr>
      <w:tr>
        <w:trPr>
          <w:trHeight w:val="230"/>
        </w:trPr>
        <w:tc>
          <w:tcPr>
            <w:tcW w:w="1440" w:type="dxa"/>
            <w:vAlign w:val="bottom"/>
            <w:tcBorders>
              <w:left w:val="single" w:sz="8" w:color="auto"/>
              <w:right w:val="single" w:sz="8" w:color="auto"/>
            </w:tcBorders>
          </w:tcPr>
          <w:p>
            <w:pPr>
              <w:spacing w:after="0"/>
              <w:rPr>
                <w:sz w:val="19"/>
                <w:szCs w:val="19"/>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which shares of Common Stock were added to the shares reserved under the Plan pursuant to an increase in shares of Common Stock available under</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Plan approved by the Registrant’s stockholders at the Registrant’s 2026 Annual Meeting of Stockholders.</w:t>
            </w:r>
          </w:p>
        </w:tc>
      </w:tr>
      <w:tr>
        <w:trPr>
          <w:trHeight w:val="473"/>
        </w:trPr>
        <w:tc>
          <w:tcPr>
            <w:tcW w:w="1440" w:type="dxa"/>
            <w:vAlign w:val="bottom"/>
            <w:tcBorders>
              <w:left w:val="single" w:sz="8" w:color="auto"/>
              <w:right w:val="single" w:sz="8" w:color="auto"/>
            </w:tcBorders>
          </w:tcPr>
          <w:p>
            <w:pPr>
              <w:spacing w:after="0"/>
              <w:rPr>
                <w:sz w:val="24"/>
                <w:szCs w:val="24"/>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 Estimated in accordance with Rule 457(c) and Rule 457(h) of the Securities Act solely for the purpose of calculating the amount of the</w:t>
            </w:r>
          </w:p>
        </w:tc>
      </w:tr>
      <w:tr>
        <w:trPr>
          <w:trHeight w:val="256"/>
        </w:trPr>
        <w:tc>
          <w:tcPr>
            <w:tcW w:w="1440" w:type="dxa"/>
            <w:vAlign w:val="bottom"/>
            <w:tcBorders>
              <w:left w:val="single" w:sz="8" w:color="auto"/>
              <w:right w:val="single" w:sz="8" w:color="auto"/>
            </w:tcBorders>
          </w:tcPr>
          <w:p>
            <w:pPr>
              <w:spacing w:after="0"/>
              <w:rPr>
                <w:sz w:val="22"/>
                <w:szCs w:val="22"/>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registration fee based on the average of the high and low prices for a share of the Registrant’s Common Stock as reported on the Nasdaq Global</w:t>
            </w:r>
          </w:p>
        </w:tc>
      </w:tr>
      <w:tr>
        <w:trPr>
          <w:trHeight w:val="257"/>
        </w:trPr>
        <w:tc>
          <w:tcPr>
            <w:tcW w:w="1440" w:type="dxa"/>
            <w:vAlign w:val="bottom"/>
            <w:tcBorders>
              <w:left w:val="single" w:sz="8" w:color="auto"/>
              <w:right w:val="single" w:sz="8" w:color="auto"/>
            </w:tcBorders>
          </w:tcPr>
          <w:p>
            <w:pPr>
              <w:spacing w:after="0"/>
              <w:rPr>
                <w:sz w:val="22"/>
                <w:szCs w:val="22"/>
                <w:color w:val="auto"/>
              </w:rPr>
            </w:pPr>
          </w:p>
        </w:tc>
        <w:tc>
          <w:tcPr>
            <w:tcW w:w="98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Select Market on May 4, 2026, a date within five business days of the filing of this registration statement.</w:t>
            </w:r>
          </w:p>
        </w:tc>
      </w:tr>
      <w:tr>
        <w:trPr>
          <w:trHeight w:val="168"/>
        </w:trPr>
        <w:tc>
          <w:tcPr>
            <w:tcW w:w="1440" w:type="dxa"/>
            <w:vAlign w:val="bottom"/>
            <w:tcBorders>
              <w:left w:val="single" w:sz="8" w:color="auto"/>
              <w:bottom w:val="single" w:sz="8" w:color="auto"/>
              <w:right w:val="single" w:sz="8" w:color="auto"/>
            </w:tcBorders>
          </w:tcPr>
          <w:p>
            <w:pPr>
              <w:spacing w:after="0"/>
              <w:rPr>
                <w:sz w:val="14"/>
                <w:szCs w:val="14"/>
                <w:color w:val="auto"/>
              </w:rPr>
            </w:pPr>
          </w:p>
        </w:tc>
        <w:tc>
          <w:tcPr>
            <w:tcW w:w="9820" w:type="dxa"/>
            <w:vAlign w:val="bottom"/>
            <w:tcBorders>
              <w:bottom w:val="single" w:sz="8" w:color="auto"/>
              <w:right w:val="single" w:sz="8" w:color="auto"/>
            </w:tcBorders>
          </w:tcPr>
          <w:p>
            <w:pPr>
              <w:spacing w:after="0"/>
              <w:rPr>
                <w:sz w:val="14"/>
                <w:szCs w:val="14"/>
                <w:color w:val="auto"/>
              </w:rPr>
            </w:pPr>
          </w:p>
        </w:tc>
      </w:tr>
      <w:tr>
        <w:trPr>
          <w:trHeight w:val="1472"/>
        </w:trPr>
        <w:tc>
          <w:tcPr>
            <w:tcW w:w="144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58"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X Not Applicable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295"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Unsold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or</w:t>
            </w:r>
          </w:p>
        </w:tc>
        <w:tc>
          <w:tcPr>
            <w:tcW w:w="14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w:t>
            </w:r>
          </w:p>
        </w:tc>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Offset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Associated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Paid</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Form or</w:t>
            </w:r>
          </w:p>
        </w:tc>
        <w:tc>
          <w:tcPr>
            <w:tcW w:w="1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with</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Filer Name</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Filing Type  Number</w:t>
            </w:r>
          </w:p>
        </w:tc>
        <w:tc>
          <w:tcPr>
            <w:tcW w:w="1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  Filing 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with Fee</w:t>
            </w: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Offset 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7620</wp:posOffset>
            </wp:positionV>
            <wp:extent cx="6369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Rule 457(p)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131445</wp:posOffset>
            </wp:positionV>
            <wp:extent cx="7140575" cy="848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40575" cy="8489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Offset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Offset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w:t>
      </w:r>
    </w:p>
    <w:sectPr>
      <w:pgSz w:w="11900" w:h="16838" w:orient="portrait"/>
      <w:cols w:equalWidth="0" w:num="1">
        <w:col w:w="11200"/>
      </w:cols>
      <w:pgMar w:left="360" w:top="1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Roman"/>
      <w:start w:val="4"/>
    </w:lvl>
  </w:abstractNum>
  <w:abstractNum w:abstractNumId="3">
    <w:nsid w:val="507ED7AB"/>
    <w:multiLevelType w:val="hybridMultilevel"/>
    <w:lvl w:ilvl="0">
      <w:lvlJc w:val="left"/>
      <w:lvlText w:val="%1"/>
      <w:numFmt w:val="decimal"/>
      <w:start w:val="107"/>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30"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jpe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17" Type="http://schemas.openxmlformats.org/officeDocument/2006/relationships/hyperlink" Target="https://www.sec.gov/Archives/edgar/data/917520/000091752025000077/iart73125is8.htm" TargetMode="External"/><Relationship Id="rId18" Type="http://schemas.openxmlformats.org/officeDocument/2006/relationships/hyperlink" Target="https://www.sec.gov/Archives/edgar/data/917520/000119312524250705/d886982ds8.htm" TargetMode="External"/><Relationship Id="rId19" Type="http://schemas.openxmlformats.org/officeDocument/2006/relationships/hyperlink" Target="https://www.sec.gov/Archives/edgar/data/917520/000119312521361354/d260411ds8.htm" TargetMode="External"/><Relationship Id="rId20" Type="http://schemas.openxmlformats.org/officeDocument/2006/relationships/hyperlink" Target="https://www.sec.gov/Archives/edgar/data/917520/000119312517324741/d478022ds8.htm" TargetMode="External"/><Relationship Id="rId21" Type="http://schemas.openxmlformats.org/officeDocument/2006/relationships/hyperlink" Target="https://www.sec.gov/Archives/edgar/data/917520/000119312517054554/d343971ds8.htm" TargetMode="External"/><Relationship Id="rId22" Type="http://schemas.openxmlformats.org/officeDocument/2006/relationships/hyperlink" Target="https://www.sec.gov/Archives/edgar/data/917520/000095012310097972/c07374sv8.htm" TargetMode="External"/><Relationship Id="rId23" Type="http://schemas.openxmlformats.org/officeDocument/2006/relationships/hyperlink" Target="https://www.sec.gov/Archives/edgar/data/917520/000095012308014935/y72534sv8.htm" TargetMode="External"/><Relationship Id="rId24" Type="http://schemas.openxmlformats.org/officeDocument/2006/relationships/hyperlink" Target="https://www.sec.gov/Archives/edgar/data/917520/000091752005000099/forms-8081205.txt" TargetMode="External"/><Relationship Id="rId25" Type="http://schemas.openxmlformats.org/officeDocument/2006/relationships/hyperlink" Target="https://www.sec.gov/Archives/edgar/data/917520/000093041303002853/c29391_s-8.txt" TargetMode="External"/><Relationship Id="rId27" Type="http://schemas.openxmlformats.org/officeDocument/2006/relationships/hyperlink" Target="https://www.sec.gov/ix?doc=/Archives/edgar/data/917520/000091752026000011/iart-20251231.htm" TargetMode="External"/><Relationship Id="rId28" Type="http://schemas.openxmlformats.org/officeDocument/2006/relationships/hyperlink" Target="https://www.sec.gov/ix?doc=/Archives/edgar/data/917520/000091752026000041/iart-20260331.htm" TargetMode="External"/><Relationship Id="rId29" Type="http://schemas.openxmlformats.org/officeDocument/2006/relationships/hyperlink" Target="https://www.sec.gov/Archives/edgar/data/917520/000091752026000038/proxysupplement5-5x26.htm" TargetMode="External"/><Relationship Id="rId31" Type="http://schemas.openxmlformats.org/officeDocument/2006/relationships/hyperlink" Target="https://www.sec.gov/ix?doc=/Archives/edgar/data/917520/000091752026000019/iart-20260410.htm" TargetMode="External"/><Relationship Id="rId32" Type="http://schemas.openxmlformats.org/officeDocument/2006/relationships/hyperlink" Target="https://www.sec.gov/ix?doc=/Archives/edgar/data/917520/000091752026000034/iart-20260430.htm" TargetMode="External"/><Relationship Id="rId33" Type="http://schemas.openxmlformats.org/officeDocument/2006/relationships/hyperlink" Target="https://www.sec.gov/ix?doc=/Archives/edgar/data/917520/000091752026000044/iart-20260507.htm" TargetMode="External"/><Relationship Id="rId34" Type="http://schemas.openxmlformats.org/officeDocument/2006/relationships/hyperlink" Target="https://www.sec.gov/Archives/edgar/data/917520/000119312513425190/d622223d8k.htm" TargetMode="External"/><Relationship Id="rId35" Type="http://schemas.openxmlformats.org/officeDocument/2006/relationships/hyperlink" Target="https://www.sec.gov/Archives/edgar/data/917520/000091752026000041/iart-20260331xexx44.htm" TargetMode="External"/><Relationship Id="rId39" Type="http://schemas.openxmlformats.org/officeDocument/2006/relationships/hyperlink" Target="https://www.sec.gov/Archives/edgar/data/917520/000091752006000066/ex3-1aform10k031406.txt" TargetMode="External"/><Relationship Id="rId40" Type="http://schemas.openxmlformats.org/officeDocument/2006/relationships/hyperlink" Target="https://www.sec.gov/Archives/edgar/data/917520/0000889812-99-001063.txt" TargetMode="External"/><Relationship Id="rId41" Type="http://schemas.openxmlformats.org/officeDocument/2006/relationships/hyperlink" Target="https://www.sec.gov/Archives/edgar/data/917520/000095012305003217/y06769exv3w1wc.txt" TargetMode="External"/><Relationship Id="rId42" Type="http://schemas.openxmlformats.org/officeDocument/2006/relationships/hyperlink" Target="https://www.sec.gov/Archives/edgar/data/917520/000091752016000107/ex_3x1xfileddecember22x2016.htm" TargetMode="External"/><Relationship Id="rId43" Type="http://schemas.openxmlformats.org/officeDocument/2006/relationships/hyperlink" Target="https://www.sec.gov/Archives/edgar/data/917520/000091752024000108/iart-20240930xexx31e.htm" TargetMode="External"/><Relationship Id="rId44" Type="http://schemas.openxmlformats.org/officeDocument/2006/relationships/hyperlink" Target="https://www.sec.gov/Archives/edgar/data/917520/000091752023000015/iart-20221231xexx33.htm" TargetMode="External"/><Relationship Id="rId45" Type="http://schemas.openxmlformats.org/officeDocument/2006/relationships/hyperlink" Target="https://www.sec.gov/Archives/edgar/data/0000917520/000091752021000029/ex101.htm" TargetMode="External"/><Relationship Id="rId46" Type="http://schemas.openxmlformats.org/officeDocument/2006/relationships/hyperlink" Target="https://www.sec.gov/Archives/edgar/data/0000917520/000091752024000066/amendmenttoequityincenti.htm" TargetMode="External"/><Relationship Id="rId47" Type="http://schemas.openxmlformats.org/officeDocument/2006/relationships/hyperlink" Target="https://www.sec.gov/Archives/edgar/data/917520/000091752025000052/exhibit101_amendmentno2toe.htm" TargetMode="External"/><Relationship Id="rId48" Type="http://schemas.openxmlformats.org/officeDocument/2006/relationships/hyperlink" Target="https://www.sec.gov/Archives/edgar/data/917520/000091752026000044/ex101_amendequityplanx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2026-05-08T15:59:28Z</dcterms:created>
  <dcterms:modified xsi:type="dcterms:W3CDTF">2026-05-08T15:59:28Z</dcterms:modified>
</cp:coreProperties>
</file>