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July 31, 2025</w:t>
      </w:r>
    </w:p>
    <w:p>
      <w:pPr>
        <w:spacing w:after="0" w:line="4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Integra LifeSciences Holdings Corporation</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tbl>
      <w:tblPr>
        <w:tblLayout w:type="fixed"/>
        <w:tblInd w:w="1480" w:type="dxa"/>
        <w:tblCellMar>
          <w:top w:w="0" w:type="dxa"/>
          <w:left w:w="0" w:type="dxa"/>
          <w:bottom w:w="0" w:type="dxa"/>
          <w:right w:w="0" w:type="dxa"/>
        </w:tblCellMar>
      </w:tblPr>
      <w:tr>
        <w:trPr>
          <w:trHeight w:val="190"/>
        </w:trPr>
        <w:tc>
          <w:tcPr>
            <w:tcW w:w="4620" w:type="dxa"/>
            <w:vAlign w:val="bottom"/>
          </w:tcPr>
          <w:p>
            <w:pPr>
              <w:jc w:val="center"/>
              <w:ind w:right="1896"/>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9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51-0317849</w:t>
            </w:r>
          </w:p>
        </w:tc>
      </w:tr>
      <w:tr>
        <w:trPr>
          <w:trHeight w:val="260"/>
        </w:trPr>
        <w:tc>
          <w:tcPr>
            <w:tcW w:w="4620" w:type="dxa"/>
            <w:vAlign w:val="bottom"/>
          </w:tcPr>
          <w:p>
            <w:pPr>
              <w:jc w:val="center"/>
              <w:ind w:right="1916"/>
              <w:spacing w:after="0"/>
              <w:rPr>
                <w:sz w:val="20"/>
                <w:szCs w:val="20"/>
                <w:color w:val="auto"/>
              </w:rPr>
            </w:pPr>
            <w:r>
              <w:rPr>
                <w:rFonts w:ascii="Times New Roman" w:cs="Times New Roman" w:eastAsia="Times New Roman" w:hAnsi="Times New Roman"/>
                <w:sz w:val="12"/>
                <w:szCs w:val="12"/>
                <w:b w:val="1"/>
                <w:bCs w:val="1"/>
                <w:color w:val="auto"/>
                <w:w w:val="97"/>
              </w:rPr>
              <w:t>(State or Other Jurisdiction of</w:t>
            </w:r>
          </w:p>
        </w:tc>
        <w:tc>
          <w:tcPr>
            <w:tcW w:w="2920" w:type="dxa"/>
            <w:vAlign w:val="bottom"/>
          </w:tcPr>
          <w:p>
            <w:pPr>
              <w:jc w:val="center"/>
              <w:ind w:left="1936"/>
              <w:spacing w:after="0"/>
              <w:rPr>
                <w:sz w:val="20"/>
                <w:szCs w:val="20"/>
                <w:color w:val="auto"/>
              </w:rPr>
            </w:pPr>
            <w:r>
              <w:rPr>
                <w:rFonts w:ascii="Times New Roman" w:cs="Times New Roman" w:eastAsia="Times New Roman" w:hAnsi="Times New Roman"/>
                <w:sz w:val="12"/>
                <w:szCs w:val="12"/>
                <w:b w:val="1"/>
                <w:bCs w:val="1"/>
                <w:color w:val="auto"/>
                <w:w w:val="96"/>
              </w:rPr>
              <w:t>(I.R.S. Employer</w:t>
            </w:r>
          </w:p>
        </w:tc>
      </w:tr>
      <w:tr>
        <w:trPr>
          <w:trHeight w:val="162"/>
        </w:trPr>
        <w:tc>
          <w:tcPr>
            <w:tcW w:w="4620" w:type="dxa"/>
            <w:vAlign w:val="bottom"/>
          </w:tcPr>
          <w:p>
            <w:pPr>
              <w:jc w:val="center"/>
              <w:ind w:right="1916"/>
              <w:spacing w:after="0"/>
              <w:rPr>
                <w:sz w:val="20"/>
                <w:szCs w:val="20"/>
                <w:color w:val="auto"/>
              </w:rPr>
            </w:pPr>
            <w:r>
              <w:rPr>
                <w:rFonts w:ascii="Times New Roman" w:cs="Times New Roman" w:eastAsia="Times New Roman" w:hAnsi="Times New Roman"/>
                <w:sz w:val="12"/>
                <w:szCs w:val="12"/>
                <w:b w:val="1"/>
                <w:bCs w:val="1"/>
                <w:color w:val="auto"/>
                <w:w w:val="96"/>
              </w:rPr>
              <w:t>Incorporation or Organization)</w:t>
            </w:r>
          </w:p>
        </w:tc>
        <w:tc>
          <w:tcPr>
            <w:tcW w:w="2920" w:type="dxa"/>
            <w:vAlign w:val="bottom"/>
          </w:tcPr>
          <w:p>
            <w:pPr>
              <w:jc w:val="center"/>
              <w:ind w:left="1936"/>
              <w:spacing w:after="0"/>
              <w:rPr>
                <w:sz w:val="20"/>
                <w:szCs w:val="20"/>
                <w:color w:val="auto"/>
              </w:rPr>
            </w:pPr>
            <w:r>
              <w:rPr>
                <w:rFonts w:ascii="Times New Roman" w:cs="Times New Roman" w:eastAsia="Times New Roman" w:hAnsi="Times New Roman"/>
                <w:sz w:val="12"/>
                <w:szCs w:val="12"/>
                <w:b w:val="1"/>
                <w:bCs w:val="1"/>
                <w:color w:val="auto"/>
                <w:w w:val="97"/>
              </w:rPr>
              <w:t>Identification No.)</w:t>
            </w:r>
          </w:p>
        </w:tc>
      </w:tr>
      <w:tr>
        <w:trPr>
          <w:trHeight w:val="563"/>
        </w:trPr>
        <w:tc>
          <w:tcPr>
            <w:tcW w:w="4620" w:type="dxa"/>
            <w:vAlign w:val="bottom"/>
          </w:tcPr>
          <w:p>
            <w:pPr>
              <w:jc w:val="center"/>
              <w:ind w:right="1916"/>
              <w:spacing w:after="0"/>
              <w:rPr>
                <w:sz w:val="20"/>
                <w:szCs w:val="20"/>
                <w:color w:val="auto"/>
              </w:rPr>
            </w:pPr>
            <w:r>
              <w:rPr>
                <w:rFonts w:ascii="Times New Roman" w:cs="Times New Roman" w:eastAsia="Times New Roman" w:hAnsi="Times New Roman"/>
                <w:sz w:val="14"/>
                <w:szCs w:val="14"/>
                <w:b w:val="1"/>
                <w:bCs w:val="1"/>
                <w:color w:val="auto"/>
              </w:rPr>
              <w:t>1100 Campus Road, Princeton, New Jersey</w:t>
            </w:r>
          </w:p>
        </w:tc>
        <w:tc>
          <w:tcPr>
            <w:tcW w:w="292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8540</w:t>
            </w:r>
          </w:p>
        </w:tc>
      </w:tr>
      <w:tr>
        <w:trPr>
          <w:trHeight w:val="260"/>
        </w:trPr>
        <w:tc>
          <w:tcPr>
            <w:tcW w:w="4620" w:type="dxa"/>
            <w:vAlign w:val="bottom"/>
          </w:tcPr>
          <w:p>
            <w:pPr>
              <w:jc w:val="center"/>
              <w:ind w:right="1916"/>
              <w:spacing w:after="0"/>
              <w:rPr>
                <w:sz w:val="20"/>
                <w:szCs w:val="20"/>
                <w:color w:val="auto"/>
              </w:rPr>
            </w:pPr>
            <w:r>
              <w:rPr>
                <w:rFonts w:ascii="Times New Roman" w:cs="Times New Roman" w:eastAsia="Times New Roman" w:hAnsi="Times New Roman"/>
                <w:sz w:val="12"/>
                <w:szCs w:val="12"/>
                <w:b w:val="1"/>
                <w:bCs w:val="1"/>
                <w:color w:val="auto"/>
                <w:w w:val="97"/>
              </w:rPr>
              <w:t>(Address of Principal Executive Offices)</w:t>
            </w:r>
          </w:p>
        </w:tc>
        <w:tc>
          <w:tcPr>
            <w:tcW w:w="2920" w:type="dxa"/>
            <w:vAlign w:val="bottom"/>
          </w:tcPr>
          <w:p>
            <w:pPr>
              <w:jc w:val="center"/>
              <w:ind w:left="1916"/>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Fifth Amended and Restated Integra LifeSciences Holdings Corporation 2003 Equity Incentive Plan</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Lesha Shinn</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Vice President, Deputy General Counsel &amp; Secretary</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1100 Campus Road</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Princeton, New Jersey 08540</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(Name and Address of Agent For Service)</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(609) 275-0500</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4" w:lineRule="exact"/>
        <w:rPr>
          <w:sz w:val="24"/>
          <w:szCs w:val="24"/>
          <w:color w:val="auto"/>
        </w:rPr>
      </w:pPr>
    </w:p>
    <w:p>
      <w:pPr>
        <w:ind w:right="460"/>
        <w:spacing w:after="0" w:line="34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84" w:right="339" w:bottom="1440" w:gutter="0" w:footer="0" w:header="0"/>
        </w:sectPr>
      </w:pPr>
    </w:p>
    <w:p>
      <w:pPr>
        <w:spacing w:after="0" w:line="25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0" w:lineRule="exact"/>
        <w:rPr>
          <w:sz w:val="24"/>
          <w:szCs w:val="24"/>
          <w:color w:val="auto"/>
        </w:rPr>
      </w:pPr>
    </w:p>
    <w:p>
      <w:pPr>
        <w:sectPr>
          <w:pgSz w:w="11900" w:h="16838" w:orient="portrait"/>
          <w:cols w:equalWidth="0" w:num="2">
            <w:col w:w="7820" w:space="720"/>
            <w:col w:w="2700"/>
          </w:cols>
          <w:pgMar w:left="320" w:top="884" w:right="339" w:bottom="1440" w:gutter="0" w:footer="0" w:header="0"/>
          <w:type w:val="continuous"/>
        </w:sectPr>
      </w:pPr>
    </w:p>
    <w:p>
      <w:pPr>
        <w:spacing w:after="0" w:line="1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163" w:lineRule="exact"/>
        <w:rPr>
          <w:sz w:val="24"/>
          <w:szCs w:val="24"/>
          <w:color w:val="auto"/>
        </w:rPr>
      </w:pPr>
    </w:p>
    <w:p>
      <w:pPr>
        <w:sectPr>
          <w:pgSz w:w="11900" w:h="16838" w:orient="portrait"/>
          <w:cols w:equalWidth="0" w:num="2">
            <w:col w:w="7820" w:space="720"/>
            <w:col w:w="2700"/>
          </w:cols>
          <w:pgMar w:left="320" w:top="884" w:right="339" w:bottom="1440" w:gutter="0" w:footer="0" w:header="0"/>
          <w:type w:val="continuous"/>
        </w:sectPr>
      </w:pPr>
    </w:p>
    <w:p>
      <w:pPr>
        <w:ind w:left="8540"/>
        <w:spacing w:after="0"/>
        <w:rPr>
          <w:sz w:val="20"/>
          <w:szCs w:val="20"/>
          <w:color w:val="auto"/>
        </w:rPr>
      </w:pPr>
      <w:r>
        <w:rPr>
          <w:rFonts w:ascii="Times New Roman" w:cs="Times New Roman" w:eastAsia="Times New Roman" w:hAnsi="Times New Roman"/>
          <w:sz w:val="14"/>
          <w:szCs w:val="14"/>
          <w:color w:val="auto"/>
        </w:rPr>
        <w:t>Emerging growth company</w:t>
      </w:r>
    </w:p>
    <w:p>
      <w:pPr>
        <w:sectPr>
          <w:pgSz w:w="11900" w:h="16838" w:orient="portrait"/>
          <w:cols w:equalWidth="0" w:num="1">
            <w:col w:w="11240"/>
          </w:cols>
          <w:pgMar w:left="320" w:top="884" w:right="339" w:bottom="1440" w:gutter="0" w:footer="0" w:header="0"/>
          <w:type w:val="continuous"/>
        </w:sectPr>
      </w:pPr>
    </w:p>
    <w:p>
      <w:pPr>
        <w:spacing w:after="0" w:line="200" w:lineRule="exact"/>
        <w:rPr>
          <w:sz w:val="24"/>
          <w:szCs w:val="24"/>
          <w:color w:val="auto"/>
        </w:rPr>
      </w:pPr>
    </w:p>
    <w:p>
      <w:pPr>
        <w:spacing w:after="0" w:line="395" w:lineRule="exact"/>
        <w:rPr>
          <w:sz w:val="24"/>
          <w:szCs w:val="24"/>
          <w:color w:val="auto"/>
        </w:rPr>
      </w:pPr>
    </w:p>
    <w:p>
      <w:pPr>
        <w:ind w:right="560"/>
        <w:spacing w:after="0" w:line="302"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ectPr>
          <w:pgSz w:w="11900" w:h="16838" w:orient="portrait"/>
          <w:cols w:equalWidth="0" w:num="1">
            <w:col w:w="11240"/>
          </w:cols>
          <w:pgMar w:left="320" w:top="884" w:right="339" w:bottom="1440" w:gutter="0" w:footer="0" w:header="0"/>
          <w:type w:val="continuous"/>
        </w:sectPr>
      </w:pPr>
    </w:p>
    <w:bookmarkStart w:id="1" w:name="page2"/>
    <w:bookmarkEnd w:id="1"/>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00" w:lineRule="exact"/>
        <w:rPr>
          <w:sz w:val="20"/>
          <w:szCs w:val="20"/>
          <w:color w:val="auto"/>
        </w:rPr>
      </w:pPr>
    </w:p>
    <w:p>
      <w:pPr>
        <w:spacing w:after="0" w:line="2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This Registration Statement on Form S-8 (this “Registration Statement”) is being filed by Integra LifeSciences Holdings Corporation, a Delaware corporation (the “Company” or “Registrant”), relating to 2,200,000 shares of the Company’s common stock, par value $0.01 per share (“Common Stock”), to be issued under the Integra LifeSciences Holdings Corporation Fifth Amended and Restated 2003 Equity Incentive Plan, as amended (the “Plan”), representing the increased number of shares of Common Stock authorized by an amendment to the Plan that was approved by the Company’s shareholders on May 9, 2025.</w:t>
      </w:r>
    </w:p>
    <w:p>
      <w:pPr>
        <w:spacing w:after="0" w:line="200" w:lineRule="exact"/>
        <w:rPr>
          <w:sz w:val="20"/>
          <w:szCs w:val="20"/>
          <w:color w:val="auto"/>
        </w:rPr>
      </w:pPr>
    </w:p>
    <w:p>
      <w:pPr>
        <w:spacing w:after="0" w:line="226" w:lineRule="exact"/>
        <w:rPr>
          <w:sz w:val="20"/>
          <w:szCs w:val="20"/>
          <w:color w:val="auto"/>
        </w:rPr>
      </w:pPr>
    </w:p>
    <w:p>
      <w:pPr>
        <w:jc w:val="both"/>
        <w:ind w:right="200"/>
        <w:spacing w:after="0" w:line="27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Pursuant to General Instruction E to Form S-8, this Registration Statement incorporates by reference the contents of the following registration statements previously filed with the Securities and Exchange Commission (the “Commission”): (i) the registration statement on Form S-8 filed by the Registrant on November 4, 2024 (File No. </w:t>
      </w:r>
      <w:hyperlink r:id="rId17">
        <w:r>
          <w:rPr>
            <w:rFonts w:ascii="Times New Roman" w:cs="Times New Roman" w:eastAsia="Times New Roman" w:hAnsi="Times New Roman"/>
            <w:sz w:val="17"/>
            <w:szCs w:val="17"/>
            <w:u w:val="single" w:color="auto"/>
            <w:color w:val="0000FF"/>
          </w:rPr>
          <w:t>333-282990</w:t>
        </w:r>
      </w:hyperlink>
      <w:r>
        <w:rPr>
          <w:rFonts w:ascii="Times New Roman" w:cs="Times New Roman" w:eastAsia="Times New Roman" w:hAnsi="Times New Roman"/>
          <w:sz w:val="17"/>
          <w:szCs w:val="17"/>
          <w:color w:val="auto"/>
        </w:rPr>
        <w:t>) relating to the Plan; (ii) the registration statement on Form S-8 filed by the Registrant on December 17,</w:t>
      </w:r>
    </w:p>
    <w:p>
      <w:pPr>
        <w:spacing w:after="0" w:line="2" w:lineRule="exact"/>
        <w:rPr>
          <w:sz w:val="20"/>
          <w:szCs w:val="20"/>
          <w:color w:val="auto"/>
        </w:rPr>
      </w:pPr>
    </w:p>
    <w:p>
      <w:pPr>
        <w:spacing w:after="0" w:line="251" w:lineRule="auto"/>
        <w:rPr>
          <w:rFonts w:ascii="Times New Roman" w:cs="Times New Roman" w:eastAsia="Times New Roman" w:hAnsi="Times New Roman"/>
          <w:sz w:val="18"/>
          <w:szCs w:val="18"/>
          <w:color w:val="000000"/>
        </w:rPr>
      </w:pPr>
      <w:hyperlink r:id="rId18">
        <w:r>
          <w:rPr>
            <w:rFonts w:ascii="Times New Roman" w:cs="Times New Roman" w:eastAsia="Times New Roman" w:hAnsi="Times New Roman"/>
            <w:sz w:val="18"/>
            <w:szCs w:val="18"/>
            <w:color w:val="auto"/>
          </w:rPr>
          <w:t xml:space="preserve">2021 (File No. </w:t>
        </w:r>
        <w:r>
          <w:rPr>
            <w:rFonts w:ascii="Times New Roman" w:cs="Times New Roman" w:eastAsia="Times New Roman" w:hAnsi="Times New Roman"/>
            <w:sz w:val="18"/>
            <w:szCs w:val="18"/>
            <w:color w:val="0000FF"/>
          </w:rPr>
          <w:t>333-261744</w:t>
        </w:r>
        <w:r>
          <w:rPr>
            <w:rFonts w:ascii="Times New Roman" w:cs="Times New Roman" w:eastAsia="Times New Roman" w:hAnsi="Times New Roman"/>
            <w:sz w:val="18"/>
            <w:szCs w:val="18"/>
            <w:color w:val="auto"/>
          </w:rPr>
          <w:t xml:space="preserve">) relating to the Plan; (iii) the registration statement on Form S-8 filed by the Registrant on October 30, 2017 (File No. </w:t>
        </w:r>
        <w:r>
          <w:rPr>
            <w:rFonts w:ascii="Times New Roman" w:cs="Times New Roman" w:eastAsia="Times New Roman" w:hAnsi="Times New Roman"/>
            <w:sz w:val="18"/>
            <w:szCs w:val="18"/>
            <w:u w:val="single" w:color="auto"/>
            <w:color w:val="0000FF"/>
          </w:rPr>
          <w:t>333-</w:t>
        </w:r>
      </w:hyperlink>
      <w:hyperlink r:id="rId18">
        <w:r>
          <w:rPr>
            <w:rFonts w:ascii="Times New Roman" w:cs="Times New Roman" w:eastAsia="Times New Roman" w:hAnsi="Times New Roman"/>
            <w:sz w:val="18"/>
            <w:szCs w:val="18"/>
            <w:u w:val="single" w:color="auto"/>
            <w:color w:val="0000FF"/>
          </w:rPr>
          <w:t>221210</w:t>
        </w:r>
        <w:r>
          <w:rPr>
            <w:rFonts w:ascii="Times New Roman" w:cs="Times New Roman" w:eastAsia="Times New Roman" w:hAnsi="Times New Roman"/>
            <w:sz w:val="18"/>
            <w:szCs w:val="18"/>
            <w:color w:val="000000"/>
          </w:rPr>
          <w:t>) relating to the Plan; (iv) the registration statement on Form S-8 filed by the Registrant on February 24, 2017 (File No.</w:t>
        </w:r>
        <w:r>
          <w:rPr>
            <w:rFonts w:ascii="Times New Roman" w:cs="Times New Roman" w:eastAsia="Times New Roman" w:hAnsi="Times New Roman"/>
            <w:sz w:val="18"/>
            <w:szCs w:val="18"/>
            <w:color w:val="0000FF"/>
          </w:rPr>
          <w:t xml:space="preserve"> </w:t>
        </w:r>
      </w:hyperlink>
      <w:hyperlink r:id="rId19">
        <w:r>
          <w:rPr>
            <w:rFonts w:ascii="Times New Roman" w:cs="Times New Roman" w:eastAsia="Times New Roman" w:hAnsi="Times New Roman"/>
            <w:sz w:val="18"/>
            <w:szCs w:val="18"/>
            <w:u w:val="single" w:color="auto"/>
            <w:color w:val="0000FF"/>
          </w:rPr>
          <w:t>333-216212</w:t>
        </w:r>
      </w:hyperlink>
      <w:hyperlink r:id="rId18">
        <w:r>
          <w:rPr>
            <w:rFonts w:ascii="Times New Roman" w:cs="Times New Roman" w:eastAsia="Times New Roman" w:hAnsi="Times New Roman"/>
            <w:sz w:val="18"/>
            <w:szCs w:val="18"/>
            <w:color w:val="000000"/>
          </w:rPr>
          <w:t xml:space="preserve">) relating to </w:t>
        </w:r>
      </w:hyperlink>
      <w:r>
        <w:rPr>
          <w:rFonts w:ascii="Times New Roman" w:cs="Times New Roman" w:eastAsia="Times New Roman" w:hAnsi="Times New Roman"/>
          <w:sz w:val="18"/>
          <w:szCs w:val="18"/>
          <w:color w:val="0000FF"/>
        </w:rPr>
        <w:t xml:space="preserve">the </w:t>
      </w:r>
      <w:r>
        <w:rPr>
          <w:rFonts w:ascii="Times New Roman" w:cs="Times New Roman" w:eastAsia="Times New Roman" w:hAnsi="Times New Roman"/>
          <w:sz w:val="18"/>
          <w:szCs w:val="18"/>
          <w:color w:val="000000"/>
        </w:rPr>
        <w:t xml:space="preserve">Plan; (v) the registration statement on Form S-8 filed by the Registrant on October 29, 2010 (File No. </w:t>
      </w:r>
      <w:hyperlink r:id="rId20">
        <w:r>
          <w:rPr>
            <w:rFonts w:ascii="Times New Roman" w:cs="Times New Roman" w:eastAsia="Times New Roman" w:hAnsi="Times New Roman"/>
            <w:sz w:val="18"/>
            <w:szCs w:val="18"/>
            <w:u w:val="single" w:color="auto"/>
            <w:color w:val="0000FF"/>
          </w:rPr>
          <w:t>333-170210</w:t>
        </w:r>
      </w:hyperlink>
      <w:r>
        <w:rPr>
          <w:rFonts w:ascii="Times New Roman" w:cs="Times New Roman" w:eastAsia="Times New Roman" w:hAnsi="Times New Roman"/>
          <w:sz w:val="18"/>
          <w:szCs w:val="18"/>
          <w:color w:val="000000"/>
        </w:rPr>
        <w:t xml:space="preserve">) relating to the Plan; (vi) the registration statement on Form S-8 filed by the Registrant on November 10, 2008 (File No. </w:t>
      </w:r>
      <w:hyperlink r:id="rId21">
        <w:r>
          <w:rPr>
            <w:rFonts w:ascii="Times New Roman" w:cs="Times New Roman" w:eastAsia="Times New Roman" w:hAnsi="Times New Roman"/>
            <w:sz w:val="18"/>
            <w:szCs w:val="18"/>
            <w:u w:val="single" w:color="auto"/>
            <w:color w:val="0000FF"/>
          </w:rPr>
          <w:t>333-155263</w:t>
        </w:r>
      </w:hyperlink>
      <w:r>
        <w:rPr>
          <w:rFonts w:ascii="Times New Roman" w:cs="Times New Roman" w:eastAsia="Times New Roman" w:hAnsi="Times New Roman"/>
          <w:sz w:val="18"/>
          <w:szCs w:val="18"/>
          <w:color w:val="000000"/>
        </w:rPr>
        <w:t xml:space="preserve">) relating to the Plan; (vii) the registration statement on Form S-8 filed by the Registrant on August 12, 2005 (File No. </w:t>
      </w:r>
      <w:hyperlink r:id="rId22">
        <w:r>
          <w:rPr>
            <w:rFonts w:ascii="Times New Roman" w:cs="Times New Roman" w:eastAsia="Times New Roman" w:hAnsi="Times New Roman"/>
            <w:sz w:val="18"/>
            <w:szCs w:val="18"/>
            <w:u w:val="single" w:color="auto"/>
            <w:color w:val="0000FF"/>
          </w:rPr>
          <w:t>333-127488</w:t>
        </w:r>
      </w:hyperlink>
      <w:r>
        <w:rPr>
          <w:rFonts w:ascii="Times New Roman" w:cs="Times New Roman" w:eastAsia="Times New Roman" w:hAnsi="Times New Roman"/>
          <w:sz w:val="18"/>
          <w:szCs w:val="18"/>
          <w:color w:val="000000"/>
        </w:rPr>
        <w:t xml:space="preserve">) relating to the Plan; and (viii) the registration statement on Form S-8 filed by the Registrant on September 23, 2003 (File No. </w:t>
      </w:r>
      <w:hyperlink r:id="rId23">
        <w:r>
          <w:rPr>
            <w:rFonts w:ascii="Times New Roman" w:cs="Times New Roman" w:eastAsia="Times New Roman" w:hAnsi="Times New Roman"/>
            <w:sz w:val="18"/>
            <w:szCs w:val="18"/>
            <w:u w:val="single" w:color="auto"/>
            <w:color w:val="0000FF"/>
          </w:rPr>
          <w:t>333-109042</w:t>
        </w:r>
      </w:hyperlink>
      <w:r>
        <w:rPr>
          <w:rFonts w:ascii="Times New Roman" w:cs="Times New Roman" w:eastAsia="Times New Roman" w:hAnsi="Times New Roman"/>
          <w:sz w:val="18"/>
          <w:szCs w:val="18"/>
          <w:color w:val="000000"/>
        </w:rPr>
        <w:t>) relating to the Plan (together, the “Prior Forms S-8”). The contents of the Prior Forms S-8 are incorporated into this Registration Statement by reference except, in each case, to the extent supplemented, amended or superseded by the information set forth herein.</w:t>
      </w:r>
    </w:p>
    <w:p>
      <w:pPr>
        <w:spacing w:after="0" w:line="20" w:lineRule="exact"/>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000000"/>
        </w:rPr>
        <w:drawing>
          <wp:anchor simplePos="0" relativeHeight="251657728" behindDoc="1" locked="0" layoutInCell="0" allowOverlap="1">
            <wp:simplePos x="0" y="0"/>
            <wp:positionH relativeFrom="column">
              <wp:posOffset>674370</wp:posOffset>
            </wp:positionH>
            <wp:positionV relativeFrom="paragraph">
              <wp:posOffset>-987425</wp:posOffset>
            </wp:positionV>
            <wp:extent cx="5803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580390" cy="8890"/>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color w:val="000000"/>
        </w:rPr>
      </w:pPr>
    </w:p>
    <w:p>
      <w:pPr>
        <w:spacing w:after="0" w:line="213" w:lineRule="exact"/>
        <w:rPr>
          <w:rFonts w:ascii="Times New Roman" w:cs="Times New Roman" w:eastAsia="Times New Roman" w:hAnsi="Times New Roman"/>
          <w:sz w:val="18"/>
          <w:szCs w:val="18"/>
          <w:color w:val="000000"/>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rFonts w:ascii="Times New Roman" w:cs="Times New Roman" w:eastAsia="Times New Roman" w:hAnsi="Times New Roman"/>
          <w:sz w:val="18"/>
          <w:szCs w:val="18"/>
          <w:color w:val="000000"/>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121" w:lineRule="exact"/>
        <w:rPr>
          <w:rFonts w:ascii="Times New Roman" w:cs="Times New Roman" w:eastAsia="Times New Roman" w:hAnsi="Times New Roman"/>
          <w:sz w:val="18"/>
          <w:szCs w:val="18"/>
          <w:color w:val="000000"/>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information specified in Item 1 and Item 2 of Part I of Form S-8 is omitted from this filing in accordance with the provisions of Rule 428 under the Securities Act of 1933, as amended (the “Securities Act”) and the introductory note to Part I of the Form S-8 instructions. The documents containing the information specified in Part I will be sent or given to the participants in the Plan as required by Rule 428(b)(1) under the Securities Act. These documents and the documents incorporated by reference herein pursuant to Item 3 of Part II hereof, taken together, constitute a prospectus that meets the requirements of Section 10(a) of the Securities Act.</w:t>
      </w:r>
    </w:p>
    <w:p>
      <w:pPr>
        <w:spacing w:after="0" w:line="200" w:lineRule="exact"/>
        <w:rPr>
          <w:rFonts w:ascii="Times New Roman" w:cs="Times New Roman" w:eastAsia="Times New Roman" w:hAnsi="Times New Roman"/>
          <w:sz w:val="18"/>
          <w:szCs w:val="18"/>
          <w:color w:val="000000"/>
        </w:rPr>
      </w:pPr>
    </w:p>
    <w:p>
      <w:pPr>
        <w:spacing w:after="0" w:line="222" w:lineRule="exact"/>
        <w:rPr>
          <w:rFonts w:ascii="Times New Roman" w:cs="Times New Roman" w:eastAsia="Times New Roman" w:hAnsi="Times New Roman"/>
          <w:sz w:val="18"/>
          <w:szCs w:val="18"/>
          <w:color w:val="000000"/>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rFonts w:ascii="Times New Roman" w:cs="Times New Roman" w:eastAsia="Times New Roman" w:hAnsi="Times New Roman"/>
          <w:sz w:val="18"/>
          <w:szCs w:val="18"/>
          <w:color w:val="000000"/>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117" w:lineRule="exact"/>
        <w:rPr>
          <w:rFonts w:ascii="Times New Roman" w:cs="Times New Roman" w:eastAsia="Times New Roman" w:hAnsi="Times New Roman"/>
          <w:sz w:val="18"/>
          <w:szCs w:val="18"/>
          <w:color w:val="000000"/>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21" w:lineRule="exact"/>
        <w:rPr>
          <w:rFonts w:ascii="Times New Roman" w:cs="Times New Roman" w:eastAsia="Times New Roman" w:hAnsi="Times New Roman"/>
          <w:sz w:val="18"/>
          <w:szCs w:val="18"/>
          <w:color w:val="000000"/>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documents of the Registrant filed with the Commission are incorporated by reference in this Registration Statement as of their respective dates:</w:t>
      </w:r>
    </w:p>
    <w:p>
      <w:pPr>
        <w:sectPr>
          <w:pgSz w:w="11900" w:h="16838" w:orient="portrait"/>
          <w:cols w:equalWidth="0" w:num="1">
            <w:col w:w="11220"/>
          </w:cols>
          <w:pgMar w:left="320" w:top="1440" w:right="359" w:bottom="1440" w:gutter="0" w:footer="0" w:header="0"/>
        </w:sectPr>
      </w:pPr>
    </w:p>
    <w:bookmarkStart w:id="2" w:name="page3"/>
    <w:bookmarkEnd w:id="2"/>
    <w:p>
      <w:pPr>
        <w:ind w:left="480"/>
        <w:spacing w:after="0"/>
        <w:rPr>
          <w:sz w:val="20"/>
          <w:szCs w:val="20"/>
          <w:color w:val="auto"/>
        </w:rPr>
      </w:pPr>
      <w:r>
        <w:rPr>
          <w:rFonts w:ascii="Times New Roman" w:cs="Times New Roman" w:eastAsia="Times New Roman" w:hAnsi="Times New Roman"/>
          <w:sz w:val="18"/>
          <w:szCs w:val="18"/>
          <w:color w:val="auto"/>
        </w:rPr>
        <w:t>(a)</w:t>
      </w: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25">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Commission on February 25, 2025;</w:t>
      </w:r>
    </w:p>
    <w:p>
      <w:pPr>
        <w:spacing w:after="0" w:line="246" w:lineRule="exact"/>
        <w:rPr>
          <w:sz w:val="20"/>
          <w:szCs w:val="20"/>
          <w:color w:val="auto"/>
        </w:rPr>
      </w:pPr>
    </w:p>
    <w:p>
      <w:pPr>
        <w:ind w:left="940" w:right="880" w:hanging="468"/>
        <w:spacing w:after="0" w:line="181" w:lineRule="auto"/>
        <w:tabs>
          <w:tab w:leader="none" w:pos="9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Registrant’s Quarterly Reports on Form 10-Q for the quarterly periods ended </w:t>
      </w:r>
      <w:hyperlink r:id="rId26">
        <w:r>
          <w:rPr>
            <w:rFonts w:ascii="Times New Roman" w:cs="Times New Roman" w:eastAsia="Times New Roman" w:hAnsi="Times New Roman"/>
            <w:sz w:val="16"/>
            <w:szCs w:val="16"/>
            <w:u w:val="single" w:color="auto"/>
            <w:color w:val="0000FF"/>
          </w:rPr>
          <w:t>March 31, 2025</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 xml:space="preserve">and </w:t>
      </w:r>
      <w:hyperlink r:id="rId27">
        <w:r>
          <w:rPr>
            <w:rFonts w:ascii="Times New Roman" w:cs="Times New Roman" w:eastAsia="Times New Roman" w:hAnsi="Times New Roman"/>
            <w:sz w:val="16"/>
            <w:szCs w:val="16"/>
            <w:u w:val="single" w:color="auto"/>
            <w:color w:val="0000FF"/>
          </w:rPr>
          <w:t>June 30, 2025</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filed with the Commission on May 5, 2025 and July 31, 2025, respectively;</w:t>
      </w:r>
    </w:p>
    <w:p>
      <w:pPr>
        <w:spacing w:after="0" w:line="53" w:lineRule="exact"/>
        <w:rPr>
          <w:rFonts w:ascii="Times New Roman" w:cs="Times New Roman" w:eastAsia="Times New Roman" w:hAnsi="Times New Roman"/>
          <w:sz w:val="31"/>
          <w:szCs w:val="31"/>
          <w:color w:val="auto"/>
          <w:vertAlign w:val="superscript"/>
        </w:rPr>
      </w:pPr>
    </w:p>
    <w:p>
      <w:pPr>
        <w:ind w:left="480"/>
        <w:spacing w:after="0"/>
        <w:rPr>
          <w:sz w:val="20"/>
          <w:szCs w:val="20"/>
          <w:color w:val="auto"/>
        </w:rPr>
      </w:pPr>
      <w:r>
        <w:rPr>
          <w:rFonts w:ascii="Times New Roman" w:cs="Times New Roman" w:eastAsia="Times New Roman" w:hAnsi="Times New Roman"/>
          <w:sz w:val="18"/>
          <w:szCs w:val="18"/>
          <w:color w:val="auto"/>
        </w:rPr>
        <w:t>(c)</w:t>
      </w:r>
    </w:p>
    <w:p>
      <w:pPr>
        <w:spacing w:after="0" w:line="20" w:lineRule="exact"/>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31"/>
          <w:szCs w:val="31"/>
          <w:color w:val="auto"/>
          <w:vertAlign w:val="superscript"/>
        </w:rPr>
        <w:drawing>
          <wp:anchor simplePos="0" relativeHeight="251657728" behindDoc="1" locked="0" layoutInCell="0" allowOverlap="1">
            <wp:simplePos x="0" y="0"/>
            <wp:positionH relativeFrom="column">
              <wp:posOffset>2619375</wp:posOffset>
            </wp:positionH>
            <wp:positionV relativeFrom="paragraph">
              <wp:posOffset>-635</wp:posOffset>
            </wp:positionV>
            <wp:extent cx="421767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4217670" cy="128905"/>
                    </a:xfrm>
                    <a:prstGeom prst="rect">
                      <a:avLst/>
                    </a:prstGeom>
                    <a:noFill/>
                  </pic:spPr>
                </pic:pic>
              </a:graphicData>
            </a:graphic>
          </wp:anchor>
        </w:drawing>
      </w:r>
    </w:p>
    <w:p>
      <w:pPr>
        <w:ind w:left="940" w:right="4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w:t>
      </w:r>
      <w:hyperlink r:id="rId29">
        <w:r>
          <w:rPr>
            <w:rFonts w:ascii="Times New Roman" w:cs="Times New Roman" w:eastAsia="Times New Roman" w:hAnsi="Times New Roman"/>
            <w:sz w:val="18"/>
            <w:szCs w:val="18"/>
            <w:u w:val="single" w:color="auto"/>
            <w:color w:val="0000FF"/>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on Schedule 14A filed with the Commission on April 4, 2025, to the extent incorporated by reference into the Registrant’s Annual Report on </w:t>
      </w:r>
      <w:hyperlink r:id="rId25">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-146050</wp:posOffset>
            </wp:positionV>
            <wp:extent cx="181737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817370" cy="128905"/>
                    </a:xfrm>
                    <a:prstGeom prst="rect">
                      <a:avLst/>
                    </a:prstGeom>
                    <a:noFill/>
                  </pic:spPr>
                </pic:pic>
              </a:graphicData>
            </a:graphic>
          </wp:anchor>
        </w:drawing>
      </w:r>
    </w:p>
    <w:p>
      <w:pPr>
        <w:spacing w:after="0" w:line="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w:t>
      </w: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8-K, filed with the Commission on </w:t>
      </w:r>
      <w:hyperlink r:id="rId31">
        <w:r>
          <w:rPr>
            <w:rFonts w:ascii="Times New Roman" w:cs="Times New Roman" w:eastAsia="Times New Roman" w:hAnsi="Times New Roman"/>
            <w:sz w:val="18"/>
            <w:szCs w:val="18"/>
            <w:u w:val="single" w:color="auto"/>
            <w:color w:val="0000FF"/>
          </w:rPr>
          <w:t>January 6, 2025</w:t>
        </w:r>
      </w:hyperlink>
      <w:r>
        <w:rPr>
          <w:rFonts w:ascii="Times New Roman" w:cs="Times New Roman" w:eastAsia="Times New Roman" w:hAnsi="Times New Roman"/>
          <w:sz w:val="18"/>
          <w:szCs w:val="18"/>
          <w:color w:val="auto"/>
        </w:rPr>
        <w:t xml:space="preserve">, </w:t>
      </w:r>
      <w:hyperlink r:id="rId32">
        <w:r>
          <w:rPr>
            <w:rFonts w:ascii="Times New Roman" w:cs="Times New Roman" w:eastAsia="Times New Roman" w:hAnsi="Times New Roman"/>
            <w:sz w:val="18"/>
            <w:szCs w:val="18"/>
            <w:u w:val="single" w:color="auto"/>
            <w:color w:val="0000FF"/>
          </w:rPr>
          <w:t>May 13, 2025</w:t>
        </w:r>
      </w:hyperlink>
      <w:r>
        <w:rPr>
          <w:rFonts w:ascii="Times New Roman" w:cs="Times New Roman" w:eastAsia="Times New Roman" w:hAnsi="Times New Roman"/>
          <w:sz w:val="18"/>
          <w:szCs w:val="18"/>
          <w:color w:val="auto"/>
        </w:rPr>
        <w:t xml:space="preserve">, and </w:t>
      </w:r>
      <w:hyperlink r:id="rId33">
        <w:r>
          <w:rPr>
            <w:rFonts w:ascii="Times New Roman" w:cs="Times New Roman" w:eastAsia="Times New Roman" w:hAnsi="Times New Roman"/>
            <w:sz w:val="18"/>
            <w:szCs w:val="18"/>
            <w:u w:val="single" w:color="auto"/>
            <w:color w:val="0000FF"/>
          </w:rPr>
          <w:t>June 9, 2025</w:t>
        </w:r>
      </w:hyperlink>
      <w:r>
        <w:rPr>
          <w:rFonts w:ascii="Times New Roman" w:cs="Times New Roman" w:eastAsia="Times New Roman" w:hAnsi="Times New Roman"/>
          <w:sz w:val="18"/>
          <w:szCs w:val="18"/>
          <w:color w:val="auto"/>
        </w:rPr>
        <w:t>; and</w:t>
      </w:r>
    </w:p>
    <w:p>
      <w:pPr>
        <w:spacing w:after="0" w:line="72" w:lineRule="exact"/>
        <w:rPr>
          <w:rFonts w:ascii="Times New Roman" w:cs="Times New Roman" w:eastAsia="Times New Roman" w:hAnsi="Times New Roman"/>
          <w:sz w:val="18"/>
          <w:szCs w:val="18"/>
          <w:color w:val="auto"/>
        </w:rPr>
      </w:pPr>
    </w:p>
    <w:p>
      <w:pPr>
        <w:ind w:left="480"/>
        <w:spacing w:after="0"/>
        <w:rPr>
          <w:sz w:val="20"/>
          <w:szCs w:val="20"/>
          <w:color w:val="auto"/>
        </w:rPr>
      </w:pPr>
      <w:r>
        <w:rPr>
          <w:rFonts w:ascii="Times New Roman" w:cs="Times New Roman" w:eastAsia="Times New Roman" w:hAnsi="Times New Roman"/>
          <w:sz w:val="18"/>
          <w:szCs w:val="18"/>
          <w:color w:val="auto"/>
        </w:rPr>
        <w:t>(e)</w:t>
      </w:r>
    </w:p>
    <w:p>
      <w:pPr>
        <w:ind w:left="940" w:right="2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the Registrant’s Current Report on Form 8-K filed on </w:t>
      </w:r>
      <w:hyperlink r:id="rId34">
        <w:r>
          <w:rPr>
            <w:rFonts w:ascii="Times New Roman" w:cs="Times New Roman" w:eastAsia="Times New Roman" w:hAnsi="Times New Roman"/>
            <w:sz w:val="18"/>
            <w:szCs w:val="18"/>
            <w:u w:val="single" w:color="auto"/>
            <w:color w:val="0000FF"/>
          </w:rPr>
          <w:t>November 4, 2013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any amendment or report filed with the SEC for the purpose of updating the description, including </w:t>
      </w:r>
      <w:hyperlink r:id="rId35">
        <w:r>
          <w:rPr>
            <w:rFonts w:ascii="Times New Roman" w:cs="Times New Roman" w:eastAsia="Times New Roman" w:hAnsi="Times New Roman"/>
            <w:sz w:val="18"/>
            <w:szCs w:val="18"/>
            <w:u w:val="single" w:color="auto"/>
            <w:color w:val="0000FF"/>
          </w:rPr>
          <w:t>Exhibit 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Registrant’s Annual Report on </w:t>
      </w:r>
      <w:hyperlink r:id="rId25">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February 25, 2025.</w:t>
      </w:r>
    </w:p>
    <w:p>
      <w:pPr>
        <w:spacing w:after="0" w:line="308" w:lineRule="exact"/>
        <w:rPr>
          <w:rFonts w:ascii="Times New Roman" w:cs="Times New Roman" w:eastAsia="Times New Roman" w:hAnsi="Times New Roman"/>
          <w:sz w:val="18"/>
          <w:szCs w:val="18"/>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All documents filed by the Registrant with the Commission pursuant to Sections 13(a), 13(c), 14 and 15(d) of the Securities Exchange Act of 1934, as amended (the “Exchange Act”) (excluding information deemed to be furnished and not filed with the Commission) subsequent to the date of this Registration Statement and prior to the filing of a post-effective amendment that indicates that all securities offered hereby have been sold or that deregisters all securities then remaining unsold, will be deemed to be incorporated by reference in this Registration Statement and to be part hereof from the date of filing of such documents. The Registrant does not and will not, however, incorporate by reference in this Registration Statement any documents or portions thereof that are not deemed “filed” with the Commission, including any information or exhibits furnished pursuant to Item 2.02 or Item 7.01 of the Registrant’s Current Reports on Form 8-K unless, and except to the extent, specified in such Current Reports.</w:t>
      </w:r>
    </w:p>
    <w:p>
      <w:pPr>
        <w:spacing w:after="0" w:line="81" w:lineRule="exact"/>
        <w:rPr>
          <w:rFonts w:ascii="Times New Roman" w:cs="Times New Roman" w:eastAsia="Times New Roman" w:hAnsi="Times New Roman"/>
          <w:sz w:val="18"/>
          <w:szCs w:val="18"/>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Any statement contained in any document incorporated or deemed to be incorporated by reference herein will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will not be deemed, except as modified or superseded, to constitute a part of this Registration Statement.</w:t>
      </w:r>
    </w:p>
    <w:p>
      <w:pPr>
        <w:spacing w:after="0" w:line="200" w:lineRule="exact"/>
        <w:rPr>
          <w:rFonts w:ascii="Times New Roman" w:cs="Times New Roman" w:eastAsia="Times New Roman" w:hAnsi="Times New Roman"/>
          <w:sz w:val="18"/>
          <w:szCs w:val="18"/>
          <w:color w:val="auto"/>
        </w:rPr>
      </w:pPr>
    </w:p>
    <w:p>
      <w:pPr>
        <w:spacing w:after="0" w:line="21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121"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rFonts w:ascii="Times New Roman" w:cs="Times New Roman" w:eastAsia="Times New Roman" w:hAnsi="Times New Roman"/>
          <w:sz w:val="18"/>
          <w:szCs w:val="18"/>
          <w:color w:val="auto"/>
        </w:rPr>
      </w:pPr>
    </w:p>
    <w:p>
      <w:pPr>
        <w:spacing w:after="0" w:line="264"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121"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rFonts w:ascii="Times New Roman" w:cs="Times New Roman" w:eastAsia="Times New Roman" w:hAnsi="Times New Roman"/>
          <w:sz w:val="18"/>
          <w:szCs w:val="18"/>
          <w:color w:val="auto"/>
        </w:rPr>
      </w:pPr>
    </w:p>
    <w:p>
      <w:pPr>
        <w:spacing w:after="0" w:line="264"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17" w:lineRule="exact"/>
        <w:rPr>
          <w:rFonts w:ascii="Times New Roman" w:cs="Times New Roman" w:eastAsia="Times New Roman" w:hAnsi="Times New Roman"/>
          <w:sz w:val="18"/>
          <w:szCs w:val="18"/>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following summary is qualified in its entirety by reference to the complete text of any statutes referred to below and the certificate of incorporation and bylaws of Integra LifeSciences Holdings Corporation.</w:t>
      </w:r>
    </w:p>
    <w:p>
      <w:pPr>
        <w:spacing w:after="0" w:line="51" w:lineRule="exact"/>
        <w:rPr>
          <w:rFonts w:ascii="Times New Roman" w:cs="Times New Roman" w:eastAsia="Times New Roman" w:hAnsi="Times New Roman"/>
          <w:sz w:val="18"/>
          <w:szCs w:val="18"/>
          <w:color w:val="auto"/>
        </w:rPr>
      </w:pPr>
    </w:p>
    <w:p>
      <w:pPr>
        <w:ind w:right="20" w:firstLine="648"/>
        <w:spacing w:after="0" w:line="268" w:lineRule="auto"/>
        <w:rPr>
          <w:sz w:val="20"/>
          <w:szCs w:val="20"/>
          <w:color w:val="auto"/>
        </w:rPr>
      </w:pPr>
      <w:r>
        <w:rPr>
          <w:rFonts w:ascii="Times New Roman" w:cs="Times New Roman" w:eastAsia="Times New Roman" w:hAnsi="Times New Roman"/>
          <w:sz w:val="17"/>
          <w:szCs w:val="17"/>
          <w:color w:val="auto"/>
        </w:rPr>
        <w:t>The Registrant is organized under the laws of the State of Delaware. As permitted by the Delaware General Corporation Law (“DGCL”), Article 7 of the Company’s amended and restated certificate of incorporation, as amended (the “Certificate of Incorporation”) provides that our directors and officers shall not be personally liable to the Company or our stockholders for monetary damages for breach of fiduciary duty as directors and officers, except to the extent that Section 102(b)(7) (or any successor provision) of the DGCL, as amended from time to time, expressly provides that the liability of a director or officer may not be eliminated or limited. Under Section 102(b)(7) of the DGCL, liability of a director or officer may not be limited (i) for any breach of a director’s duty of loyalty to the Company or its stockholders, (ii) for acts or omissions not in good faith or which involve intentional misconduct or a knowing violation of law, (iii) under Section 174 of the DGCL, relating to prohibited dividends or distributions or the repurchase or redemption of stock,</w:t>
      </w:r>
    </w:p>
    <w:p>
      <w:pPr>
        <w:spacing w:after="0" w:line="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or officer derived an improper personal benefit, or (v) an officer in any action by or in the right of the</w:t>
      </w:r>
    </w:p>
    <w:p>
      <w:pPr>
        <w:spacing w:after="0" w:line="9" w:lineRule="exact"/>
        <w:rPr>
          <w:rFonts w:ascii="Times New Roman" w:cs="Times New Roman" w:eastAsia="Times New Roman" w:hAnsi="Times New Roman"/>
          <w:sz w:val="18"/>
          <w:szCs w:val="18"/>
          <w:color w:val="auto"/>
        </w:rPr>
      </w:pPr>
    </w:p>
    <w:p>
      <w:pPr>
        <w:ind w:right="1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In addition, Article 6 of our third amended and restated bylaws (the “Bylaws”) provides for indemnification of our officers and directors to the fullest extent permitted under Delaware law.</w:t>
      </w:r>
    </w:p>
    <w:p>
      <w:pPr>
        <w:spacing w:after="0" w:line="73" w:lineRule="exact"/>
        <w:rPr>
          <w:rFonts w:ascii="Times New Roman" w:cs="Times New Roman" w:eastAsia="Times New Roman" w:hAnsi="Times New Roman"/>
          <w:sz w:val="18"/>
          <w:szCs w:val="18"/>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Subsection (a) of Section 145 of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w:t>
      </w:r>
    </w:p>
    <w:p>
      <w:pPr>
        <w:sectPr>
          <w:pgSz w:w="11900" w:h="16838" w:orient="portrait"/>
          <w:cols w:equalWidth="0" w:num="1">
            <w:col w:w="11220"/>
          </w:cols>
          <w:pgMar w:left="320" w:top="744" w:right="359" w:bottom="1440" w:gutter="0" w:footer="0" w:header="0"/>
        </w:sectPr>
      </w:pPr>
    </w:p>
    <w:bookmarkStart w:id="3" w:name="page4"/>
    <w:bookmarkEnd w:id="3"/>
    <w:p>
      <w:pPr>
        <w:ind w:right="100"/>
        <w:spacing w:after="0" w:line="258" w:lineRule="auto"/>
        <w:rPr>
          <w:sz w:val="20"/>
          <w:szCs w:val="20"/>
          <w:color w:val="auto"/>
        </w:rPr>
      </w:pPr>
      <w:r>
        <w:rPr>
          <w:rFonts w:ascii="Times New Roman" w:cs="Times New Roman" w:eastAsia="Times New Roman" w:hAnsi="Times New Roman"/>
          <w:sz w:val="18"/>
          <w:szCs w:val="18"/>
          <w:color w:val="auto"/>
        </w:rPr>
        <w:t>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7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Subsection (b) of Section 145 of the DGCL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8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such person against such liabilities under Section 145.</w:t>
      </w:r>
    </w:p>
    <w:p>
      <w:pPr>
        <w:spacing w:after="0" w:line="8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Any person claiming indemnification within the scope of Section 6.01 of the Registrant’s Bylaws is entitled to advances from the Registrant for payment of the expenses of defending actions against such person in the manner and to the full extent permissible under Delaware law.</w:t>
      </w:r>
    </w:p>
    <w:p>
      <w:pPr>
        <w:spacing w:after="0" w:line="5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indemnification provided under Article 6 of the Bylaws is in the nature of a contract between the Registrant and each of its directors and officers. No amendment or repeal of any provision of Article 6 of the Bylaws will alter, to the detriment of such director or officer, the right of such person to the advancement of expenses or indemnification related to a claim based on an act or failure to act which took place prior to such amendment, repeal or termination.</w:t>
      </w:r>
    </w:p>
    <w:p>
      <w:pPr>
        <w:spacing w:after="0" w:line="7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indemnification and advancement of expenses provided by Article 6 of the Bylaws is not exclusive of any other rights to which those seeking indemnification or advancement of expenses may be entitled under any insurance or other agreement, vote of shareholders or disinterested directors or otherwise, both as to actions in their official capacity and as to actions in another capacity while holding an office, and will continue as to a person who has ceased to be a director or officer and will inure to the benefit of the heirs, executors and administrators of such person.</w:t>
      </w:r>
    </w:p>
    <w:p>
      <w:pPr>
        <w:spacing w:after="0" w:line="7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Registrant has entered into indemnification agreements with all of its non-employee directors and executive officers that require it to indemnify these persons to the fullest extent permitted by applicable law against expenses, judgments, fines and amounts paid in settlement actually and reasonably incurred by the indemnitee, or on their behalf, as applicable, in connection with such third-party proceeding or any claim, issue or matter therein, if the indemnitee acted in good faith and in a manner they reasonably believed to be in, or not opposed to, the best interests of the Company and, in the case of a criminal action or proceeding, had no reasonable cause to believe that his or her conduct was unlawful. The indemnification agreements further provide for the indemnification of any such non-employee director or executive officer against all expenses incurred in the successful defense of any proceeding, whether on the merits or otherwise, in a proceeding or in defense of any claim, issue or matter therein, in whole or in part, and also establish procedures that will apply if a claim for indemnification arises under the indemnification agreements.</w:t>
      </w:r>
    </w:p>
    <w:p>
      <w:pPr>
        <w:spacing w:after="0" w:line="84"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for our directors, executive officers or persons controlling us, we have been informed that, in the opinion of the Commission, such indemnification is against public policy as expressed in the Securities Act and is therefore unenforceable.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1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20"/>
          </w:cols>
          <w:pgMar w:left="320" w:top="87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ectPr>
          <w:pgSz w:w="11900" w:h="16838" w:orient="portrait"/>
          <w:cols w:equalWidth="0" w:num="1">
            <w:col w:w="11200"/>
          </w:cols>
          <w:pgMar w:left="320" w:top="779" w:right="379" w:bottom="1440" w:gutter="0" w:footer="0" w:header="0"/>
        </w:sectPr>
      </w:pPr>
    </w:p>
    <w:p>
      <w:pPr>
        <w:spacing w:after="0" w:line="30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Exhibit</w:t>
      </w:r>
    </w:p>
    <w:p>
      <w:pPr>
        <w:spacing w:after="0" w:line="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4629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1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4.1(a)</w:t>
      </w:r>
    </w:p>
    <w:p>
      <w:pPr>
        <w:spacing w:after="0" w:line="3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4.1(b)</w:t>
      </w:r>
    </w:p>
    <w:p>
      <w:pPr>
        <w:spacing w:after="0" w:line="3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4.1(c)</w:t>
      </w:r>
    </w:p>
    <w:p>
      <w:pPr>
        <w:spacing w:after="0" w:line="3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4.1(d)</w:t>
      </w:r>
    </w:p>
    <w:p>
      <w:pPr>
        <w:spacing w:after="0" w:line="3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4.1(e)</w:t>
      </w:r>
    </w:p>
    <w:p>
      <w:pPr>
        <w:spacing w:after="0" w:line="1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4.2(a)</w:t>
      </w:r>
    </w:p>
    <w:p>
      <w:pPr>
        <w:spacing w:after="0" w:line="3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4.3(a)</w:t>
      </w:r>
    </w:p>
    <w:p>
      <w:pPr>
        <w:spacing w:after="0" w:line="3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4.3(b)</w:t>
      </w:r>
    </w:p>
    <w:p>
      <w:pPr>
        <w:spacing w:after="0" w:line="3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4.3(c)</w:t>
      </w:r>
    </w:p>
    <w:p>
      <w:pPr>
        <w:spacing w:after="0" w:line="24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20320</wp:posOffset>
            </wp:positionV>
            <wp:extent cx="64376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134" w:lineRule="exact"/>
        <w:rPr>
          <w:sz w:val="20"/>
          <w:szCs w:val="20"/>
          <w:color w:val="auto"/>
        </w:rPr>
      </w:pPr>
    </w:p>
    <w:p>
      <w:pPr>
        <w:ind w:right="740"/>
        <w:spacing w:after="0" w:line="280" w:lineRule="auto"/>
        <w:rPr>
          <w:rFonts w:ascii="Times New Roman" w:cs="Times New Roman" w:eastAsia="Times New Roman" w:hAnsi="Times New Roman"/>
          <w:sz w:val="16"/>
          <w:szCs w:val="16"/>
          <w:u w:val="single" w:color="auto"/>
          <w:color w:val="0000FF"/>
        </w:rPr>
      </w:pPr>
      <w:hyperlink r:id="rId38">
        <w:r>
          <w:rPr>
            <w:rFonts w:ascii="Times New Roman" w:cs="Times New Roman" w:eastAsia="Times New Roman" w:hAnsi="Times New Roman"/>
            <w:sz w:val="16"/>
            <w:szCs w:val="16"/>
            <w:u w:val="single" w:color="auto"/>
            <w:color w:val="0000FF"/>
          </w:rPr>
          <w:t>Amended and Restated Certificate of Incorporation of the Registrant dated February 16, 1993 (Incorporated by reference to Exhibit 3.1(a) to the</w:t>
        </w:r>
      </w:hyperlink>
      <w:r>
        <w:rPr>
          <w:rFonts w:ascii="Times New Roman" w:cs="Times New Roman" w:eastAsia="Times New Roman" w:hAnsi="Times New Roman"/>
          <w:sz w:val="16"/>
          <w:szCs w:val="16"/>
          <w:u w:val="single" w:color="auto"/>
          <w:color w:val="0000FF"/>
        </w:rPr>
        <w:t xml:space="preserve"> </w:t>
      </w:r>
      <w:hyperlink r:id="rId38">
        <w:r>
          <w:rPr>
            <w:rFonts w:ascii="Times New Roman" w:cs="Times New Roman" w:eastAsia="Times New Roman" w:hAnsi="Times New Roman"/>
            <w:sz w:val="16"/>
            <w:szCs w:val="16"/>
            <w:u w:val="single" w:color="auto"/>
            <w:color w:val="0000FF"/>
          </w:rPr>
          <w:t>Registrant’s Annual Report on Form 10-K for the year ended December 31, 2005).</w:t>
        </w:r>
      </w:hyperlink>
    </w:p>
    <w:p>
      <w:pPr>
        <w:spacing w:after="0" w:line="138" w:lineRule="exact"/>
        <w:rPr>
          <w:sz w:val="20"/>
          <w:szCs w:val="20"/>
          <w:color w:val="auto"/>
        </w:rPr>
      </w:pPr>
    </w:p>
    <w:p>
      <w:pPr>
        <w:ind w:right="460"/>
        <w:spacing w:after="0" w:line="280" w:lineRule="auto"/>
        <w:rPr>
          <w:rFonts w:ascii="Times New Roman" w:cs="Times New Roman" w:eastAsia="Times New Roman" w:hAnsi="Times New Roman"/>
          <w:sz w:val="16"/>
          <w:szCs w:val="16"/>
          <w:u w:val="single" w:color="auto"/>
          <w:color w:val="0000FF"/>
        </w:rPr>
      </w:pPr>
      <w:hyperlink r:id="rId39">
        <w:r>
          <w:rPr>
            <w:rFonts w:ascii="Times New Roman" w:cs="Times New Roman" w:eastAsia="Times New Roman" w:hAnsi="Times New Roman"/>
            <w:sz w:val="16"/>
            <w:szCs w:val="16"/>
            <w:u w:val="single" w:color="auto"/>
            <w:color w:val="0000FF"/>
          </w:rPr>
          <w:t>Certificate of Amendment to Amended and Restated Certificate of Incorporation of the Registrant dated May 22, 1998 (Incorporated by reference to</w:t>
        </w:r>
      </w:hyperlink>
      <w:r>
        <w:rPr>
          <w:rFonts w:ascii="Times New Roman" w:cs="Times New Roman" w:eastAsia="Times New Roman" w:hAnsi="Times New Roman"/>
          <w:sz w:val="16"/>
          <w:szCs w:val="16"/>
          <w:u w:val="single" w:color="auto"/>
          <w:color w:val="0000FF"/>
        </w:rPr>
        <w:t xml:space="preserve"> </w:t>
      </w:r>
      <w:hyperlink r:id="rId39">
        <w:r>
          <w:rPr>
            <w:rFonts w:ascii="Times New Roman" w:cs="Times New Roman" w:eastAsia="Times New Roman" w:hAnsi="Times New Roman"/>
            <w:sz w:val="16"/>
            <w:szCs w:val="16"/>
            <w:u w:val="single" w:color="auto"/>
            <w:color w:val="0000FF"/>
          </w:rPr>
          <w:t>Exhibit 3.1(b) to the Registrant’s Annual Report on Form 10-K for the year ended December 31, 1998).</w:t>
        </w:r>
      </w:hyperlink>
    </w:p>
    <w:p>
      <w:pPr>
        <w:spacing w:after="0" w:line="84" w:lineRule="exact"/>
        <w:rPr>
          <w:sz w:val="20"/>
          <w:szCs w:val="20"/>
          <w:color w:val="auto"/>
        </w:rPr>
      </w:pPr>
    </w:p>
    <w:p>
      <w:pPr>
        <w:ind w:right="460"/>
        <w:spacing w:after="0" w:line="280" w:lineRule="auto"/>
        <w:rPr>
          <w:rFonts w:ascii="Times New Roman" w:cs="Times New Roman" w:eastAsia="Times New Roman" w:hAnsi="Times New Roman"/>
          <w:sz w:val="16"/>
          <w:szCs w:val="16"/>
          <w:u w:val="single" w:color="auto"/>
          <w:color w:val="0000FF"/>
        </w:rPr>
      </w:pPr>
      <w:hyperlink r:id="rId40">
        <w:r>
          <w:rPr>
            <w:rFonts w:ascii="Times New Roman" w:cs="Times New Roman" w:eastAsia="Times New Roman" w:hAnsi="Times New Roman"/>
            <w:sz w:val="16"/>
            <w:szCs w:val="16"/>
            <w:u w:val="single" w:color="auto"/>
            <w:color w:val="0000FF"/>
          </w:rPr>
          <w:t>Certificate of Amendment to Amended and Restated Certificate of Incorporation of the Registrant dated May 17, 1999 (Incorporated by reference to</w:t>
        </w:r>
      </w:hyperlink>
      <w:r>
        <w:rPr>
          <w:rFonts w:ascii="Times New Roman" w:cs="Times New Roman" w:eastAsia="Times New Roman" w:hAnsi="Times New Roman"/>
          <w:sz w:val="16"/>
          <w:szCs w:val="16"/>
          <w:u w:val="single" w:color="auto"/>
          <w:color w:val="0000FF"/>
        </w:rPr>
        <w:t xml:space="preserve"> </w:t>
      </w:r>
      <w:hyperlink r:id="rId40">
        <w:r>
          <w:rPr>
            <w:rFonts w:ascii="Times New Roman" w:cs="Times New Roman" w:eastAsia="Times New Roman" w:hAnsi="Times New Roman"/>
            <w:sz w:val="16"/>
            <w:szCs w:val="16"/>
            <w:u w:val="single" w:color="auto"/>
            <w:color w:val="0000FF"/>
          </w:rPr>
          <w:t>Exhibit 3.1(c) to the Registrant’s Annual Report on Form 10-K for the year ended December 31, 2004).</w:t>
        </w:r>
      </w:hyperlink>
    </w:p>
    <w:p>
      <w:pPr>
        <w:spacing w:after="0" w:line="84" w:lineRule="exact"/>
        <w:rPr>
          <w:sz w:val="20"/>
          <w:szCs w:val="20"/>
          <w:color w:val="auto"/>
        </w:rPr>
      </w:pPr>
    </w:p>
    <w:p>
      <w:pPr>
        <w:ind w:right="80"/>
        <w:spacing w:after="0" w:line="280" w:lineRule="auto"/>
        <w:rPr>
          <w:rFonts w:ascii="Times New Roman" w:cs="Times New Roman" w:eastAsia="Times New Roman" w:hAnsi="Times New Roman"/>
          <w:sz w:val="16"/>
          <w:szCs w:val="16"/>
          <w:u w:val="single" w:color="auto"/>
          <w:color w:val="0000FF"/>
        </w:rPr>
      </w:pPr>
      <w:hyperlink r:id="rId41">
        <w:r>
          <w:rPr>
            <w:rFonts w:ascii="Times New Roman" w:cs="Times New Roman" w:eastAsia="Times New Roman" w:hAnsi="Times New Roman"/>
            <w:sz w:val="16"/>
            <w:szCs w:val="16"/>
            <w:u w:val="single" w:color="auto"/>
            <w:color w:val="0000FF"/>
          </w:rPr>
          <w:t>Certificate of Amendment to Amended and Restated Certificate of Incorporation of the Registrant dated December 21, 2016 (Incorporated by reference to</w:t>
        </w:r>
      </w:hyperlink>
      <w:r>
        <w:rPr>
          <w:rFonts w:ascii="Times New Roman" w:cs="Times New Roman" w:eastAsia="Times New Roman" w:hAnsi="Times New Roman"/>
          <w:sz w:val="16"/>
          <w:szCs w:val="16"/>
          <w:u w:val="single" w:color="auto"/>
          <w:color w:val="0000FF"/>
        </w:rPr>
        <w:t xml:space="preserve"> </w:t>
      </w:r>
      <w:hyperlink r:id="rId41">
        <w:r>
          <w:rPr>
            <w:rFonts w:ascii="Times New Roman" w:cs="Times New Roman" w:eastAsia="Times New Roman" w:hAnsi="Times New Roman"/>
            <w:sz w:val="16"/>
            <w:szCs w:val="16"/>
            <w:u w:val="single" w:color="auto"/>
            <w:color w:val="0000FF"/>
          </w:rPr>
          <w:t>Exhibit 3.1 to the Registrant’s Current Report on Form 8-K filed on December 22, 2016).</w:t>
        </w:r>
      </w:hyperlink>
    </w:p>
    <w:p>
      <w:pPr>
        <w:spacing w:after="0" w:line="16" w:lineRule="exact"/>
        <w:rPr>
          <w:sz w:val="20"/>
          <w:szCs w:val="20"/>
          <w:color w:val="auto"/>
        </w:rPr>
      </w:pPr>
    </w:p>
    <w:p>
      <w:pPr>
        <w:ind w:right="20"/>
        <w:spacing w:after="0" w:line="245" w:lineRule="auto"/>
        <w:rPr>
          <w:rFonts w:ascii="Times New Roman" w:cs="Times New Roman" w:eastAsia="Times New Roman" w:hAnsi="Times New Roman"/>
          <w:sz w:val="16"/>
          <w:szCs w:val="16"/>
          <w:u w:val="single" w:color="auto"/>
          <w:color w:val="0E32E1"/>
        </w:rPr>
      </w:pPr>
      <w:hyperlink r:id="rId42">
        <w:r>
          <w:rPr>
            <w:rFonts w:ascii="Times New Roman" w:cs="Times New Roman" w:eastAsia="Times New Roman" w:hAnsi="Times New Roman"/>
            <w:sz w:val="16"/>
            <w:szCs w:val="16"/>
            <w:u w:val="single" w:color="auto"/>
            <w:color w:val="0E32E1"/>
          </w:rPr>
          <w:t>Certificate of Amendment to Amended and Restated Certificate of Incorporation of the Registrant dated May 9, 2024 (Incorporated by reference to Exhibit</w:t>
        </w:r>
      </w:hyperlink>
      <w:r>
        <w:rPr>
          <w:rFonts w:ascii="Times New Roman" w:cs="Times New Roman" w:eastAsia="Times New Roman" w:hAnsi="Times New Roman"/>
          <w:sz w:val="16"/>
          <w:szCs w:val="16"/>
          <w:u w:val="single" w:color="auto"/>
          <w:color w:val="0E32E1"/>
        </w:rPr>
        <w:t xml:space="preserve"> </w:t>
      </w:r>
      <w:hyperlink r:id="rId42">
        <w:r>
          <w:rPr>
            <w:rFonts w:ascii="Times New Roman" w:cs="Times New Roman" w:eastAsia="Times New Roman" w:hAnsi="Times New Roman"/>
            <w:sz w:val="16"/>
            <w:szCs w:val="16"/>
            <w:u w:val="single" w:color="auto"/>
            <w:color w:val="0E32E1"/>
          </w:rPr>
          <w:t>3.1 to the Registrant’s Quarterly Report on Form 10-Q for the quarter ended September 30, 2024).</w:t>
        </w:r>
      </w:hyperlink>
    </w:p>
    <w:p>
      <w:pPr>
        <w:spacing w:after="0" w:line="70" w:lineRule="exact"/>
        <w:rPr>
          <w:sz w:val="20"/>
          <w:szCs w:val="20"/>
          <w:color w:val="auto"/>
        </w:rPr>
      </w:pPr>
    </w:p>
    <w:p>
      <w:pPr>
        <w:ind w:right="480"/>
        <w:spacing w:after="0" w:line="280" w:lineRule="auto"/>
        <w:rPr>
          <w:rFonts w:ascii="Times New Roman" w:cs="Times New Roman" w:eastAsia="Times New Roman" w:hAnsi="Times New Roman"/>
          <w:sz w:val="16"/>
          <w:szCs w:val="16"/>
          <w:u w:val="single" w:color="auto"/>
          <w:color w:val="0000FF"/>
        </w:rPr>
      </w:pPr>
      <w:hyperlink r:id="rId43">
        <w:r>
          <w:rPr>
            <w:rFonts w:ascii="Times New Roman" w:cs="Times New Roman" w:eastAsia="Times New Roman" w:hAnsi="Times New Roman"/>
            <w:sz w:val="16"/>
            <w:szCs w:val="16"/>
            <w:u w:val="single" w:color="auto"/>
            <w:color w:val="0000FF"/>
          </w:rPr>
          <w:t>Third Amended and Restated Bylaws of Integra LifeSciences Holdings Corporation, effective as of February 21, 2023 (Incorporated by reference to</w:t>
        </w:r>
      </w:hyperlink>
      <w:r>
        <w:rPr>
          <w:rFonts w:ascii="Times New Roman" w:cs="Times New Roman" w:eastAsia="Times New Roman" w:hAnsi="Times New Roman"/>
          <w:sz w:val="16"/>
          <w:szCs w:val="16"/>
          <w:u w:val="single" w:color="auto"/>
          <w:color w:val="0000FF"/>
        </w:rPr>
        <w:t xml:space="preserve"> </w:t>
      </w:r>
      <w:hyperlink r:id="rId43">
        <w:r>
          <w:rPr>
            <w:rFonts w:ascii="Times New Roman" w:cs="Times New Roman" w:eastAsia="Times New Roman" w:hAnsi="Times New Roman"/>
            <w:sz w:val="16"/>
            <w:szCs w:val="16"/>
            <w:u w:val="single" w:color="auto"/>
            <w:color w:val="0000FF"/>
          </w:rPr>
          <w:t>Exhibit 3.3 to the Registrant’s Annual Report on Form 10-K for the year ended December 31, 2022).</w:t>
        </w:r>
      </w:hyperlink>
    </w:p>
    <w:p>
      <w:pPr>
        <w:spacing w:after="0" w:line="138" w:lineRule="exact"/>
        <w:rPr>
          <w:sz w:val="20"/>
          <w:szCs w:val="20"/>
          <w:color w:val="auto"/>
        </w:rPr>
      </w:pPr>
    </w:p>
    <w:p>
      <w:pPr>
        <w:ind w:right="400"/>
        <w:spacing w:after="0" w:line="280" w:lineRule="auto"/>
        <w:rPr>
          <w:rFonts w:ascii="Times New Roman" w:cs="Times New Roman" w:eastAsia="Times New Roman" w:hAnsi="Times New Roman"/>
          <w:sz w:val="16"/>
          <w:szCs w:val="16"/>
          <w:u w:val="single" w:color="auto"/>
          <w:color w:val="0000FF"/>
        </w:rPr>
      </w:pPr>
      <w:hyperlink r:id="rId44">
        <w:r>
          <w:rPr>
            <w:rFonts w:ascii="Times New Roman" w:cs="Times New Roman" w:eastAsia="Times New Roman" w:hAnsi="Times New Roman"/>
            <w:sz w:val="16"/>
            <w:szCs w:val="16"/>
            <w:u w:val="single" w:color="auto"/>
            <w:color w:val="0000FF"/>
          </w:rPr>
          <w:t>Integra LifeSciences Holdings Corporation Fifth Amended and Restated 2003 Equity Incentive Plan (Incorporated by reference to Exhibit 10.1 to the</w:t>
        </w:r>
      </w:hyperlink>
      <w:r>
        <w:rPr>
          <w:rFonts w:ascii="Times New Roman" w:cs="Times New Roman" w:eastAsia="Times New Roman" w:hAnsi="Times New Roman"/>
          <w:sz w:val="16"/>
          <w:szCs w:val="16"/>
          <w:u w:val="single" w:color="auto"/>
          <w:color w:val="0000FF"/>
        </w:rPr>
        <w:t xml:space="preserve"> </w:t>
      </w:r>
      <w:hyperlink r:id="rId44">
        <w:r>
          <w:rPr>
            <w:rFonts w:ascii="Times New Roman" w:cs="Times New Roman" w:eastAsia="Times New Roman" w:hAnsi="Times New Roman"/>
            <w:sz w:val="16"/>
            <w:szCs w:val="16"/>
            <w:u w:val="single" w:color="auto"/>
            <w:color w:val="0000FF"/>
          </w:rPr>
          <w:t>Registrant’s Current Report on Form 8-K filed on May 18, 2021).</w:t>
        </w:r>
      </w:hyperlink>
    </w:p>
    <w:p>
      <w:pPr>
        <w:spacing w:after="0" w:line="84" w:lineRule="exact"/>
        <w:rPr>
          <w:sz w:val="20"/>
          <w:szCs w:val="20"/>
          <w:color w:val="auto"/>
        </w:rPr>
      </w:pPr>
    </w:p>
    <w:p>
      <w:pPr>
        <w:spacing w:after="0" w:line="280" w:lineRule="auto"/>
        <w:rPr>
          <w:rFonts w:ascii="Times New Roman" w:cs="Times New Roman" w:eastAsia="Times New Roman" w:hAnsi="Times New Roman"/>
          <w:sz w:val="16"/>
          <w:szCs w:val="16"/>
          <w:u w:val="single" w:color="auto"/>
          <w:color w:val="0000FF"/>
        </w:rPr>
      </w:pPr>
      <w:hyperlink r:id="rId45">
        <w:r>
          <w:rPr>
            <w:rFonts w:ascii="Times New Roman" w:cs="Times New Roman" w:eastAsia="Times New Roman" w:hAnsi="Times New Roman"/>
            <w:sz w:val="16"/>
            <w:szCs w:val="16"/>
            <w:u w:val="single" w:color="auto"/>
            <w:color w:val="0000FF"/>
          </w:rPr>
          <w:t>Amendment No. 1 to the Integra LifeSciences Holdings Corporation Fifth Amended and Restated 2003 Equity Incentive Plan (Incorporated by reference to</w:t>
        </w:r>
      </w:hyperlink>
      <w:r>
        <w:rPr>
          <w:rFonts w:ascii="Times New Roman" w:cs="Times New Roman" w:eastAsia="Times New Roman" w:hAnsi="Times New Roman"/>
          <w:sz w:val="16"/>
          <w:szCs w:val="16"/>
          <w:u w:val="single" w:color="auto"/>
          <w:color w:val="0000FF"/>
        </w:rPr>
        <w:t xml:space="preserve"> </w:t>
      </w:r>
      <w:hyperlink r:id="rId45">
        <w:r>
          <w:rPr>
            <w:rFonts w:ascii="Times New Roman" w:cs="Times New Roman" w:eastAsia="Times New Roman" w:hAnsi="Times New Roman"/>
            <w:sz w:val="16"/>
            <w:szCs w:val="16"/>
            <w:u w:val="single" w:color="auto"/>
            <w:color w:val="0000FF"/>
          </w:rPr>
          <w:t>Exhibit 10.1 to the Registrant’s Current Report on Form 8-K filed on May 13, 2024).</w:t>
        </w:r>
      </w:hyperlink>
    </w:p>
    <w:p>
      <w:pPr>
        <w:spacing w:after="0" w:line="16" w:lineRule="exact"/>
        <w:rPr>
          <w:sz w:val="20"/>
          <w:szCs w:val="20"/>
          <w:color w:val="auto"/>
        </w:rPr>
      </w:pPr>
    </w:p>
    <w:p>
      <w:pPr>
        <w:spacing w:after="0" w:line="245" w:lineRule="auto"/>
        <w:rPr>
          <w:rFonts w:ascii="Times New Roman" w:cs="Times New Roman" w:eastAsia="Times New Roman" w:hAnsi="Times New Roman"/>
          <w:sz w:val="16"/>
          <w:szCs w:val="16"/>
          <w:u w:val="single" w:color="auto"/>
          <w:color w:val="0E32E1"/>
        </w:rPr>
      </w:pPr>
      <w:hyperlink r:id="rId46">
        <w:r>
          <w:rPr>
            <w:rFonts w:ascii="Times New Roman" w:cs="Times New Roman" w:eastAsia="Times New Roman" w:hAnsi="Times New Roman"/>
            <w:sz w:val="16"/>
            <w:szCs w:val="16"/>
            <w:u w:val="single" w:color="auto"/>
            <w:color w:val="0E32E1"/>
          </w:rPr>
          <w:t>Amendment No. 2 to the Integra LifeSciences Holdings Corporation Fifth Amended and Restated 2003 Equity Incentive Plan (Incorporated by reference to</w:t>
        </w:r>
      </w:hyperlink>
      <w:r>
        <w:rPr>
          <w:rFonts w:ascii="Times New Roman" w:cs="Times New Roman" w:eastAsia="Times New Roman" w:hAnsi="Times New Roman"/>
          <w:sz w:val="16"/>
          <w:szCs w:val="16"/>
          <w:u w:val="single" w:color="auto"/>
          <w:color w:val="0E32E1"/>
        </w:rPr>
        <w:t xml:space="preserve"> </w:t>
      </w:r>
      <w:hyperlink r:id="rId46">
        <w:r>
          <w:rPr>
            <w:rFonts w:ascii="Times New Roman" w:cs="Times New Roman" w:eastAsia="Times New Roman" w:hAnsi="Times New Roman"/>
            <w:sz w:val="16"/>
            <w:szCs w:val="16"/>
            <w:u w:val="single" w:color="auto"/>
            <w:color w:val="0E32E1"/>
          </w:rPr>
          <w:t>Exhibit 10.1 to the Registrant’s Current Report on Form 8-K filed on May 13, 2025).</w:t>
        </w:r>
      </w:hyperlink>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E32E1"/>
        </w:rPr>
        <w:t>Opinion of Hogan Lovells US LLP.+</w:t>
      </w:r>
    </w:p>
    <w:p>
      <w:pPr>
        <w:spacing w:after="0" w:line="132" w:lineRule="exact"/>
        <w:rPr>
          <w:sz w:val="20"/>
          <w:szCs w:val="20"/>
          <w:color w:val="auto"/>
        </w:rPr>
      </w:pPr>
    </w:p>
    <w:p>
      <w:pPr>
        <w:sectPr>
          <w:pgSz w:w="11900" w:h="16838" w:orient="portrait"/>
          <w:cols w:equalWidth="0" w:num="2">
            <w:col w:w="640" w:space="480"/>
            <w:col w:w="10080"/>
          </w:cols>
          <w:pgMar w:left="320" w:top="779" w:right="379" w:bottom="1440" w:gutter="0" w:footer="0" w:header="0"/>
          <w:type w:val="continuous"/>
        </w:sectPr>
      </w:pPr>
    </w:p>
    <w:tbl>
      <w:tblPr>
        <w:tblLayout w:type="fixed"/>
        <w:tblInd w:w="240" w:type="dxa"/>
        <w:tblCellMar>
          <w:top w:w="0" w:type="dxa"/>
          <w:left w:w="0" w:type="dxa"/>
          <w:bottom w:w="0" w:type="dxa"/>
          <w:right w:w="0" w:type="dxa"/>
        </w:tblCellMar>
      </w:tblPr>
      <w:tr>
        <w:trPr>
          <w:trHeight w:val="184"/>
        </w:trPr>
        <w:tc>
          <w:tcPr>
            <w:tcW w:w="88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w w:val="92"/>
              </w:rPr>
              <w:t>23.1</w:t>
            </w:r>
          </w:p>
        </w:tc>
        <w:tc>
          <w:tcPr>
            <w:tcW w:w="4020" w:type="dxa"/>
            <w:vAlign w:val="bottom"/>
            <w:tcBorders>
              <w:bottom w:val="single" w:sz="8" w:color="0E32E1"/>
            </w:tcBorders>
            <w:gridSpan w:val="2"/>
          </w:tcPr>
          <w:p>
            <w:pPr>
              <w:spacing w:after="0"/>
              <w:rPr>
                <w:sz w:val="20"/>
                <w:szCs w:val="20"/>
                <w:color w:val="auto"/>
              </w:rPr>
            </w:pPr>
            <w:r>
              <w:rPr>
                <w:rFonts w:ascii="Times New Roman" w:cs="Times New Roman" w:eastAsia="Times New Roman" w:hAnsi="Times New Roman"/>
                <w:sz w:val="16"/>
                <w:szCs w:val="16"/>
                <w:color w:val="0E32E1"/>
              </w:rPr>
              <w:t>Consent of Independent Registered Public Accounting Firm.+</w:t>
            </w:r>
          </w:p>
        </w:tc>
        <w:tc>
          <w:tcPr>
            <w:tcW w:w="20" w:type="dxa"/>
            <w:vAlign w:val="bottom"/>
          </w:tcPr>
          <w:p>
            <w:pPr>
              <w:spacing w:after="0"/>
              <w:rPr>
                <w:sz w:val="16"/>
                <w:szCs w:val="16"/>
                <w:color w:val="auto"/>
              </w:rPr>
            </w:pPr>
          </w:p>
        </w:tc>
      </w:tr>
      <w:tr>
        <w:trPr>
          <w:trHeight w:val="250"/>
        </w:trPr>
        <w:tc>
          <w:tcPr>
            <w:tcW w:w="88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w w:val="92"/>
              </w:rPr>
              <w:t>23.2</w:t>
            </w:r>
          </w:p>
        </w:tc>
        <w:tc>
          <w:tcPr>
            <w:tcW w:w="4040" w:type="dxa"/>
            <w:vAlign w:val="bottom"/>
            <w:tcBorders>
              <w:bottom w:val="single" w:sz="8" w:color="0E32E1"/>
            </w:tcBorders>
            <w:gridSpan w:val="3"/>
          </w:tcPr>
          <w:p>
            <w:pPr>
              <w:spacing w:after="0"/>
              <w:rPr>
                <w:sz w:val="20"/>
                <w:szCs w:val="20"/>
                <w:color w:val="auto"/>
              </w:rPr>
            </w:pPr>
            <w:r>
              <w:rPr>
                <w:rFonts w:ascii="Times New Roman" w:cs="Times New Roman" w:eastAsia="Times New Roman" w:hAnsi="Times New Roman"/>
                <w:sz w:val="16"/>
                <w:szCs w:val="16"/>
                <w:color w:val="0E32E1"/>
              </w:rPr>
              <w:t>Consent of Hogan Lovells US LLP (included in Exhibit 5.1).+</w:t>
            </w:r>
          </w:p>
        </w:tc>
      </w:tr>
      <w:tr>
        <w:trPr>
          <w:trHeight w:val="250"/>
        </w:trPr>
        <w:tc>
          <w:tcPr>
            <w:tcW w:w="88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w w:val="92"/>
              </w:rPr>
              <w:t>24.1</w:t>
            </w:r>
          </w:p>
        </w:tc>
        <w:tc>
          <w:tcPr>
            <w:tcW w:w="4040" w:type="dxa"/>
            <w:vAlign w:val="bottom"/>
            <w:gridSpan w:val="3"/>
          </w:tcPr>
          <w:p>
            <w:pPr>
              <w:spacing w:after="0"/>
              <w:rPr>
                <w:sz w:val="20"/>
                <w:szCs w:val="20"/>
                <w:color w:val="auto"/>
              </w:rPr>
            </w:pPr>
            <w:r>
              <w:rPr>
                <w:rFonts w:ascii="Times New Roman" w:cs="Times New Roman" w:eastAsia="Times New Roman" w:hAnsi="Times New Roman"/>
                <w:sz w:val="16"/>
                <w:szCs w:val="16"/>
                <w:color w:val="0E32E1"/>
              </w:rPr>
              <w:t>Power of Attorney. +</w:t>
            </w:r>
          </w:p>
        </w:tc>
      </w:tr>
      <w:tr>
        <w:trPr>
          <w:trHeight w:val="20"/>
        </w:trPr>
        <w:tc>
          <w:tcPr>
            <w:tcW w:w="880" w:type="dxa"/>
            <w:vAlign w:val="bottom"/>
          </w:tcPr>
          <w:p>
            <w:pPr>
              <w:spacing w:after="0" w:line="20" w:lineRule="exact"/>
              <w:rPr>
                <w:sz w:val="1"/>
                <w:szCs w:val="1"/>
                <w:color w:val="auto"/>
              </w:rPr>
            </w:pPr>
          </w:p>
        </w:tc>
        <w:tc>
          <w:tcPr>
            <w:tcW w:w="1360" w:type="dxa"/>
            <w:vAlign w:val="bottom"/>
            <w:shd w:val="clear" w:color="auto" w:fill="0E32E1"/>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 w:lineRule="exact"/>
        <w:rPr>
          <w:sz w:val="20"/>
          <w:szCs w:val="20"/>
          <w:color w:val="auto"/>
        </w:rPr>
      </w:pPr>
    </w:p>
    <w:p>
      <w:pPr>
        <w:ind w:left="220" w:right="8880" w:firstLine="31"/>
        <w:spacing w:after="0" w:line="333" w:lineRule="auto"/>
        <w:tabs>
          <w:tab w:leader="none" w:pos="1112"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E32E1"/>
        </w:rPr>
        <w:t xml:space="preserve">Filing Fee Table.+ </w:t>
      </w:r>
      <w:r>
        <w:rPr>
          <w:rFonts w:ascii="Times New Roman" w:cs="Times New Roman" w:eastAsia="Times New Roman" w:hAnsi="Times New Roman"/>
          <w:sz w:val="16"/>
          <w:szCs w:val="16"/>
          <w:color w:val="000000"/>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21" w:lineRule="exact"/>
        <w:rPr>
          <w:sz w:val="20"/>
          <w:szCs w:val="20"/>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17" w:lineRule="exact"/>
        <w:rPr>
          <w:rFonts w:ascii="Times New Roman" w:cs="Times New Roman" w:eastAsia="Times New Roman" w:hAnsi="Times New Roman"/>
          <w:sz w:val="18"/>
          <w:szCs w:val="18"/>
          <w:color w:val="auto"/>
        </w:rPr>
      </w:pPr>
    </w:p>
    <w:p>
      <w:pPr>
        <w:ind w:left="980" w:hanging="324"/>
        <w:spacing w:after="0" w:line="255" w:lineRule="auto"/>
        <w:tabs>
          <w:tab w:leader="none" w:pos="1052"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Filing Fee Tables” or “Calculation of Registration Fee” table, as applicable, in the effective registration statement;</w:t>
      </w:r>
    </w:p>
    <w:p>
      <w:pPr>
        <w:spacing w:after="0" w:line="80"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1102"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52" w:lineRule="exact"/>
        <w:rPr>
          <w:sz w:val="20"/>
          <w:szCs w:val="20"/>
          <w:color w:val="auto"/>
        </w:rPr>
      </w:pPr>
    </w:p>
    <w:p>
      <w:pPr>
        <w:jc w:val="both"/>
        <w:ind w:left="340" w:right="320"/>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and (a)(1)(ii) do not apply if the information required to be included in a post-effective amendment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paragraphs is contained in reports filed with or furnished to the Commission by the Registrant pursuant to Section 13 or Section 15(d) of the Exchange Act that are incorporated by reference in this Registration Statement.</w:t>
      </w:r>
    </w:p>
    <w:p>
      <w:pPr>
        <w:spacing w:after="0" w:line="67" w:lineRule="exact"/>
        <w:rPr>
          <w:sz w:val="20"/>
          <w:szCs w:val="20"/>
          <w:color w:val="auto"/>
        </w:rPr>
      </w:pPr>
    </w:p>
    <w:p>
      <w:pPr>
        <w:ind w:left="660" w:hanging="328"/>
        <w:spacing w:after="0" w:line="266" w:lineRule="auto"/>
        <w:tabs>
          <w:tab w:leader="none" w:pos="72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1200"/>
          </w:cols>
          <w:pgMar w:left="320" w:top="779" w:right="379" w:bottom="1440" w:gutter="0" w:footer="0" w:header="0"/>
          <w:type w:val="continuous"/>
        </w:sectPr>
      </w:pPr>
    </w:p>
    <w:bookmarkStart w:id="5" w:name="page6"/>
    <w:bookmarkEnd w:id="5"/>
    <w:p>
      <w:pPr>
        <w:ind w:left="652" w:right="820" w:hanging="328"/>
        <w:spacing w:after="0" w:line="282" w:lineRule="auto"/>
        <w:tabs>
          <w:tab w:leader="none" w:pos="71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8"/>
          <w:szCs w:val="18"/>
          <w:color w:val="auto"/>
        </w:rPr>
      </w:pPr>
    </w:p>
    <w:p>
      <w:pPr>
        <w:ind w:left="-8" w:firstLine="8"/>
        <w:spacing w:after="0" w:line="281" w:lineRule="auto"/>
        <w:tabs>
          <w:tab w:leader="none" w:pos="38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w:t>
      </w:r>
    </w:p>
    <w:p>
      <w:pPr>
        <w:spacing w:after="0" w:line="56" w:lineRule="exact"/>
        <w:rPr>
          <w:rFonts w:ascii="Times New Roman" w:cs="Times New Roman" w:eastAsia="Times New Roman" w:hAnsi="Times New Roman"/>
          <w:sz w:val="17"/>
          <w:szCs w:val="17"/>
          <w:color w:val="auto"/>
        </w:rPr>
      </w:pPr>
    </w:p>
    <w:p>
      <w:pPr>
        <w:ind w:left="-8" w:right="140" w:firstLine="8"/>
        <w:spacing w:after="0" w:line="254" w:lineRule="auto"/>
        <w:tabs>
          <w:tab w:leader="none" w:pos="37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212"/>
          </w:cols>
          <w:pgMar w:left="328" w:top="877"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right="740" w:firstLine="648"/>
        <w:spacing w:after="0" w:line="305"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Princeton, state of New Jersey, on this 31st day of July, 2025.</w:t>
      </w:r>
    </w:p>
    <w:p>
      <w:pPr>
        <w:spacing w:after="0" w:line="3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 Mojdeh Poul</w:t>
            </w:r>
          </w:p>
        </w:tc>
      </w:tr>
      <w:tr>
        <w:trPr>
          <w:trHeight w:val="218"/>
        </w:trPr>
        <w:tc>
          <w:tcPr>
            <w:tcW w:w="100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Mojdeh Poul</w:t>
            </w:r>
          </w:p>
        </w:tc>
      </w:tr>
      <w:tr>
        <w:trPr>
          <w:trHeight w:val="234"/>
        </w:trPr>
        <w:tc>
          <w:tcPr>
            <w:tcW w:w="1000" w:type="dxa"/>
            <w:vAlign w:val="bottom"/>
          </w:tcPr>
          <w:p>
            <w:pPr>
              <w:spacing w:after="0"/>
              <w:rPr>
                <w:sz w:val="20"/>
                <w:szCs w:val="20"/>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r>
    </w:tbl>
    <w:p>
      <w:pPr>
        <w:spacing w:after="0" w:line="265" w:lineRule="exact"/>
        <w:rPr>
          <w:sz w:val="20"/>
          <w:szCs w:val="20"/>
          <w:color w:val="auto"/>
        </w:rPr>
      </w:pPr>
    </w:p>
    <w:p>
      <w:pPr>
        <w:ind w:right="180" w:firstLine="648"/>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on July 31, 2025.</w:t>
      </w:r>
    </w:p>
    <w:p>
      <w:pPr>
        <w:sectPr>
          <w:pgSz w:w="11900" w:h="16838" w:orient="portrait"/>
          <w:cols w:equalWidth="0" w:num="1">
            <w:col w:w="11240"/>
          </w:cols>
          <w:pgMar w:left="320" w:top="779" w:right="339" w:bottom="919" w:gutter="0" w:footer="0" w:header="0"/>
        </w:sectPr>
      </w:pPr>
    </w:p>
    <w:p>
      <w:pPr>
        <w:spacing w:after="0" w:line="37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49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8">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3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/s/ Mojdeh Poul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3549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9">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5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Mojdeh Poul</w:t>
      </w:r>
    </w:p>
    <w:p>
      <w:pPr>
        <w:spacing w:after="0" w:line="38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/s/ Lea 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3549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0">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3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Lea Knight</w:t>
      </w:r>
    </w:p>
    <w:p>
      <w:pPr>
        <w:spacing w:after="0" w:line="34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7"/>
          <w:szCs w:val="17"/>
          <w:color w:val="auto"/>
        </w:rPr>
        <w:t>/s/ Jeffrey A. Mosebrook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3549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1">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Jeffrey A. Mosebrook</w:t>
      </w:r>
    </w:p>
    <w:p>
      <w:pPr>
        <w:spacing w:after="0" w:line="22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3549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2">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5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Stuart Essig, Ph.D.</w:t>
      </w:r>
    </w:p>
    <w:p>
      <w:pPr>
        <w:spacing w:after="0" w:line="21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35490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3">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5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Keith Bradley, Ph.D.</w:t>
      </w:r>
    </w:p>
    <w:p>
      <w:pPr>
        <w:spacing w:after="0" w:line="22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3549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4">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5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Shaundra Clay</w:t>
      </w:r>
    </w:p>
    <w:p>
      <w:pPr>
        <w:spacing w:after="0" w:line="22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3549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5">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5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Jeffrey A. Graves, Ph.D.</w:t>
      </w:r>
    </w:p>
    <w:p>
      <w:pPr>
        <w:spacing w:after="0" w:line="21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35490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6">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5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Barbara B. Hill</w:t>
      </w:r>
    </w:p>
    <w:p>
      <w:pPr>
        <w:spacing w:after="0" w:line="22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35490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7">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5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Renee W. Lo</w:t>
      </w:r>
    </w:p>
    <w:p>
      <w:pPr>
        <w:spacing w:after="0" w:line="26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35490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8">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5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Christian S. Schade</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-897890</wp:posOffset>
            </wp:positionH>
            <wp:positionV relativeFrom="paragraph">
              <wp:posOffset>17145</wp:posOffset>
            </wp:positionV>
            <wp:extent cx="34886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Director, President and</w:t>
      </w:r>
    </w:p>
    <w:p>
      <w:pPr>
        <w:spacing w:after="0" w:line="50"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6"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36"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25"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17"/>
          <w:szCs w:val="17"/>
          <w:color w:val="auto"/>
        </w:rPr>
        <w:t>Senior Vice President and Controller</w:t>
      </w:r>
    </w:p>
    <w:p>
      <w:pPr>
        <w:spacing w:after="0" w:line="61"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3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00" w:lineRule="exact"/>
        <w:rPr>
          <w:sz w:val="20"/>
          <w:szCs w:val="20"/>
          <w:color w:val="auto"/>
        </w:rPr>
      </w:pPr>
    </w:p>
    <w:p>
      <w:pPr>
        <w:spacing w:after="0" w:line="39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9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462915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8" w:lineRule="exact"/>
        <w:rPr>
          <w:sz w:val="20"/>
          <w:szCs w:val="20"/>
          <w:color w:val="auto"/>
        </w:rPr>
      </w:pPr>
    </w:p>
    <w:p>
      <w:pPr>
        <w:sectPr>
          <w:pgSz w:w="11900" w:h="16838" w:orient="portrait"/>
          <w:cols w:equalWidth="0" w:num="2">
            <w:col w:w="6440" w:space="720"/>
            <w:col w:w="4080"/>
          </w:cols>
          <w:pgMar w:left="320" w:top="779" w:right="339" w:bottom="91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80" w:right="160" w:hanging="254"/>
        <w:spacing w:after="0" w:line="237" w:lineRule="auto"/>
        <w:tabs>
          <w:tab w:leader="none" w:pos="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Registration Statement has been signed on behalf of the above directors by Mojdeh Poul, as attorney-in-fact pursuant to a power of attorney filed as Exhibit 24.1 to this Registration Statement.</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DATED: July 31, 2025</w:t>
            </w:r>
          </w:p>
        </w:tc>
        <w:tc>
          <w:tcPr>
            <w:tcW w:w="25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 Mojdeh Poul</w:t>
            </w:r>
          </w:p>
        </w:tc>
        <w:tc>
          <w:tcPr>
            <w:tcW w:w="0" w:type="dxa"/>
            <w:vAlign w:val="bottom"/>
          </w:tcPr>
          <w:p>
            <w:pPr>
              <w:spacing w:after="0"/>
              <w:rPr>
                <w:sz w:val="1"/>
                <w:szCs w:val="1"/>
                <w:color w:val="auto"/>
              </w:rPr>
            </w:pPr>
          </w:p>
        </w:tc>
      </w:tr>
      <w:tr>
        <w:trPr>
          <w:trHeight w:val="68"/>
        </w:trPr>
        <w:tc>
          <w:tcPr>
            <w:tcW w:w="35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5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5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5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Mojdeh Poul, Attorney-in-Fact</w:t>
            </w:r>
          </w:p>
        </w:tc>
        <w:tc>
          <w:tcPr>
            <w:tcW w:w="0" w:type="dxa"/>
            <w:vAlign w:val="bottom"/>
          </w:tcPr>
          <w:p>
            <w:pPr>
              <w:spacing w:after="0"/>
              <w:rPr>
                <w:sz w:val="1"/>
                <w:szCs w:val="1"/>
                <w:color w:val="auto"/>
              </w:rPr>
            </w:pPr>
          </w:p>
        </w:tc>
      </w:tr>
    </w:tbl>
    <w:p>
      <w:pPr>
        <w:sectPr>
          <w:pgSz w:w="11900" w:h="16838" w:orient="portrait"/>
          <w:cols w:equalWidth="0" w:num="1">
            <w:col w:w="11240"/>
          </w:cols>
          <w:pgMar w:left="320" w:top="779" w:right="339" w:bottom="919" w:gutter="0" w:footer="0" w:header="0"/>
          <w:type w:val="continuous"/>
        </w:sectPr>
      </w:pPr>
    </w:p>
    <w:bookmarkStart w:id="7" w:name="page8"/>
    <w:bookmarkEnd w:id="7"/>
    <w:p>
      <w:pPr>
        <w:spacing w:after="0" w:line="3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971550</wp:posOffset>
            </wp:positionV>
            <wp:extent cx="814070" cy="814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814070" cy="814705"/>
                    </a:xfrm>
                    <a:prstGeom prst="rect">
                      <a:avLst/>
                    </a:prstGeom>
                    <a:noFill/>
                  </pic:spPr>
                </pic:pic>
              </a:graphicData>
            </a:graphic>
          </wp:anchor>
        </w:drawing>
      </w:r>
    </w:p>
    <w:p>
      <w:pPr>
        <w:ind w:left="6500"/>
        <w:spacing w:after="0"/>
        <w:rPr>
          <w:sz w:val="20"/>
          <w:szCs w:val="20"/>
          <w:color w:val="auto"/>
        </w:rPr>
      </w:pPr>
      <w:r>
        <w:rPr>
          <w:rFonts w:ascii="Arial" w:cs="Arial" w:eastAsia="Arial" w:hAnsi="Arial"/>
          <w:sz w:val="14"/>
          <w:szCs w:val="14"/>
          <w:color w:val="auto"/>
        </w:rPr>
        <w:t>Hogan Lovells US LLP</w:t>
      </w:r>
    </w:p>
    <w:p>
      <w:pPr>
        <w:ind w:left="6500"/>
        <w:spacing w:after="0" w:line="220" w:lineRule="auto"/>
        <w:rPr>
          <w:sz w:val="20"/>
          <w:szCs w:val="20"/>
          <w:color w:val="auto"/>
        </w:rPr>
      </w:pPr>
      <w:r>
        <w:rPr>
          <w:rFonts w:ascii="Arial" w:cs="Arial" w:eastAsia="Arial" w:hAnsi="Arial"/>
          <w:sz w:val="14"/>
          <w:szCs w:val="14"/>
          <w:color w:val="auto"/>
        </w:rPr>
        <w:t>1735 Market Street, 23</w:t>
      </w:r>
      <w:r>
        <w:rPr>
          <w:rFonts w:ascii="Arial" w:cs="Arial" w:eastAsia="Arial" w:hAnsi="Arial"/>
          <w:sz w:val="18"/>
          <w:szCs w:val="18"/>
          <w:color w:val="auto"/>
          <w:vertAlign w:val="superscript"/>
        </w:rPr>
        <w:t>rd</w:t>
      </w:r>
      <w:r>
        <w:rPr>
          <w:rFonts w:ascii="Arial" w:cs="Arial" w:eastAsia="Arial" w:hAnsi="Arial"/>
          <w:sz w:val="14"/>
          <w:szCs w:val="14"/>
          <w:color w:val="auto"/>
        </w:rPr>
        <w:t xml:space="preserve"> Floor</w:t>
      </w:r>
    </w:p>
    <w:p>
      <w:pPr>
        <w:spacing w:after="0" w:line="1" w:lineRule="exact"/>
        <w:rPr>
          <w:sz w:val="20"/>
          <w:szCs w:val="20"/>
          <w:color w:val="auto"/>
        </w:rPr>
      </w:pPr>
    </w:p>
    <w:p>
      <w:pPr>
        <w:ind w:left="6500"/>
        <w:spacing w:after="0"/>
        <w:rPr>
          <w:sz w:val="20"/>
          <w:szCs w:val="20"/>
          <w:color w:val="auto"/>
        </w:rPr>
      </w:pPr>
      <w:r>
        <w:rPr>
          <w:rFonts w:ascii="Arial" w:cs="Arial" w:eastAsia="Arial" w:hAnsi="Arial"/>
          <w:sz w:val="14"/>
          <w:szCs w:val="14"/>
          <w:color w:val="auto"/>
        </w:rPr>
        <w:t>Philadelphia, PA 19103</w:t>
      </w:r>
    </w:p>
    <w:p>
      <w:pPr>
        <w:spacing w:after="0" w:line="15" w:lineRule="exact"/>
        <w:rPr>
          <w:sz w:val="20"/>
          <w:szCs w:val="20"/>
          <w:color w:val="auto"/>
        </w:rPr>
      </w:pPr>
    </w:p>
    <w:p>
      <w:pPr>
        <w:ind w:left="6500"/>
        <w:spacing w:after="0"/>
        <w:rPr>
          <w:sz w:val="20"/>
          <w:szCs w:val="20"/>
          <w:color w:val="auto"/>
        </w:rPr>
      </w:pPr>
      <w:r>
        <w:rPr>
          <w:rFonts w:ascii="Arial" w:cs="Arial" w:eastAsia="Arial" w:hAnsi="Arial"/>
          <w:sz w:val="14"/>
          <w:szCs w:val="14"/>
          <w:color w:val="auto"/>
        </w:rPr>
        <w:t>T +1 267 675 4600</w:t>
      </w:r>
    </w:p>
    <w:p>
      <w:pPr>
        <w:spacing w:after="0" w:line="15" w:lineRule="exact"/>
        <w:rPr>
          <w:sz w:val="20"/>
          <w:szCs w:val="20"/>
          <w:color w:val="auto"/>
        </w:rPr>
      </w:pPr>
    </w:p>
    <w:p>
      <w:pPr>
        <w:ind w:left="6500"/>
        <w:spacing w:after="0"/>
        <w:rPr>
          <w:sz w:val="20"/>
          <w:szCs w:val="20"/>
          <w:color w:val="auto"/>
        </w:rPr>
      </w:pPr>
      <w:r>
        <w:rPr>
          <w:rFonts w:ascii="Arial" w:cs="Arial" w:eastAsia="Arial" w:hAnsi="Arial"/>
          <w:sz w:val="14"/>
          <w:szCs w:val="14"/>
          <w:color w:val="auto"/>
        </w:rPr>
        <w:t>F +1 267 675 4601</w:t>
      </w:r>
    </w:p>
    <w:p>
      <w:pPr>
        <w:spacing w:after="0" w:line="15" w:lineRule="exact"/>
        <w:rPr>
          <w:sz w:val="20"/>
          <w:szCs w:val="20"/>
          <w:color w:val="auto"/>
        </w:rPr>
      </w:pPr>
    </w:p>
    <w:p>
      <w:pPr>
        <w:ind w:left="6500"/>
        <w:spacing w:after="0"/>
        <w:rPr>
          <w:sz w:val="20"/>
          <w:szCs w:val="20"/>
          <w:color w:val="auto"/>
        </w:rPr>
      </w:pPr>
      <w:r>
        <w:rPr>
          <w:rFonts w:ascii="Arial" w:cs="Arial" w:eastAsia="Arial" w:hAnsi="Arial"/>
          <w:sz w:val="14"/>
          <w:szCs w:val="14"/>
          <w:color w:val="auto"/>
        </w:rPr>
        <w:t>www.hoganlovells.com</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July 31, 2025</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color w:val="auto"/>
        </w:rPr>
        <w:t>Board of Directors</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Integra LifeSciences Holdings Corporation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1100 Campus Road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Princeton, New Jersey 08540</w:t>
      </w: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color w:val="auto"/>
        </w:rPr>
        <w:t>To the addressee referred to above:</w:t>
      </w:r>
    </w:p>
    <w:p>
      <w:pPr>
        <w:spacing w:after="0" w:line="268"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We are acting as counsel to Integra LifeSciences Holdings Corporation,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in connection with its registration statement on Form S-8 (the “</w:t>
      </w:r>
      <w:r>
        <w:rPr>
          <w:rFonts w:ascii="Arial" w:cs="Arial" w:eastAsia="Arial" w:hAnsi="Arial"/>
          <w:sz w:val="19"/>
          <w:szCs w:val="19"/>
          <w:b w:val="1"/>
          <w:bCs w:val="1"/>
          <w:color w:val="auto"/>
        </w:rPr>
        <w:t>Registration Statement</w:t>
      </w:r>
      <w:r>
        <w:rPr>
          <w:rFonts w:ascii="Arial" w:cs="Arial" w:eastAsia="Arial" w:hAnsi="Arial"/>
          <w:sz w:val="19"/>
          <w:szCs w:val="19"/>
          <w:color w:val="auto"/>
        </w:rPr>
        <w:t>”), filed with the Securities and Exchange Commission under the Securities Act of 1933, as amended (the “</w:t>
      </w:r>
      <w:r>
        <w:rPr>
          <w:rFonts w:ascii="Arial" w:cs="Arial" w:eastAsia="Arial" w:hAnsi="Arial"/>
          <w:sz w:val="19"/>
          <w:szCs w:val="19"/>
          <w:b w:val="1"/>
          <w:bCs w:val="1"/>
          <w:color w:val="auto"/>
        </w:rPr>
        <w:t>Act</w:t>
      </w:r>
      <w:r>
        <w:rPr>
          <w:rFonts w:ascii="Arial" w:cs="Arial" w:eastAsia="Arial" w:hAnsi="Arial"/>
          <w:sz w:val="19"/>
          <w:szCs w:val="19"/>
          <w:color w:val="auto"/>
        </w:rPr>
        <w:t>”), relating to the proposed offering of up to 2,200,000 shares (the “</w:t>
      </w:r>
      <w:r>
        <w:rPr>
          <w:rFonts w:ascii="Arial" w:cs="Arial" w:eastAsia="Arial" w:hAnsi="Arial"/>
          <w:sz w:val="19"/>
          <w:szCs w:val="19"/>
          <w:b w:val="1"/>
          <w:bCs w:val="1"/>
          <w:color w:val="auto"/>
        </w:rPr>
        <w:t>Shares</w:t>
      </w:r>
      <w:r>
        <w:rPr>
          <w:rFonts w:ascii="Arial" w:cs="Arial" w:eastAsia="Arial" w:hAnsi="Arial"/>
          <w:sz w:val="19"/>
          <w:szCs w:val="19"/>
          <w:color w:val="auto"/>
        </w:rPr>
        <w:t>”) of common stock, par value $0.01 per share, of the Company issuable pursuant to the Integra LifeSciences Holdings Corporation Fifth Amended and Restated 2003 Equity Incentive Plan, as amended (the “</w:t>
      </w:r>
      <w:r>
        <w:rPr>
          <w:rFonts w:ascii="Arial" w:cs="Arial" w:eastAsia="Arial" w:hAnsi="Arial"/>
          <w:sz w:val="19"/>
          <w:szCs w:val="19"/>
          <w:b w:val="1"/>
          <w:bCs w:val="1"/>
          <w:color w:val="auto"/>
        </w:rPr>
        <w:t>Incentive Plan</w:t>
      </w:r>
      <w:r>
        <w:rPr>
          <w:rFonts w:ascii="Arial" w:cs="Arial" w:eastAsia="Arial" w:hAnsi="Arial"/>
          <w:sz w:val="19"/>
          <w:szCs w:val="19"/>
          <w:color w:val="auto"/>
        </w:rPr>
        <w:t>”). This opinion letter is furnished to you at your request to enable you to fulfill the requirements of Item 601(b)(5) of Regulation S-K, 17 C.F.R. § 229.601(b)(5), in connection with the Registration Statement.</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For purposes of this opinion letter, we have examined copies of such agreements, instruments and documents as we have deemed an appropriate basis on which to render the opinions hereinafter expressed. In our examination of the aforesaid documents, we have assumed the genuineness of all signatures, the legal capacity of all natural persons, the accuracy and completeness of all documents submitted to us, the authenticity of all original documents, and the conformity to authentic original documents of all documents submitted to us as copies (including pdfs). As to all matters of fact, we have relied on the representations and statements of fact made in the documents so reviewed, and we have not independently established the facts so relied on. This opinion letter is given, and all statements herein are made, in the context of the foregoing.</w:t>
      </w:r>
    </w:p>
    <w:p>
      <w:pPr>
        <w:spacing w:after="0" w:line="184"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This opinion letter is based as to matters of law solely on the Delaware General Corporation Law, as amended. We express no opinion herein as to any other statutes, rules or regulations.</w:t>
      </w:r>
    </w:p>
    <w:p>
      <w:pPr>
        <w:spacing w:after="0" w:line="170"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Based upon, subject to and limited by the foregoing, we are of the opinion that following (i) effectiveness of the Registration Statement, (ii) issuance of the Shares pursuant to the terms of the Incentive Plan, and (iii) receipt by the Company of the consideration for the Shares specified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1"/>
          <w:szCs w:val="11"/>
          <w:color w:val="auto"/>
        </w:rPr>
        <w:t>Hogan Lovells US LLP is a limited liability partnership registered in the state of Delaware. “Hogan Lovells” is an international legal practice that includes Hogan Lovells US LLP and Hogan Lovells International LLP, with offices in:</w:t>
      </w:r>
    </w:p>
    <w:p>
      <w:pPr>
        <w:spacing w:after="0" w:line="15" w:lineRule="exact"/>
        <w:rPr>
          <w:sz w:val="20"/>
          <w:szCs w:val="20"/>
          <w:color w:val="auto"/>
        </w:rPr>
      </w:pPr>
    </w:p>
    <w:p>
      <w:pPr>
        <w:spacing w:after="0"/>
        <w:rPr>
          <w:sz w:val="20"/>
          <w:szCs w:val="20"/>
          <w:color w:val="auto"/>
        </w:rPr>
      </w:pPr>
      <w:r>
        <w:rPr>
          <w:rFonts w:ascii="Arial" w:cs="Arial" w:eastAsia="Arial" w:hAnsi="Arial"/>
          <w:sz w:val="10"/>
          <w:szCs w:val="10"/>
          <w:color w:val="auto"/>
        </w:rPr>
        <w:t>Alicante Amsterdam Baltimore Beijing Berlin Birmingham Boston Brussels Colorado Springs Denver Dubai Dublin Dusseldorf Frankfurt Hamburg Hanoi Ho Chi Minh City Hong Kong Houston London Los Angeles Luxembourg Madrid</w:t>
      </w:r>
    </w:p>
    <w:p>
      <w:pPr>
        <w:spacing w:after="0" w:line="20" w:lineRule="exact"/>
        <w:rPr>
          <w:sz w:val="20"/>
          <w:szCs w:val="20"/>
          <w:color w:val="auto"/>
        </w:rPr>
      </w:pPr>
    </w:p>
    <w:p>
      <w:pPr>
        <w:ind w:right="320"/>
        <w:spacing w:after="0" w:line="246" w:lineRule="auto"/>
        <w:rPr>
          <w:sz w:val="20"/>
          <w:szCs w:val="20"/>
          <w:color w:val="auto"/>
        </w:rPr>
      </w:pPr>
      <w:r>
        <w:rPr>
          <w:rFonts w:ascii="Arial" w:cs="Arial" w:eastAsia="Arial" w:hAnsi="Arial"/>
          <w:sz w:val="11"/>
          <w:szCs w:val="11"/>
          <w:color w:val="auto"/>
        </w:rPr>
        <w:t>Mexico City Miami Milan Minneapolis Monterrey Munich New York Northern Virginia Paris Philadelphia Riyadh Rome San Francisco São Paulo Shanghai Silicon Valley Singapore Tokyo Washington, D.C. For more information see www.hoganlovells.com.</w:t>
      </w:r>
    </w:p>
    <w:p>
      <w:pPr>
        <w:sectPr>
          <w:pgSz w:w="11900" w:h="16838" w:orient="portrait"/>
          <w:cols w:equalWidth="0" w:num="1">
            <w:col w:w="11240"/>
          </w:cols>
          <w:pgMar w:left="320" w:top="1440" w:right="339" w:bottom="1440" w:gutter="0" w:footer="0" w:header="0"/>
        </w:sectPr>
      </w:pPr>
    </w:p>
    <w:bookmarkStart w:id="8" w:name="page9"/>
    <w:bookmarkEnd w:id="8"/>
    <w:p>
      <w:pPr>
        <w:ind w:left="80"/>
        <w:spacing w:after="0"/>
        <w:tabs>
          <w:tab w:leader="none" w:pos="5420" w:val="left"/>
          <w:tab w:leader="none" w:pos="10020" w:val="left"/>
        </w:tabs>
        <w:rPr>
          <w:sz w:val="20"/>
          <w:szCs w:val="20"/>
          <w:color w:val="auto"/>
        </w:rPr>
      </w:pPr>
      <w:r>
        <w:rPr>
          <w:rFonts w:ascii="Arial" w:cs="Arial" w:eastAsia="Arial" w:hAnsi="Arial"/>
          <w:sz w:val="19"/>
          <w:szCs w:val="19"/>
          <w:color w:val="auto"/>
        </w:rPr>
        <w:t>Integra LifeSciences Holdings Corporation</w:t>
      </w:r>
      <w:r>
        <w:rPr>
          <w:sz w:val="20"/>
          <w:szCs w:val="20"/>
          <w:color w:val="auto"/>
        </w:rPr>
        <w:tab/>
      </w:r>
      <w:r>
        <w:rPr>
          <w:rFonts w:ascii="Arial" w:cs="Arial" w:eastAsia="Arial" w:hAnsi="Arial"/>
          <w:sz w:val="19"/>
          <w:szCs w:val="19"/>
          <w:color w:val="auto"/>
        </w:rPr>
        <w:t>- 2 -</w:t>
      </w:r>
      <w:r>
        <w:rPr>
          <w:sz w:val="20"/>
          <w:szCs w:val="20"/>
          <w:color w:val="auto"/>
        </w:rPr>
        <w:tab/>
      </w:r>
      <w:r>
        <w:rPr>
          <w:rFonts w:ascii="Arial" w:cs="Arial" w:eastAsia="Arial" w:hAnsi="Arial"/>
          <w:sz w:val="19"/>
          <w:szCs w:val="19"/>
          <w:color w:val="auto"/>
        </w:rPr>
        <w:t>July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300" w:lineRule="auto"/>
        <w:rPr>
          <w:sz w:val="20"/>
          <w:szCs w:val="20"/>
          <w:color w:val="auto"/>
        </w:rPr>
      </w:pPr>
      <w:r>
        <w:rPr>
          <w:rFonts w:ascii="Arial" w:cs="Arial" w:eastAsia="Arial" w:hAnsi="Arial"/>
          <w:sz w:val="19"/>
          <w:szCs w:val="19"/>
          <w:color w:val="auto"/>
        </w:rPr>
        <w:t>resolutions of the Board of Directors (or a duly authorized committee thereof) and in the Incentive Plan, the Shares will be validly issued, fully paid, and nonassessable.</w:t>
      </w:r>
    </w:p>
    <w:p>
      <w:pPr>
        <w:spacing w:after="0" w:line="156" w:lineRule="exact"/>
        <w:rPr>
          <w:sz w:val="20"/>
          <w:szCs w:val="20"/>
          <w:color w:val="auto"/>
        </w:rPr>
      </w:pPr>
    </w:p>
    <w:p>
      <w:pPr>
        <w:ind w:right="20"/>
        <w:spacing w:after="0" w:line="300" w:lineRule="auto"/>
        <w:rPr>
          <w:sz w:val="20"/>
          <w:szCs w:val="20"/>
          <w:color w:val="auto"/>
        </w:rPr>
      </w:pPr>
      <w:r>
        <w:rPr>
          <w:rFonts w:ascii="Arial" w:cs="Arial" w:eastAsia="Arial" w:hAnsi="Arial"/>
          <w:sz w:val="19"/>
          <w:szCs w:val="19"/>
          <w:color w:val="auto"/>
        </w:rPr>
        <w:t>This opinion letter has been prepared for use in connection with the Registration Statement. We assume no obligation to advise of any changes in the foregoing subsequent to the effective date of the Registration Statement.</w:t>
      </w:r>
    </w:p>
    <w:p>
      <w:pPr>
        <w:spacing w:after="0" w:line="142" w:lineRule="exact"/>
        <w:rPr>
          <w:sz w:val="20"/>
          <w:szCs w:val="20"/>
          <w:color w:val="auto"/>
        </w:rPr>
      </w:pPr>
    </w:p>
    <w:p>
      <w:pPr>
        <w:ind w:right="460"/>
        <w:spacing w:after="0" w:line="300" w:lineRule="auto"/>
        <w:rPr>
          <w:sz w:val="20"/>
          <w:szCs w:val="20"/>
          <w:color w:val="auto"/>
        </w:rPr>
      </w:pPr>
      <w:r>
        <w:rPr>
          <w:rFonts w:ascii="Arial" w:cs="Arial" w:eastAsia="Arial" w:hAnsi="Arial"/>
          <w:sz w:val="19"/>
          <w:szCs w:val="19"/>
          <w:color w:val="auto"/>
        </w:rPr>
        <w:t>We hereby consent to the filing of this opinion letter as Exhibit 5.1 to the Registration Statement. In giving this consent, we do not thereby admit that we are an “expert” within the meaning of the Act.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Very truly yours,</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color w:val="auto"/>
        </w:rPr>
        <w:t>/s/ HOGAN LOVELLS US LLP</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color w:val="auto"/>
        </w:rPr>
        <w:t>HOGAN LOVELLS US LLP</w:t>
      </w:r>
    </w:p>
    <w:p>
      <w:pPr>
        <w:sectPr>
          <w:pgSz w:w="11900" w:h="16838" w:orient="portrait"/>
          <w:cols w:equalWidth="0" w:num="1">
            <w:col w:w="11240"/>
          </w:cols>
          <w:pgMar w:left="320" w:top="180" w:right="339" w:bottom="1440" w:gutter="0" w:footer="0" w:header="0"/>
        </w:sectPr>
      </w:pPr>
    </w:p>
    <w:bookmarkStart w:id="9" w:name="page10"/>
    <w:bookmarkEnd w:id="9"/>
    <w:p>
      <w:pPr>
        <w:jc w:val="right"/>
        <w:spacing w:after="0"/>
        <w:rPr>
          <w:sz w:val="20"/>
          <w:szCs w:val="20"/>
          <w:color w:val="auto"/>
        </w:rPr>
      </w:pPr>
      <w:r>
        <w:rPr>
          <w:rFonts w:ascii="Georgia" w:cs="Georgia" w:eastAsia="Georgia" w:hAnsi="Georgia"/>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20"/>
        <w:spacing w:after="0" w:line="252" w:lineRule="auto"/>
        <w:rPr>
          <w:sz w:val="20"/>
          <w:szCs w:val="20"/>
          <w:color w:val="auto"/>
        </w:rPr>
      </w:pPr>
      <w:r>
        <w:rPr>
          <w:rFonts w:ascii="Georgia" w:cs="Georgia" w:eastAsia="Georgia" w:hAnsi="Georgia"/>
          <w:sz w:val="18"/>
          <w:szCs w:val="18"/>
          <w:color w:val="auto"/>
        </w:rPr>
        <w:t>We hereby consent to the incorporation by reference in this Registration Statement on Form S-8 of Integra LifeSciences Holdings Corporation of our report dated February 25, 2025 relating to the financial statements and the effectiveness of internal control over financial reporting, which appears in Integra LifeSciences Holdings Corporation's Annual Report on Form 10-K for the year ended December 31, 2024.</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Florham Park, New Jersey</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July 31, 2025</w:t>
      </w:r>
    </w:p>
    <w:p>
      <w:pPr>
        <w:sectPr>
          <w:pgSz w:w="11900" w:h="16838" w:orient="portrait"/>
          <w:cols w:equalWidth="0" w:num="1">
            <w:col w:w="11240"/>
          </w:cols>
          <w:pgMar w:left="320" w:top="140"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Mojdeh Poul, Lea Knight, and Lesha Shinn, or any one of them, as his or her true and lawful attorneys-in-fact and agents, with full power of substitution and resubstitution, for him or her and in his or her name, place and stead, in any and all capacities, to file and sign any and all amendments, including post-effective amendments and any registration statement for the same offering that is to be effective under Rule 462(b) of the Securities Act, to this registration statement, with the Securities and Exchange Commission, granting unto said attorneys-in-fact and agents, full power and authority to do and perform each and every act and thing requisite and necessary to be done in connection therewith as fully to all intents and purposes as 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spacing w:after="0" w:line="192"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below by the following persons on behalf of the registrant in the capacities and on the dates indicated.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345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2">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13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/s/ Mojdeh Poul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4345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3">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3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Mojdeh Poul</w:t>
      </w:r>
    </w:p>
    <w:p>
      <w:pPr>
        <w:spacing w:after="0" w:line="200" w:lineRule="exact"/>
        <w:rPr>
          <w:sz w:val="20"/>
          <w:szCs w:val="20"/>
          <w:color w:val="auto"/>
        </w:rPr>
      </w:pPr>
    </w:p>
    <w:p>
      <w:pPr>
        <w:spacing w:after="0" w:line="21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/s/ Lea 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24345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4">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2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Lea Knight</w:t>
      </w:r>
    </w:p>
    <w:p>
      <w:pPr>
        <w:spacing w:after="0" w:line="36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/s/ Jeffrey A. Mosebrook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4345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5">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13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Jeffrey A. Mosebrook</w:t>
      </w:r>
    </w:p>
    <w:p>
      <w:pPr>
        <w:spacing w:after="0" w:line="23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/s/ Stuart Essig,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4345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6">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13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Stuart Essig, Ph.D.</w:t>
      </w:r>
    </w:p>
    <w:p>
      <w:pPr>
        <w:spacing w:after="0" w:line="22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/s/ Keith Bradley,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4345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7">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3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Keith Bradley, Ph.D.</w:t>
      </w:r>
    </w:p>
    <w:p>
      <w:pPr>
        <w:spacing w:after="0" w:line="23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/s/ Shaundra Clay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4345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8">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3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Shaundra Clay</w:t>
      </w:r>
    </w:p>
    <w:p>
      <w:pPr>
        <w:spacing w:after="0" w:line="23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7"/>
          <w:szCs w:val="17"/>
          <w:color w:val="auto"/>
        </w:rPr>
        <w:t>/s/ Jeffrey A. Graves,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24345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9">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14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Jeffrey A. Graves, Ph.D.</w:t>
      </w:r>
    </w:p>
    <w:p>
      <w:pPr>
        <w:spacing w:after="0" w:line="22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/s/ Barbara B.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4345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3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Barbara B. Hill</w:t>
      </w:r>
    </w:p>
    <w:p>
      <w:pPr>
        <w:spacing w:after="0" w:line="23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/s/ Renee W. 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4345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1">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13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Renee W. Lo</w:t>
      </w:r>
    </w:p>
    <w:p>
      <w:pPr>
        <w:spacing w:after="0" w:line="27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/s/ Christian S. Schade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4345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2">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13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Christian S. Schade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TITLE</w:t>
            </w:r>
          </w:p>
        </w:tc>
        <w:tc>
          <w:tcPr>
            <w:tcW w:w="320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5"/>
              </w:rPr>
              <w:t>DATE</w:t>
            </w:r>
          </w:p>
        </w:tc>
      </w:tr>
      <w:tr>
        <w:trPr>
          <w:trHeight w:val="345"/>
        </w:trPr>
        <w:tc>
          <w:tcPr>
            <w:tcW w:w="41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Director, President and</w:t>
            </w:r>
          </w:p>
        </w:tc>
        <w:tc>
          <w:tcPr>
            <w:tcW w:w="32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July 17, 2025</w:t>
            </w:r>
          </w:p>
        </w:tc>
      </w:tr>
      <w:tr>
        <w:trPr>
          <w:trHeight w:val="243"/>
        </w:trPr>
        <w:tc>
          <w:tcPr>
            <w:tcW w:w="41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3200" w:type="dxa"/>
            <w:vAlign w:val="bottom"/>
          </w:tcPr>
          <w:p>
            <w:pPr>
              <w:spacing w:after="0"/>
              <w:rPr>
                <w:sz w:val="21"/>
                <w:szCs w:val="21"/>
                <w:color w:val="auto"/>
              </w:rPr>
            </w:pPr>
          </w:p>
        </w:tc>
      </w:tr>
      <w:tr>
        <w:trPr>
          <w:trHeight w:val="257"/>
        </w:trPr>
        <w:tc>
          <w:tcPr>
            <w:tcW w:w="41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3200" w:type="dxa"/>
            <w:vAlign w:val="bottom"/>
          </w:tcPr>
          <w:p>
            <w:pPr>
              <w:spacing w:after="0"/>
              <w:rPr>
                <w:sz w:val="22"/>
                <w:szCs w:val="22"/>
                <w:color w:val="auto"/>
              </w:rPr>
            </w:pPr>
          </w:p>
        </w:tc>
      </w:tr>
      <w:tr>
        <w:trPr>
          <w:trHeight w:val="473"/>
        </w:trPr>
        <w:tc>
          <w:tcPr>
            <w:tcW w:w="41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8"/>
              </w:rPr>
              <w:t>Executive Vice President</w:t>
            </w:r>
          </w:p>
        </w:tc>
        <w:tc>
          <w:tcPr>
            <w:tcW w:w="32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July 17, 2025</w:t>
            </w:r>
          </w:p>
        </w:tc>
      </w:tr>
      <w:tr>
        <w:trPr>
          <w:trHeight w:val="243"/>
        </w:trPr>
        <w:tc>
          <w:tcPr>
            <w:tcW w:w="41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and Chief Financial Officer</w:t>
            </w:r>
          </w:p>
        </w:tc>
        <w:tc>
          <w:tcPr>
            <w:tcW w:w="3200" w:type="dxa"/>
            <w:vAlign w:val="bottom"/>
          </w:tcPr>
          <w:p>
            <w:pPr>
              <w:spacing w:after="0"/>
              <w:rPr>
                <w:sz w:val="21"/>
                <w:szCs w:val="21"/>
                <w:color w:val="auto"/>
              </w:rPr>
            </w:pPr>
          </w:p>
        </w:tc>
      </w:tr>
      <w:tr>
        <w:trPr>
          <w:trHeight w:val="256"/>
        </w:trPr>
        <w:tc>
          <w:tcPr>
            <w:tcW w:w="41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3200" w:type="dxa"/>
            <w:vAlign w:val="bottom"/>
          </w:tcPr>
          <w:p>
            <w:pPr>
              <w:spacing w:after="0"/>
              <w:rPr>
                <w:sz w:val="22"/>
                <w:szCs w:val="22"/>
                <w:color w:val="auto"/>
              </w:rPr>
            </w:pPr>
          </w:p>
        </w:tc>
      </w:tr>
      <w:tr>
        <w:trPr>
          <w:trHeight w:val="432"/>
        </w:trPr>
        <w:tc>
          <w:tcPr>
            <w:tcW w:w="41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Senior Vice President and Controller</w:t>
            </w:r>
          </w:p>
        </w:tc>
        <w:tc>
          <w:tcPr>
            <w:tcW w:w="32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July 17, 2025</w:t>
            </w:r>
          </w:p>
        </w:tc>
      </w:tr>
      <w:tr>
        <w:trPr>
          <w:trHeight w:val="243"/>
        </w:trPr>
        <w:tc>
          <w:tcPr>
            <w:tcW w:w="41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3200" w:type="dxa"/>
            <w:vAlign w:val="bottom"/>
          </w:tcPr>
          <w:p>
            <w:pPr>
              <w:spacing w:after="0"/>
              <w:rPr>
                <w:sz w:val="21"/>
                <w:szCs w:val="21"/>
                <w:color w:val="auto"/>
              </w:rPr>
            </w:pPr>
          </w:p>
        </w:tc>
      </w:tr>
      <w:tr>
        <w:trPr>
          <w:trHeight w:val="486"/>
        </w:trPr>
        <w:tc>
          <w:tcPr>
            <w:tcW w:w="4100" w:type="dxa"/>
            <w:vAlign w:val="bottom"/>
          </w:tcPr>
          <w:p>
            <w:pPr>
              <w:spacing w:after="0"/>
              <w:rPr>
                <w:sz w:val="24"/>
                <w:szCs w:val="24"/>
                <w:color w:val="auto"/>
              </w:rPr>
            </w:pPr>
          </w:p>
        </w:tc>
        <w:tc>
          <w:tcPr>
            <w:tcW w:w="32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July 17, 2025</w:t>
            </w:r>
          </w:p>
        </w:tc>
      </w:tr>
      <w:tr>
        <w:trPr>
          <w:trHeight w:val="257"/>
        </w:trPr>
        <w:tc>
          <w:tcPr>
            <w:tcW w:w="41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Chairman of the Board</w:t>
            </w:r>
          </w:p>
        </w:tc>
        <w:tc>
          <w:tcPr>
            <w:tcW w:w="3200" w:type="dxa"/>
            <w:vAlign w:val="bottom"/>
          </w:tcPr>
          <w:p>
            <w:pPr>
              <w:spacing w:after="0"/>
              <w:rPr>
                <w:sz w:val="22"/>
                <w:szCs w:val="22"/>
                <w:color w:val="auto"/>
              </w:rPr>
            </w:pPr>
          </w:p>
        </w:tc>
      </w:tr>
      <w:tr>
        <w:trPr>
          <w:trHeight w:val="540"/>
        </w:trPr>
        <w:tc>
          <w:tcPr>
            <w:tcW w:w="4100" w:type="dxa"/>
            <w:vAlign w:val="bottom"/>
          </w:tcPr>
          <w:p>
            <w:pPr>
              <w:spacing w:after="0"/>
              <w:rPr>
                <w:sz w:val="24"/>
                <w:szCs w:val="24"/>
                <w:color w:val="auto"/>
              </w:rPr>
            </w:pPr>
          </w:p>
        </w:tc>
        <w:tc>
          <w:tcPr>
            <w:tcW w:w="32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July 17, 2025</w:t>
            </w:r>
          </w:p>
        </w:tc>
      </w:tr>
      <w:tr>
        <w:trPr>
          <w:trHeight w:val="256"/>
        </w:trPr>
        <w:tc>
          <w:tcPr>
            <w:tcW w:w="41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Director</w:t>
            </w:r>
          </w:p>
        </w:tc>
        <w:tc>
          <w:tcPr>
            <w:tcW w:w="3200" w:type="dxa"/>
            <w:vAlign w:val="bottom"/>
          </w:tcPr>
          <w:p>
            <w:pPr>
              <w:spacing w:after="0"/>
              <w:rPr>
                <w:sz w:val="22"/>
                <w:szCs w:val="22"/>
                <w:color w:val="auto"/>
              </w:rPr>
            </w:pPr>
          </w:p>
        </w:tc>
      </w:tr>
      <w:tr>
        <w:trPr>
          <w:trHeight w:val="554"/>
        </w:trPr>
        <w:tc>
          <w:tcPr>
            <w:tcW w:w="4100" w:type="dxa"/>
            <w:vAlign w:val="bottom"/>
          </w:tcPr>
          <w:p>
            <w:pPr>
              <w:spacing w:after="0"/>
              <w:rPr>
                <w:sz w:val="24"/>
                <w:szCs w:val="24"/>
                <w:color w:val="auto"/>
              </w:rPr>
            </w:pPr>
          </w:p>
        </w:tc>
        <w:tc>
          <w:tcPr>
            <w:tcW w:w="32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July 17, 2025</w:t>
            </w:r>
          </w:p>
        </w:tc>
      </w:tr>
      <w:tr>
        <w:trPr>
          <w:trHeight w:val="256"/>
        </w:trPr>
        <w:tc>
          <w:tcPr>
            <w:tcW w:w="41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Director</w:t>
            </w:r>
          </w:p>
        </w:tc>
        <w:tc>
          <w:tcPr>
            <w:tcW w:w="3200" w:type="dxa"/>
            <w:vAlign w:val="bottom"/>
          </w:tcPr>
          <w:p>
            <w:pPr>
              <w:spacing w:after="0"/>
              <w:rPr>
                <w:sz w:val="22"/>
                <w:szCs w:val="22"/>
                <w:color w:val="auto"/>
              </w:rPr>
            </w:pPr>
          </w:p>
        </w:tc>
      </w:tr>
      <w:tr>
        <w:trPr>
          <w:trHeight w:val="553"/>
        </w:trPr>
        <w:tc>
          <w:tcPr>
            <w:tcW w:w="4100" w:type="dxa"/>
            <w:vAlign w:val="bottom"/>
          </w:tcPr>
          <w:p>
            <w:pPr>
              <w:spacing w:after="0"/>
              <w:rPr>
                <w:sz w:val="24"/>
                <w:szCs w:val="24"/>
                <w:color w:val="auto"/>
              </w:rPr>
            </w:pPr>
          </w:p>
        </w:tc>
        <w:tc>
          <w:tcPr>
            <w:tcW w:w="32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July 17, 2025</w:t>
            </w:r>
          </w:p>
        </w:tc>
      </w:tr>
      <w:tr>
        <w:trPr>
          <w:trHeight w:val="257"/>
        </w:trPr>
        <w:tc>
          <w:tcPr>
            <w:tcW w:w="41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Director</w:t>
            </w:r>
          </w:p>
        </w:tc>
        <w:tc>
          <w:tcPr>
            <w:tcW w:w="3200" w:type="dxa"/>
            <w:vAlign w:val="bottom"/>
          </w:tcPr>
          <w:p>
            <w:pPr>
              <w:spacing w:after="0"/>
              <w:rPr>
                <w:sz w:val="22"/>
                <w:szCs w:val="22"/>
                <w:color w:val="auto"/>
              </w:rPr>
            </w:pPr>
          </w:p>
        </w:tc>
      </w:tr>
      <w:tr>
        <w:trPr>
          <w:trHeight w:val="540"/>
        </w:trPr>
        <w:tc>
          <w:tcPr>
            <w:tcW w:w="4100" w:type="dxa"/>
            <w:vAlign w:val="bottom"/>
          </w:tcPr>
          <w:p>
            <w:pPr>
              <w:spacing w:after="0"/>
              <w:rPr>
                <w:sz w:val="24"/>
                <w:szCs w:val="24"/>
                <w:color w:val="auto"/>
              </w:rPr>
            </w:pPr>
          </w:p>
        </w:tc>
        <w:tc>
          <w:tcPr>
            <w:tcW w:w="32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July 17, 2025</w:t>
            </w:r>
          </w:p>
        </w:tc>
      </w:tr>
      <w:tr>
        <w:trPr>
          <w:trHeight w:val="256"/>
        </w:trPr>
        <w:tc>
          <w:tcPr>
            <w:tcW w:w="41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Director</w:t>
            </w:r>
          </w:p>
        </w:tc>
        <w:tc>
          <w:tcPr>
            <w:tcW w:w="3200" w:type="dxa"/>
            <w:vAlign w:val="bottom"/>
          </w:tcPr>
          <w:p>
            <w:pPr>
              <w:spacing w:after="0"/>
              <w:rPr>
                <w:sz w:val="22"/>
                <w:szCs w:val="22"/>
                <w:color w:val="auto"/>
              </w:rPr>
            </w:pPr>
          </w:p>
        </w:tc>
      </w:tr>
      <w:tr>
        <w:trPr>
          <w:trHeight w:val="553"/>
        </w:trPr>
        <w:tc>
          <w:tcPr>
            <w:tcW w:w="4100" w:type="dxa"/>
            <w:vAlign w:val="bottom"/>
          </w:tcPr>
          <w:p>
            <w:pPr>
              <w:spacing w:after="0"/>
              <w:rPr>
                <w:sz w:val="24"/>
                <w:szCs w:val="24"/>
                <w:color w:val="auto"/>
              </w:rPr>
            </w:pPr>
          </w:p>
        </w:tc>
        <w:tc>
          <w:tcPr>
            <w:tcW w:w="32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July 17, 2025</w:t>
            </w:r>
          </w:p>
        </w:tc>
      </w:tr>
      <w:tr>
        <w:trPr>
          <w:trHeight w:val="257"/>
        </w:trPr>
        <w:tc>
          <w:tcPr>
            <w:tcW w:w="41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Director</w:t>
            </w:r>
          </w:p>
        </w:tc>
        <w:tc>
          <w:tcPr>
            <w:tcW w:w="3200" w:type="dxa"/>
            <w:vAlign w:val="bottom"/>
          </w:tcPr>
          <w:p>
            <w:pPr>
              <w:spacing w:after="0"/>
              <w:rPr>
                <w:sz w:val="22"/>
                <w:szCs w:val="22"/>
                <w:color w:val="auto"/>
              </w:rPr>
            </w:pPr>
          </w:p>
        </w:tc>
      </w:tr>
      <w:tr>
        <w:trPr>
          <w:trHeight w:val="594"/>
        </w:trPr>
        <w:tc>
          <w:tcPr>
            <w:tcW w:w="4100" w:type="dxa"/>
            <w:vAlign w:val="bottom"/>
          </w:tcPr>
          <w:p>
            <w:pPr>
              <w:spacing w:after="0"/>
              <w:rPr>
                <w:sz w:val="24"/>
                <w:szCs w:val="24"/>
                <w:color w:val="auto"/>
              </w:rPr>
            </w:pPr>
          </w:p>
        </w:tc>
        <w:tc>
          <w:tcPr>
            <w:tcW w:w="32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July 17, 2025</w:t>
            </w:r>
          </w:p>
        </w:tc>
      </w:tr>
      <w:tr>
        <w:trPr>
          <w:trHeight w:val="256"/>
        </w:trPr>
        <w:tc>
          <w:tcPr>
            <w:tcW w:w="41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Director</w:t>
            </w:r>
          </w:p>
        </w:tc>
        <w:tc>
          <w:tcPr>
            <w:tcW w:w="3200" w:type="dxa"/>
            <w:vAlign w:val="bottom"/>
          </w:tcPr>
          <w:p>
            <w:pPr>
              <w:spacing w:after="0"/>
              <w:rPr>
                <w:sz w:val="22"/>
                <w:szCs w:val="22"/>
                <w:color w:val="auto"/>
              </w:rPr>
            </w:pPr>
          </w:p>
        </w:tc>
      </w:tr>
    </w:tbl>
    <w:p>
      <w:pPr>
        <w:sectPr>
          <w:pgSz w:w="11900" w:h="16838" w:orient="portrait"/>
          <w:cols w:equalWidth="0" w:num="2">
            <w:col w:w="3220" w:space="720"/>
            <w:col w:w="7300"/>
          </w:cols>
          <w:pgMar w:left="320" w:top="117" w:right="339" w:bottom="1440" w:gutter="0" w:footer="0" w:header="0"/>
          <w:type w:val="continuous"/>
        </w:sectPr>
      </w:pPr>
    </w:p>
    <w:bookmarkStart w:id="11" w:name="page12"/>
    <w:bookmarkEnd w:id="11"/>
    <w:p>
      <w:pPr>
        <w:ind w:left="10360"/>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18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(Form Type)</w:t>
      </w:r>
    </w:p>
    <w:p>
      <w:pPr>
        <w:spacing w:after="0" w:line="162"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780" w:type="dxa"/>
            <w:vAlign w:val="bottom"/>
            <w:tcBorders>
              <w:top w:val="single" w:sz="8" w:color="auto"/>
              <w:left w:val="single" w:sz="8" w:color="auto"/>
              <w:right w:val="single" w:sz="8" w:color="auto"/>
            </w:tcBorders>
          </w:tcPr>
          <w:p>
            <w:pPr>
              <w:spacing w:after="0"/>
              <w:rPr>
                <w:sz w:val="18"/>
                <w:szCs w:val="18"/>
                <w:color w:val="auto"/>
              </w:rPr>
            </w:pPr>
          </w:p>
        </w:tc>
        <w:tc>
          <w:tcPr>
            <w:tcW w:w="12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right w:val="single" w:sz="8" w:color="auto"/>
            </w:tcBorders>
          </w:tcPr>
          <w:p>
            <w:pPr>
              <w:spacing w:after="0"/>
              <w:rPr>
                <w:sz w:val="18"/>
                <w:szCs w:val="18"/>
                <w:color w:val="auto"/>
              </w:rPr>
            </w:pPr>
          </w:p>
        </w:tc>
        <w:tc>
          <w:tcPr>
            <w:tcW w:w="100" w:type="dxa"/>
            <w:vAlign w:val="bottom"/>
            <w:tcBorders>
              <w:top w:val="single" w:sz="8" w:color="auto"/>
              <w:right w:val="single" w:sz="8" w:color="auto"/>
            </w:tcBorders>
          </w:tcPr>
          <w:p>
            <w:pPr>
              <w:spacing w:after="0"/>
              <w:rPr>
                <w:sz w:val="18"/>
                <w:szCs w:val="18"/>
                <w:color w:val="auto"/>
              </w:rPr>
            </w:pPr>
          </w:p>
        </w:tc>
        <w:tc>
          <w:tcPr>
            <w:tcW w:w="960" w:type="dxa"/>
            <w:vAlign w:val="bottom"/>
            <w:tcBorders>
              <w:top w:val="single" w:sz="8" w:color="auto"/>
              <w:right w:val="single" w:sz="8" w:color="auto"/>
            </w:tcBorders>
          </w:tcPr>
          <w:p>
            <w:pPr>
              <w:spacing w:after="0"/>
              <w:rPr>
                <w:sz w:val="18"/>
                <w:szCs w:val="18"/>
                <w:color w:val="auto"/>
              </w:rPr>
            </w:pPr>
          </w:p>
        </w:tc>
        <w:tc>
          <w:tcPr>
            <w:tcW w:w="120" w:type="dxa"/>
            <w:vAlign w:val="bottom"/>
            <w:tcBorders>
              <w:top w:val="single" w:sz="8" w:color="auto"/>
              <w:right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spacing w:after="0"/>
              <w:rPr>
                <w:sz w:val="18"/>
                <w:szCs w:val="18"/>
                <w:color w:val="auto"/>
              </w:rPr>
            </w:pPr>
          </w:p>
        </w:tc>
        <w:tc>
          <w:tcPr>
            <w:tcW w:w="280" w:type="dxa"/>
            <w:vAlign w:val="bottom"/>
            <w:tcBorders>
              <w:top w:val="single" w:sz="8" w:color="auto"/>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right w:val="single" w:sz="8" w:color="auto"/>
            </w:tcBorders>
            <w:gridSpan w:val="2"/>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300" w:type="dxa"/>
            <w:vAlign w:val="bottom"/>
            <w:tcBorders>
              <w:top w:val="single" w:sz="8" w:color="auto"/>
              <w:right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right w:val="single" w:sz="8" w:color="auto"/>
            </w:tcBorders>
          </w:tcPr>
          <w:p>
            <w:pPr>
              <w:spacing w:after="0"/>
              <w:rPr>
                <w:sz w:val="18"/>
                <w:szCs w:val="18"/>
                <w:color w:val="auto"/>
              </w:rPr>
            </w:pPr>
          </w:p>
        </w:tc>
        <w:tc>
          <w:tcPr>
            <w:tcW w:w="120" w:type="dxa"/>
            <w:vAlign w:val="bottom"/>
            <w:tcBorders>
              <w:top w:val="single" w:sz="8" w:color="auto"/>
              <w:right w:val="single" w:sz="8" w:color="auto"/>
            </w:tcBorders>
          </w:tcPr>
          <w:p>
            <w:pPr>
              <w:spacing w:after="0"/>
              <w:rPr>
                <w:sz w:val="18"/>
                <w:szCs w:val="18"/>
                <w:color w:val="auto"/>
              </w:rPr>
            </w:pPr>
          </w:p>
        </w:tc>
        <w:tc>
          <w:tcPr>
            <w:tcW w:w="900" w:type="dxa"/>
            <w:vAlign w:val="bottom"/>
            <w:tcBorders>
              <w:top w:val="single" w:sz="8" w:color="auto"/>
              <w:right w:val="single" w:sz="8" w:color="auto"/>
            </w:tcBorders>
          </w:tcPr>
          <w:p>
            <w:pPr>
              <w:spacing w:after="0"/>
              <w:rPr>
                <w:sz w:val="18"/>
                <w:szCs w:val="18"/>
                <w:color w:val="auto"/>
              </w:rPr>
            </w:pPr>
          </w:p>
        </w:tc>
        <w:tc>
          <w:tcPr>
            <w:tcW w:w="120" w:type="dxa"/>
            <w:vAlign w:val="bottom"/>
            <w:tcBorders>
              <w:top w:val="single" w:sz="8" w:color="auto"/>
              <w:right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80" w:type="dxa"/>
            <w:vAlign w:val="bottom"/>
            <w:tcBorders>
              <w:left w:val="single" w:sz="8" w:color="auto"/>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960" w:type="dxa"/>
            <w:vAlign w:val="bottom"/>
            <w:tcBorders>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right w:val="single" w:sz="8" w:color="auto"/>
            </w:tcBorders>
            <w:gridSpan w:val="2"/>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3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0" w:type="dxa"/>
            <w:vAlign w:val="bottom"/>
            <w:tcBorders>
              <w:left w:val="single" w:sz="8" w:color="auto"/>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960" w:type="dxa"/>
            <w:vAlign w:val="bottom"/>
            <w:tcBorders>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12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right w:val="single" w:sz="8" w:color="auto"/>
            </w:tcBorders>
            <w:gridSpan w:val="2"/>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3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right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2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Borders>
              <w:right w:val="single" w:sz="8" w:color="auto"/>
            </w:tcBorders>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76"/>
        </w:trPr>
        <w:tc>
          <w:tcPr>
            <w:tcW w:w="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20" w:type="dxa"/>
            <w:vAlign w:val="bottom"/>
            <w:tcBorders>
              <w:right w:val="single" w:sz="8" w:color="auto"/>
            </w:tcBorders>
          </w:tcPr>
          <w:p>
            <w:pPr>
              <w:spacing w:after="0"/>
              <w:rPr>
                <w:sz w:val="15"/>
                <w:szCs w:val="15"/>
                <w:color w:val="auto"/>
              </w:rPr>
            </w:pPr>
          </w:p>
        </w:tc>
        <w:tc>
          <w:tcPr>
            <w:tcW w:w="2960" w:type="dxa"/>
            <w:vAlign w:val="bottom"/>
            <w:tcBorders>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Calculation</w:t>
            </w:r>
          </w:p>
        </w:tc>
        <w:tc>
          <w:tcPr>
            <w:tcW w:w="12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right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3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right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2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Borders>
              <w:right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204"/>
        </w:trPr>
        <w:tc>
          <w:tcPr>
            <w:tcW w:w="78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20" w:type="dxa"/>
            <w:vAlign w:val="bottom"/>
            <w:tcBorders>
              <w:right w:val="single" w:sz="8" w:color="auto"/>
            </w:tcBorders>
          </w:tcPr>
          <w:p>
            <w:pPr>
              <w:spacing w:after="0"/>
              <w:rPr>
                <w:sz w:val="17"/>
                <w:szCs w:val="17"/>
                <w:color w:val="auto"/>
              </w:rPr>
            </w:pPr>
          </w:p>
        </w:tc>
        <w:tc>
          <w:tcPr>
            <w:tcW w:w="29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1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Registered </w:t>
            </w:r>
            <w:r>
              <w:rPr>
                <w:rFonts w:ascii="Times New Roman" w:cs="Times New Roman" w:eastAsia="Times New Roman" w:hAnsi="Times New Roman"/>
                <w:sz w:val="9"/>
                <w:szCs w:val="9"/>
                <w:b w:val="1"/>
                <w:bCs w:val="1"/>
                <w:color w:val="auto"/>
              </w:rPr>
              <w:t>(1)</w:t>
            </w:r>
          </w:p>
        </w:tc>
        <w:tc>
          <w:tcPr>
            <w:tcW w:w="2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right w:val="single" w:sz="8" w:color="auto"/>
            </w:tcBorders>
            <w:gridSpan w:val="2"/>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3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Borders>
              <w:right w:val="single" w:sz="8" w:color="auto"/>
            </w:tcBorders>
            <w:gridSpan w:val="2"/>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Borders>
              <w:right w:val="single" w:sz="8" w:color="auto"/>
            </w:tcBorders>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Fee</w:t>
            </w:r>
          </w:p>
        </w:tc>
        <w:tc>
          <w:tcPr>
            <w:tcW w:w="0" w:type="dxa"/>
            <w:vAlign w:val="bottom"/>
          </w:tcPr>
          <w:p>
            <w:pPr>
              <w:spacing w:after="0"/>
              <w:rPr>
                <w:sz w:val="1"/>
                <w:szCs w:val="1"/>
                <w:color w:val="auto"/>
              </w:rPr>
            </w:pPr>
          </w:p>
        </w:tc>
      </w:tr>
      <w:tr>
        <w:trPr>
          <w:trHeight w:val="23"/>
        </w:trPr>
        <w:tc>
          <w:tcPr>
            <w:tcW w:w="78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7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w:t>
            </w:r>
          </w:p>
        </w:tc>
        <w:tc>
          <w:tcPr>
            <w:tcW w:w="120" w:type="dxa"/>
            <w:vAlign w:val="bottom"/>
            <w:tcBorders>
              <w:right w:val="single" w:sz="8" w:color="auto"/>
            </w:tcBorders>
            <w:shd w:val="clear" w:color="auto" w:fill="CCEEFF"/>
          </w:tcPr>
          <w:p>
            <w:pPr>
              <w:spacing w:after="0"/>
              <w:rPr>
                <w:sz w:val="17"/>
                <w:szCs w:val="17"/>
                <w:color w:val="auto"/>
              </w:rPr>
            </w:pPr>
          </w:p>
        </w:tc>
        <w:tc>
          <w:tcPr>
            <w:tcW w:w="296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100" w:type="dxa"/>
            <w:vAlign w:val="bottom"/>
            <w:tcBorders>
              <w:right w:val="single" w:sz="8" w:color="auto"/>
            </w:tcBorders>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114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80" w:type="dxa"/>
            <w:vAlign w:val="bottom"/>
            <w:tcBorders>
              <w:left w:val="single" w:sz="8" w:color="auto"/>
              <w:right w:val="single" w:sz="8" w:color="auto"/>
            </w:tcBorders>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296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reserved for issuance under the Integra</w:t>
            </w:r>
          </w:p>
        </w:tc>
        <w:tc>
          <w:tcPr>
            <w:tcW w:w="100" w:type="dxa"/>
            <w:vAlign w:val="bottom"/>
            <w:tcBorders>
              <w:right w:val="single" w:sz="8" w:color="auto"/>
            </w:tcBorders>
            <w:shd w:val="clear" w:color="auto" w:fill="CCEEFF"/>
          </w:tcPr>
          <w:p>
            <w:pPr>
              <w:spacing w:after="0"/>
              <w:rPr>
                <w:sz w:val="15"/>
                <w:szCs w:val="15"/>
                <w:color w:val="auto"/>
              </w:rPr>
            </w:pPr>
          </w:p>
        </w:tc>
        <w:tc>
          <w:tcPr>
            <w:tcW w:w="960" w:type="dxa"/>
            <w:vAlign w:val="bottom"/>
            <w:tcBorders>
              <w:right w:val="single" w:sz="8" w:color="auto"/>
            </w:tcBorders>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spacing w:after="0"/>
              <w:rPr>
                <w:sz w:val="15"/>
                <w:szCs w:val="15"/>
                <w:color w:val="auto"/>
              </w:rPr>
            </w:pPr>
          </w:p>
        </w:tc>
        <w:tc>
          <w:tcPr>
            <w:tcW w:w="28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right w:val="single" w:sz="8" w:color="auto"/>
            </w:tcBorders>
            <w:shd w:val="clear" w:color="auto" w:fill="CCEEFF"/>
          </w:tcPr>
          <w:p>
            <w:pPr>
              <w:spacing w:after="0"/>
              <w:rPr>
                <w:sz w:val="15"/>
                <w:szCs w:val="15"/>
                <w:color w:val="auto"/>
              </w:rPr>
            </w:pPr>
          </w:p>
        </w:tc>
        <w:tc>
          <w:tcPr>
            <w:tcW w:w="620" w:type="dxa"/>
            <w:vAlign w:val="bottom"/>
            <w:tcBorders>
              <w:right w:val="single" w:sz="8" w:color="auto"/>
            </w:tcBorders>
            <w:shd w:val="clear" w:color="auto" w:fill="CCEEFF"/>
          </w:tcPr>
          <w:p>
            <w:pPr>
              <w:spacing w:after="0"/>
              <w:rPr>
                <w:sz w:val="15"/>
                <w:szCs w:val="15"/>
                <w:color w:val="auto"/>
              </w:rPr>
            </w:pPr>
          </w:p>
        </w:tc>
        <w:tc>
          <w:tcPr>
            <w:tcW w:w="30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40" w:type="dxa"/>
            <w:vAlign w:val="bottom"/>
            <w:tcBorders>
              <w:right w:val="single" w:sz="8" w:color="auto"/>
            </w:tcBorders>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900" w:type="dxa"/>
            <w:vAlign w:val="bottom"/>
            <w:tcBorders>
              <w:right w:val="single" w:sz="8" w:color="auto"/>
            </w:tcBorders>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300" w:type="dxa"/>
            <w:vAlign w:val="bottom"/>
            <w:tcBorders>
              <w:right w:val="single" w:sz="8" w:color="auto"/>
            </w:tcBorders>
            <w:shd w:val="clear" w:color="auto" w:fill="CCEEFF"/>
          </w:tcPr>
          <w:p>
            <w:pPr>
              <w:spacing w:after="0"/>
              <w:rPr>
                <w:sz w:val="15"/>
                <w:szCs w:val="15"/>
                <w:color w:val="auto"/>
              </w:rPr>
            </w:pPr>
          </w:p>
        </w:tc>
        <w:tc>
          <w:tcPr>
            <w:tcW w:w="114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0" w:type="dxa"/>
            <w:vAlign w:val="bottom"/>
            <w:tcBorders>
              <w:left w:val="single" w:sz="8" w:color="auto"/>
              <w:right w:val="single" w:sz="8" w:color="auto"/>
            </w:tcBorders>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296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LifeSciences Holdings Corporation Fifth</w:t>
            </w:r>
          </w:p>
        </w:tc>
        <w:tc>
          <w:tcPr>
            <w:tcW w:w="100" w:type="dxa"/>
            <w:vAlign w:val="bottom"/>
            <w:tcBorders>
              <w:right w:val="single" w:sz="8" w:color="auto"/>
            </w:tcBorders>
            <w:shd w:val="clear" w:color="auto" w:fill="CCEEFF"/>
          </w:tcPr>
          <w:p>
            <w:pPr>
              <w:spacing w:after="0"/>
              <w:rPr>
                <w:sz w:val="15"/>
                <w:szCs w:val="15"/>
                <w:color w:val="auto"/>
              </w:rPr>
            </w:pPr>
          </w:p>
        </w:tc>
        <w:tc>
          <w:tcPr>
            <w:tcW w:w="960" w:type="dxa"/>
            <w:vAlign w:val="bottom"/>
            <w:tcBorders>
              <w:right w:val="single" w:sz="8" w:color="auto"/>
            </w:tcBorders>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spacing w:after="0"/>
              <w:rPr>
                <w:sz w:val="15"/>
                <w:szCs w:val="15"/>
                <w:color w:val="auto"/>
              </w:rPr>
            </w:pPr>
          </w:p>
        </w:tc>
        <w:tc>
          <w:tcPr>
            <w:tcW w:w="28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right w:val="single" w:sz="8" w:color="auto"/>
            </w:tcBorders>
            <w:shd w:val="clear" w:color="auto" w:fill="CCEEFF"/>
          </w:tcPr>
          <w:p>
            <w:pPr>
              <w:spacing w:after="0"/>
              <w:rPr>
                <w:sz w:val="15"/>
                <w:szCs w:val="15"/>
                <w:color w:val="auto"/>
              </w:rPr>
            </w:pPr>
          </w:p>
        </w:tc>
        <w:tc>
          <w:tcPr>
            <w:tcW w:w="620" w:type="dxa"/>
            <w:vAlign w:val="bottom"/>
            <w:tcBorders>
              <w:right w:val="single" w:sz="8" w:color="auto"/>
            </w:tcBorders>
            <w:shd w:val="clear" w:color="auto" w:fill="CCEEFF"/>
          </w:tcPr>
          <w:p>
            <w:pPr>
              <w:spacing w:after="0"/>
              <w:rPr>
                <w:sz w:val="15"/>
                <w:szCs w:val="15"/>
                <w:color w:val="auto"/>
              </w:rPr>
            </w:pPr>
          </w:p>
        </w:tc>
        <w:tc>
          <w:tcPr>
            <w:tcW w:w="30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40" w:type="dxa"/>
            <w:vAlign w:val="bottom"/>
            <w:tcBorders>
              <w:right w:val="single" w:sz="8" w:color="auto"/>
            </w:tcBorders>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900" w:type="dxa"/>
            <w:vAlign w:val="bottom"/>
            <w:tcBorders>
              <w:right w:val="single" w:sz="8" w:color="auto"/>
            </w:tcBorders>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300" w:type="dxa"/>
            <w:vAlign w:val="bottom"/>
            <w:tcBorders>
              <w:right w:val="single" w:sz="8" w:color="auto"/>
            </w:tcBorders>
            <w:shd w:val="clear" w:color="auto" w:fill="CCEEFF"/>
          </w:tcPr>
          <w:p>
            <w:pPr>
              <w:spacing w:after="0"/>
              <w:rPr>
                <w:sz w:val="15"/>
                <w:szCs w:val="15"/>
                <w:color w:val="auto"/>
              </w:rPr>
            </w:pPr>
          </w:p>
        </w:tc>
        <w:tc>
          <w:tcPr>
            <w:tcW w:w="114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80" w:type="dxa"/>
            <w:vAlign w:val="bottom"/>
            <w:tcBorders>
              <w:left w:val="single" w:sz="8" w:color="auto"/>
              <w:right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296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Amended and Restated 2003 Equity Incentive</w:t>
            </w:r>
          </w:p>
        </w:tc>
        <w:tc>
          <w:tcPr>
            <w:tcW w:w="100" w:type="dxa"/>
            <w:vAlign w:val="bottom"/>
            <w:tcBorders>
              <w:right w:val="single" w:sz="8" w:color="auto"/>
            </w:tcBorders>
            <w:shd w:val="clear" w:color="auto" w:fill="CCEEFF"/>
          </w:tcPr>
          <w:p>
            <w:pPr>
              <w:spacing w:after="0"/>
              <w:rPr>
                <w:sz w:val="16"/>
                <w:szCs w:val="16"/>
                <w:color w:val="auto"/>
              </w:rPr>
            </w:pPr>
          </w:p>
        </w:tc>
        <w:tc>
          <w:tcPr>
            <w:tcW w:w="96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8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2,200,000</w:t>
            </w:r>
          </w:p>
        </w:tc>
        <w:tc>
          <w:tcPr>
            <w:tcW w:w="28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62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30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4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28,072,000</w:t>
            </w:r>
          </w:p>
        </w:tc>
        <w:tc>
          <w:tcPr>
            <w:tcW w:w="120" w:type="dxa"/>
            <w:vAlign w:val="bottom"/>
            <w:tcBorders>
              <w:right w:val="single" w:sz="8" w:color="auto"/>
            </w:tcBorders>
            <w:shd w:val="clear" w:color="auto" w:fill="CCEEFF"/>
          </w:tcPr>
          <w:p>
            <w:pPr>
              <w:spacing w:after="0"/>
              <w:rPr>
                <w:sz w:val="16"/>
                <w:szCs w:val="16"/>
                <w:color w:val="auto"/>
              </w:rPr>
            </w:pPr>
          </w:p>
        </w:tc>
        <w:tc>
          <w:tcPr>
            <w:tcW w:w="900" w:type="dxa"/>
            <w:vAlign w:val="bottom"/>
            <w:tcBorders>
              <w:right w:val="single" w:sz="8" w:color="auto"/>
            </w:tcBorders>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0.00015310</w:t>
            </w:r>
          </w:p>
        </w:tc>
        <w:tc>
          <w:tcPr>
            <w:tcW w:w="120" w:type="dxa"/>
            <w:vAlign w:val="bottom"/>
            <w:tcBorders>
              <w:right w:val="single" w:sz="8" w:color="auto"/>
            </w:tcBorders>
            <w:shd w:val="clear" w:color="auto" w:fill="CCEEFF"/>
          </w:tcPr>
          <w:p>
            <w:pPr>
              <w:spacing w:after="0"/>
              <w:rPr>
                <w:sz w:val="16"/>
                <w:szCs w:val="16"/>
                <w:color w:val="auto"/>
              </w:rPr>
            </w:pPr>
          </w:p>
        </w:tc>
        <w:tc>
          <w:tcPr>
            <w:tcW w:w="300" w:type="dxa"/>
            <w:vAlign w:val="bottom"/>
            <w:tcBorders>
              <w:right w:val="single" w:sz="8" w:color="auto"/>
            </w:tcBorders>
            <w:shd w:val="clear" w:color="auto" w:fill="CCEEFF"/>
          </w:tcPr>
          <w:p>
            <w:pPr>
              <w:spacing w:after="0"/>
              <w:rPr>
                <w:sz w:val="16"/>
                <w:szCs w:val="16"/>
                <w:color w:val="auto"/>
              </w:rPr>
            </w:pPr>
          </w:p>
        </w:tc>
        <w:tc>
          <w:tcPr>
            <w:tcW w:w="114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4,298</w:t>
            </w:r>
          </w:p>
        </w:tc>
        <w:tc>
          <w:tcPr>
            <w:tcW w:w="0" w:type="dxa"/>
            <w:vAlign w:val="bottom"/>
          </w:tcPr>
          <w:p>
            <w:pPr>
              <w:spacing w:after="0"/>
              <w:rPr>
                <w:sz w:val="1"/>
                <w:szCs w:val="1"/>
                <w:color w:val="auto"/>
              </w:rPr>
            </w:pPr>
          </w:p>
        </w:tc>
      </w:tr>
      <w:tr>
        <w:trPr>
          <w:trHeight w:val="212"/>
        </w:trPr>
        <w:tc>
          <w:tcPr>
            <w:tcW w:w="780" w:type="dxa"/>
            <w:vAlign w:val="bottom"/>
            <w:tcBorders>
              <w:left w:val="single" w:sz="8" w:color="auto"/>
              <w:bottom w:val="single" w:sz="8" w:color="CCEEFF"/>
              <w:right w:val="single" w:sz="8" w:color="auto"/>
            </w:tcBorders>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2960" w:type="dxa"/>
            <w:vAlign w:val="bottom"/>
            <w:tcBorders>
              <w:bottom w:val="single" w:sz="8" w:color="CCEEFF"/>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Plan, as amended</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9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80" w:type="dxa"/>
            <w:vAlign w:val="bottom"/>
            <w:tcBorders>
              <w:bottom w:val="single" w:sz="8" w:color="CCEEFF"/>
              <w:right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CCEEFF"/>
              <w:right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w w:val="85"/>
              </w:rPr>
              <w:t>(2)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bottom w:val="single" w:sz="8" w:color="CCEEFF"/>
              <w:right w:val="single" w:sz="8" w:color="auto"/>
            </w:tcBorders>
            <w:shd w:val="clear" w:color="auto" w:fill="CCEEFF"/>
          </w:tcPr>
          <w:p>
            <w:pPr>
              <w:spacing w:after="0"/>
              <w:rPr>
                <w:sz w:val="18"/>
                <w:szCs w:val="18"/>
                <w:color w:val="auto"/>
              </w:rPr>
            </w:pPr>
          </w:p>
        </w:tc>
        <w:tc>
          <w:tcPr>
            <w:tcW w:w="620" w:type="dxa"/>
            <w:vAlign w:val="bottom"/>
            <w:tcBorders>
              <w:bottom w:val="single" w:sz="8" w:color="CCEEFF"/>
              <w:right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CCEEFF"/>
              <w:right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rPr>
              <w:t>(3)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1040" w:type="dxa"/>
            <w:vAlign w:val="bottom"/>
            <w:tcBorders>
              <w:bottom w:val="single" w:sz="8" w:color="CCEEFF"/>
              <w:right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900" w:type="dxa"/>
            <w:vAlign w:val="bottom"/>
            <w:tcBorders>
              <w:bottom w:val="single" w:sz="8" w:color="CCEEFF"/>
              <w:right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300" w:type="dxa"/>
            <w:vAlign w:val="bottom"/>
            <w:tcBorders>
              <w:bottom w:val="single" w:sz="8" w:color="CCEEFF"/>
              <w:right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right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0" w:type="dxa"/>
            <w:vAlign w:val="bottom"/>
            <w:tcBorders>
              <w:top w:val="single" w:sz="8" w:color="auto"/>
              <w:left w:val="single" w:sz="8" w:color="auto"/>
              <w:bottom w:val="single" w:sz="8" w:color="auto"/>
              <w:right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right w:val="single" w:sz="8" w:color="auto"/>
            </w:tcBorders>
            <w:shd w:val="clear" w:color="auto" w:fill="CCEEFF"/>
          </w:tcPr>
          <w:p>
            <w:pPr>
              <w:spacing w:after="0"/>
              <w:rPr>
                <w:sz w:val="19"/>
                <w:szCs w:val="19"/>
                <w:color w:val="auto"/>
              </w:rPr>
            </w:pPr>
          </w:p>
        </w:tc>
        <w:tc>
          <w:tcPr>
            <w:tcW w:w="2960" w:type="dxa"/>
            <w:vAlign w:val="bottom"/>
            <w:tcBorders>
              <w:top w:val="single" w:sz="8" w:color="auto"/>
              <w:bottom w:val="single" w:sz="8" w:color="auto"/>
              <w:right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right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right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right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right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right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right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right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right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right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right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right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right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right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right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86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Total Offering Amounts</w:t>
            </w:r>
          </w:p>
        </w:tc>
        <w:tc>
          <w:tcPr>
            <w:tcW w:w="1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28,072,000</w:t>
            </w:r>
          </w:p>
        </w:tc>
        <w:tc>
          <w:tcPr>
            <w:tcW w:w="1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4,298</w:t>
            </w:r>
          </w:p>
        </w:tc>
        <w:tc>
          <w:tcPr>
            <w:tcW w:w="0" w:type="dxa"/>
            <w:vAlign w:val="bottom"/>
          </w:tcPr>
          <w:p>
            <w:pPr>
              <w:spacing w:after="0"/>
              <w:rPr>
                <w:sz w:val="1"/>
                <w:szCs w:val="1"/>
                <w:color w:val="auto"/>
              </w:rPr>
            </w:pPr>
          </w:p>
        </w:tc>
      </w:tr>
      <w:tr>
        <w:trPr>
          <w:trHeight w:val="23"/>
        </w:trPr>
        <w:tc>
          <w:tcPr>
            <w:tcW w:w="78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860" w:type="dxa"/>
            <w:vAlign w:val="bottom"/>
            <w:tcBorders>
              <w:left w:val="single" w:sz="8" w:color="auto"/>
              <w:bottom w:val="single" w:sz="8" w:color="CCEEFF"/>
              <w:right w:val="single" w:sz="8" w:color="auto"/>
            </w:tcBorders>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Total Fee Offsets</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960" w:type="dxa"/>
            <w:vAlign w:val="bottom"/>
            <w:tcBorders>
              <w:bottom w:val="single" w:sz="8" w:color="CCEEFF"/>
              <w:right w:val="single" w:sz="8" w:color="auto"/>
            </w:tcBorders>
            <w:shd w:val="clear" w:color="auto" w:fill="CCEEFF"/>
          </w:tcPr>
          <w:p>
            <w:pPr>
              <w:spacing w:after="0"/>
              <w:rPr>
                <w:sz w:val="19"/>
                <w:szCs w:val="19"/>
                <w:color w:val="auto"/>
              </w:rPr>
            </w:pP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80" w:type="dxa"/>
            <w:vAlign w:val="bottom"/>
            <w:tcBorders>
              <w:bottom w:val="single" w:sz="8" w:color="CCEEFF"/>
              <w:right w:val="single" w:sz="8" w:color="auto"/>
            </w:tcBorders>
            <w:shd w:val="clear" w:color="auto" w:fill="CCEEFF"/>
          </w:tcPr>
          <w:p>
            <w:pPr>
              <w:spacing w:after="0"/>
              <w:rPr>
                <w:sz w:val="19"/>
                <w:szCs w:val="19"/>
                <w:color w:val="auto"/>
              </w:rPr>
            </w:pPr>
          </w:p>
        </w:tc>
        <w:tc>
          <w:tcPr>
            <w:tcW w:w="28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right w:val="single" w:sz="8" w:color="auto"/>
            </w:tcBorders>
            <w:shd w:val="clear" w:color="auto" w:fill="CCEEFF"/>
          </w:tcPr>
          <w:p>
            <w:pPr>
              <w:spacing w:after="0"/>
              <w:rPr>
                <w:sz w:val="19"/>
                <w:szCs w:val="19"/>
                <w:color w:val="auto"/>
              </w:rPr>
            </w:pPr>
          </w:p>
        </w:tc>
        <w:tc>
          <w:tcPr>
            <w:tcW w:w="620" w:type="dxa"/>
            <w:vAlign w:val="bottom"/>
            <w:tcBorders>
              <w:bottom w:val="single" w:sz="8" w:color="CCEEFF"/>
              <w:right w:val="single" w:sz="8" w:color="auto"/>
            </w:tcBorders>
            <w:shd w:val="clear" w:color="auto" w:fill="CCEEFF"/>
          </w:tcPr>
          <w:p>
            <w:pPr>
              <w:spacing w:after="0"/>
              <w:rPr>
                <w:sz w:val="19"/>
                <w:szCs w:val="19"/>
                <w:color w:val="auto"/>
              </w:rPr>
            </w:pPr>
          </w:p>
        </w:tc>
        <w:tc>
          <w:tcPr>
            <w:tcW w:w="300" w:type="dxa"/>
            <w:vAlign w:val="bottom"/>
            <w:tcBorders>
              <w:bottom w:val="single" w:sz="8" w:color="CCEEFF"/>
              <w:right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040" w:type="dxa"/>
            <w:vAlign w:val="bottom"/>
            <w:tcBorders>
              <w:bottom w:val="single" w:sz="8" w:color="CCEEFF"/>
              <w:right w:val="single" w:sz="8" w:color="auto"/>
            </w:tcBorders>
            <w:shd w:val="clear" w:color="auto" w:fill="CCEEFF"/>
          </w:tcPr>
          <w:p>
            <w:pPr>
              <w:spacing w:after="0"/>
              <w:rPr>
                <w:sz w:val="19"/>
                <w:szCs w:val="19"/>
                <w:color w:val="auto"/>
              </w:rPr>
            </w:pP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900" w:type="dxa"/>
            <w:vAlign w:val="bottom"/>
            <w:tcBorders>
              <w:bottom w:val="single" w:sz="8" w:color="CCEEFF"/>
              <w:right w:val="single" w:sz="8" w:color="auto"/>
            </w:tcBorders>
            <w:shd w:val="clear" w:color="auto" w:fill="CCEEFF"/>
          </w:tcPr>
          <w:p>
            <w:pPr>
              <w:spacing w:after="0"/>
              <w:rPr>
                <w:sz w:val="19"/>
                <w:szCs w:val="19"/>
                <w:color w:val="auto"/>
              </w:rPr>
            </w:pP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300" w:type="dxa"/>
            <w:vAlign w:val="bottom"/>
            <w:tcBorders>
              <w:bottom w:val="single" w:sz="8" w:color="CCEEFF"/>
              <w:right w:val="single" w:sz="8" w:color="auto"/>
            </w:tcBorders>
            <w:shd w:val="clear" w:color="auto" w:fill="CCEEFF"/>
          </w:tcPr>
          <w:p>
            <w:pPr>
              <w:spacing w:after="0"/>
              <w:rPr>
                <w:sz w:val="19"/>
                <w:szCs w:val="19"/>
                <w:color w:val="auto"/>
              </w:rPr>
            </w:pPr>
          </w:p>
        </w:tc>
        <w:tc>
          <w:tcPr>
            <w:tcW w:w="11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0"/>
        </w:trPr>
        <w:tc>
          <w:tcPr>
            <w:tcW w:w="900" w:type="dxa"/>
            <w:vAlign w:val="bottom"/>
            <w:tcBorders>
              <w:top w:val="single" w:sz="8" w:color="auto"/>
              <w:left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Net Fee Due</w:t>
            </w:r>
          </w:p>
        </w:tc>
        <w:tc>
          <w:tcPr>
            <w:tcW w:w="2960" w:type="dxa"/>
            <w:vAlign w:val="bottom"/>
            <w:tcBorders>
              <w:top w:val="single" w:sz="8" w:color="auto"/>
              <w:right w:val="single" w:sz="8" w:color="auto"/>
            </w:tcBorders>
          </w:tcPr>
          <w:p>
            <w:pPr>
              <w:spacing w:after="0"/>
              <w:rPr>
                <w:sz w:val="17"/>
                <w:szCs w:val="17"/>
                <w:color w:val="auto"/>
              </w:rPr>
            </w:pPr>
          </w:p>
        </w:tc>
        <w:tc>
          <w:tcPr>
            <w:tcW w:w="100" w:type="dxa"/>
            <w:vAlign w:val="bottom"/>
            <w:tcBorders>
              <w:top w:val="single" w:sz="8" w:color="auto"/>
              <w:right w:val="single" w:sz="8" w:color="auto"/>
            </w:tcBorders>
          </w:tcPr>
          <w:p>
            <w:pPr>
              <w:spacing w:after="0"/>
              <w:rPr>
                <w:sz w:val="17"/>
                <w:szCs w:val="17"/>
                <w:color w:val="auto"/>
              </w:rPr>
            </w:pPr>
          </w:p>
        </w:tc>
        <w:tc>
          <w:tcPr>
            <w:tcW w:w="960" w:type="dxa"/>
            <w:vAlign w:val="bottom"/>
            <w:tcBorders>
              <w:top w:val="single" w:sz="8" w:color="auto"/>
              <w:right w:val="single" w:sz="8" w:color="auto"/>
            </w:tcBorders>
          </w:tcPr>
          <w:p>
            <w:pPr>
              <w:spacing w:after="0"/>
              <w:rPr>
                <w:sz w:val="17"/>
                <w:szCs w:val="17"/>
                <w:color w:val="auto"/>
              </w:rPr>
            </w:pPr>
          </w:p>
        </w:tc>
        <w:tc>
          <w:tcPr>
            <w:tcW w:w="120" w:type="dxa"/>
            <w:vAlign w:val="bottom"/>
            <w:tcBorders>
              <w:top w:val="single" w:sz="8" w:color="auto"/>
              <w:right w:val="single" w:sz="8" w:color="auto"/>
            </w:tcBorders>
          </w:tcPr>
          <w:p>
            <w:pPr>
              <w:spacing w:after="0"/>
              <w:rPr>
                <w:sz w:val="17"/>
                <w:szCs w:val="17"/>
                <w:color w:val="auto"/>
              </w:rPr>
            </w:pPr>
          </w:p>
        </w:tc>
        <w:tc>
          <w:tcPr>
            <w:tcW w:w="880" w:type="dxa"/>
            <w:vAlign w:val="bottom"/>
            <w:tcBorders>
              <w:top w:val="single" w:sz="8" w:color="auto"/>
              <w:right w:val="single" w:sz="8" w:color="auto"/>
            </w:tcBorders>
          </w:tcPr>
          <w:p>
            <w:pPr>
              <w:spacing w:after="0"/>
              <w:rPr>
                <w:sz w:val="17"/>
                <w:szCs w:val="17"/>
                <w:color w:val="auto"/>
              </w:rPr>
            </w:pPr>
          </w:p>
        </w:tc>
        <w:tc>
          <w:tcPr>
            <w:tcW w:w="280" w:type="dxa"/>
            <w:vAlign w:val="bottom"/>
            <w:tcBorders>
              <w:top w:val="single" w:sz="8" w:color="auto"/>
              <w:right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right w:val="single" w:sz="8" w:color="auto"/>
            </w:tcBorders>
          </w:tcPr>
          <w:p>
            <w:pPr>
              <w:spacing w:after="0"/>
              <w:rPr>
                <w:sz w:val="17"/>
                <w:szCs w:val="17"/>
                <w:color w:val="auto"/>
              </w:rPr>
            </w:pPr>
          </w:p>
        </w:tc>
        <w:tc>
          <w:tcPr>
            <w:tcW w:w="620" w:type="dxa"/>
            <w:vAlign w:val="bottom"/>
            <w:tcBorders>
              <w:top w:val="single" w:sz="8" w:color="auto"/>
              <w:right w:val="single" w:sz="8" w:color="auto"/>
            </w:tcBorders>
          </w:tcPr>
          <w:p>
            <w:pPr>
              <w:spacing w:after="0"/>
              <w:rPr>
                <w:sz w:val="17"/>
                <w:szCs w:val="17"/>
                <w:color w:val="auto"/>
              </w:rPr>
            </w:pPr>
          </w:p>
        </w:tc>
        <w:tc>
          <w:tcPr>
            <w:tcW w:w="300" w:type="dxa"/>
            <w:vAlign w:val="bottom"/>
            <w:tcBorders>
              <w:top w:val="single" w:sz="8" w:color="auto"/>
              <w:right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right w:val="single" w:sz="8" w:color="auto"/>
            </w:tcBorders>
          </w:tcPr>
          <w:p>
            <w:pPr>
              <w:spacing w:after="0"/>
              <w:rPr>
                <w:sz w:val="17"/>
                <w:szCs w:val="17"/>
                <w:color w:val="auto"/>
              </w:rPr>
            </w:pPr>
          </w:p>
        </w:tc>
        <w:tc>
          <w:tcPr>
            <w:tcW w:w="1040" w:type="dxa"/>
            <w:vAlign w:val="bottom"/>
            <w:tcBorders>
              <w:top w:val="single" w:sz="8" w:color="auto"/>
              <w:right w:val="single" w:sz="8" w:color="auto"/>
            </w:tcBorders>
          </w:tcPr>
          <w:p>
            <w:pPr>
              <w:spacing w:after="0"/>
              <w:rPr>
                <w:sz w:val="17"/>
                <w:szCs w:val="17"/>
                <w:color w:val="auto"/>
              </w:rPr>
            </w:pPr>
          </w:p>
        </w:tc>
        <w:tc>
          <w:tcPr>
            <w:tcW w:w="120" w:type="dxa"/>
            <w:vAlign w:val="bottom"/>
            <w:tcBorders>
              <w:top w:val="single" w:sz="8" w:color="auto"/>
              <w:right w:val="single" w:sz="8" w:color="auto"/>
            </w:tcBorders>
          </w:tcPr>
          <w:p>
            <w:pPr>
              <w:spacing w:after="0"/>
              <w:rPr>
                <w:sz w:val="17"/>
                <w:szCs w:val="17"/>
                <w:color w:val="auto"/>
              </w:rPr>
            </w:pPr>
          </w:p>
        </w:tc>
        <w:tc>
          <w:tcPr>
            <w:tcW w:w="900" w:type="dxa"/>
            <w:vAlign w:val="bottom"/>
            <w:tcBorders>
              <w:top w:val="single" w:sz="8" w:color="auto"/>
              <w:right w:val="single" w:sz="8" w:color="auto"/>
            </w:tcBorders>
          </w:tcPr>
          <w:p>
            <w:pPr>
              <w:spacing w:after="0"/>
              <w:rPr>
                <w:sz w:val="17"/>
                <w:szCs w:val="17"/>
                <w:color w:val="auto"/>
              </w:rPr>
            </w:pPr>
          </w:p>
        </w:tc>
        <w:tc>
          <w:tcPr>
            <w:tcW w:w="120" w:type="dxa"/>
            <w:vAlign w:val="bottom"/>
            <w:tcBorders>
              <w:top w:val="single" w:sz="8" w:color="auto"/>
              <w:right w:val="single" w:sz="8" w:color="auto"/>
            </w:tcBorders>
          </w:tcPr>
          <w:p>
            <w:pPr>
              <w:spacing w:after="0"/>
              <w:rPr>
                <w:sz w:val="17"/>
                <w:szCs w:val="17"/>
                <w:color w:val="auto"/>
              </w:rPr>
            </w:pPr>
          </w:p>
        </w:tc>
        <w:tc>
          <w:tcPr>
            <w:tcW w:w="300" w:type="dxa"/>
            <w:vAlign w:val="bottom"/>
            <w:tcBorders>
              <w:top w:val="single" w:sz="8" w:color="auto"/>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4,298</w:t>
            </w:r>
          </w:p>
        </w:tc>
        <w:tc>
          <w:tcPr>
            <w:tcW w:w="0" w:type="dxa"/>
            <w:vAlign w:val="bottom"/>
          </w:tcPr>
          <w:p>
            <w:pPr>
              <w:spacing w:after="0"/>
              <w:rPr>
                <w:sz w:val="1"/>
                <w:szCs w:val="1"/>
                <w:color w:val="auto"/>
              </w:rPr>
            </w:pPr>
          </w:p>
        </w:tc>
      </w:tr>
      <w:tr>
        <w:trPr>
          <w:trHeight w:val="23"/>
        </w:trPr>
        <w:tc>
          <w:tcPr>
            <w:tcW w:w="78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ind w:right="20" w:firstLine="8"/>
        <w:spacing w:after="0" w:line="266" w:lineRule="auto"/>
        <w:tabs>
          <w:tab w:leader="none" w:pos="208"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Rule 416 under the Securities Act of 1933, as amended (the “Securities Act”), this registration statement shall be deemed to cover any additional securities that may from time to time be offered or issued under the Integra LifeSciences Holdings Corporation Fifth Amended and Restated 2003 Equity Incentive Plan, as amended (the “Plan”) by reason of any substitutions or adjustments to shares to account for any change in corporate capitalization, such as a merger, consolidation, reorganization, recapitalization, separation, partial or complete liquidation, stock dividend, stock split, reverse stock split, split up, spin-off, or other distribution of stock or property of Integra LifeSciences Holdings Corporation (the “Company” or “Registrant”), combination or exchange of shares of common stock, $0.01 par value per share (the “Common Stock”), dividend in kind, or other like change in capital structure.</w:t>
      </w:r>
    </w:p>
    <w:p>
      <w:pPr>
        <w:spacing w:after="0" w:line="93" w:lineRule="exact"/>
        <w:rPr>
          <w:rFonts w:ascii="Times New Roman" w:cs="Times New Roman" w:eastAsia="Times New Roman" w:hAnsi="Times New Roman"/>
          <w:sz w:val="14"/>
          <w:szCs w:val="14"/>
          <w:color w:val="auto"/>
        </w:rPr>
      </w:pPr>
    </w:p>
    <w:p>
      <w:pPr>
        <w:jc w:val="both"/>
        <w:ind w:right="20" w:firstLine="8"/>
        <w:spacing w:after="0" w:line="281" w:lineRule="auto"/>
        <w:tabs>
          <w:tab w:leader="none" w:pos="208"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of Common Stock of the Registrant reserved for future issuance under the Plan, as of the date of this registration statement, which shares of Common Stock were added to the shares reserved under the Plan pursuant to an increase in shares of Common Stock available under the Plan approved by the Registrant’s stockholders at the Registrant’s 2025 Annual Meeting of Stockholders.</w:t>
      </w:r>
    </w:p>
    <w:p>
      <w:pPr>
        <w:spacing w:after="0" w:line="150" w:lineRule="exact"/>
        <w:rPr>
          <w:rFonts w:ascii="Times New Roman" w:cs="Times New Roman" w:eastAsia="Times New Roman" w:hAnsi="Times New Roman"/>
          <w:sz w:val="14"/>
          <w:szCs w:val="14"/>
          <w:color w:val="auto"/>
        </w:rPr>
      </w:pPr>
    </w:p>
    <w:p>
      <w:pPr>
        <w:ind w:right="240" w:firstLine="8"/>
        <w:spacing w:after="0" w:line="336" w:lineRule="auto"/>
        <w:tabs>
          <w:tab w:leader="none" w:pos="204"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in accordance with Rule 457(c) and Rule 457(h) of the Securities Act solely for the purpose of calculating the amount of the registration fee based on the average of the high and low prices for a share of the Registrant’s Common Stock as reported on the Nasdaq Global Select Market on July 24, 2025, a date within five business days of the filing of this registration statement.</w:t>
      </w:r>
    </w:p>
    <w:sectPr>
      <w:pgSz w:w="11900" w:h="16838" w:orient="portrait"/>
      <w:cols w:equalWidth="0" w:num="1">
        <w:col w:w="11260"/>
      </w:cols>
      <w:pgMar w:left="320" w:top="15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2"/>
    </w:lvl>
  </w:abstractNum>
  <w:abstractNum w:abstractNumId="1">
    <w:nsid w:val="3D1B58BA"/>
    <w:multiLevelType w:val="hybridMultilevel"/>
    <w:lvl w:ilvl="0">
      <w:lvlJc w:val="left"/>
      <w:lvlText w:val="(%1)"/>
      <w:numFmt w:val="lowerRoman"/>
      <w:start w:val="4"/>
    </w:lvl>
  </w:abstractNum>
  <w:abstractNum w:abstractNumId="2">
    <w:nsid w:val="507ED7AB"/>
    <w:multiLevelType w:val="hybridMultilevel"/>
    <w:lvl w:ilvl="0">
      <w:lvlJc w:val="left"/>
      <w:lvlText w:val="%1"/>
      <w:numFmt w:val="decimal"/>
      <w:start w:val="107"/>
    </w:lvl>
  </w:abstractNum>
  <w:abstractNum w:abstractNumId="3">
    <w:nsid w:val="2EB141F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41B71EFB"/>
    <w:multiLevelType w:val="hybridMultilevel"/>
    <w:lvl w:ilvl="0">
      <w:lvlJc w:val="left"/>
      <w:lvlText w:val="(%1)"/>
      <w:numFmt w:val="decimal"/>
      <w:start w:val="2"/>
    </w:lvl>
  </w:abstractNum>
  <w:abstractNum w:abstractNumId="5">
    <w:nsid w:val="79E2A9E3"/>
    <w:multiLevelType w:val="hybridMultilevel"/>
    <w:lvl w:ilvl="0">
      <w:lvlJc w:val="left"/>
      <w:lvlText w:val="%1"/>
      <w:numFmt w:val="lowerLetter"/>
      <w:start w:val="1"/>
    </w:lvl>
    <w:lvl w:ilvl="1">
      <w:lvlJc w:val="left"/>
      <w:lvlText w:val="(%2)"/>
      <w:numFmt w:val="decimal"/>
      <w:start w:val="3"/>
    </w:lvl>
  </w:abstractNum>
  <w:abstractNum w:abstractNumId="6">
    <w:nsid w:val="7545E146"/>
    <w:multiLevelType w:val="hybridMultilevel"/>
    <w:lvl w:ilvl="0">
      <w:lvlJc w:val="left"/>
      <w:lvlText w:val="(%1)"/>
      <w:numFmt w:val="lowerLetter"/>
      <w:start w:val="2"/>
    </w:lvl>
    <w:lvl w:ilvl="1">
      <w:lvlJc w:val="left"/>
      <w:lvlText w:val="%2"/>
      <w:numFmt w:val="decimal"/>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4" Type="http://schemas.openxmlformats.org/officeDocument/2006/relationships/image" Target="media/image10.png"/><Relationship Id="rId28" Type="http://schemas.openxmlformats.org/officeDocument/2006/relationships/image" Target="media/image11.png"/><Relationship Id="rId30" Type="http://schemas.openxmlformats.org/officeDocument/2006/relationships/image" Target="media/image12.png"/><Relationship Id="rId36" Type="http://schemas.openxmlformats.org/officeDocument/2006/relationships/image" Target="media/image13.png"/><Relationship Id="rId37" Type="http://schemas.openxmlformats.org/officeDocument/2006/relationships/image" Target="media/image14.png"/><Relationship Id="rId47" Type="http://schemas.openxmlformats.org/officeDocument/2006/relationships/image" Target="media/image15.png"/><Relationship Id="rId48" Type="http://schemas.openxmlformats.org/officeDocument/2006/relationships/image" Target="media/image16.png"/><Relationship Id="rId49" Type="http://schemas.openxmlformats.org/officeDocument/2006/relationships/image" Target="media/image17.png"/><Relationship Id="rId50" Type="http://schemas.openxmlformats.org/officeDocument/2006/relationships/image" Target="media/image18.png"/><Relationship Id="rId51" Type="http://schemas.openxmlformats.org/officeDocument/2006/relationships/image" Target="media/image19.png"/><Relationship Id="rId52" Type="http://schemas.openxmlformats.org/officeDocument/2006/relationships/image" Target="media/image20.png"/><Relationship Id="rId53" Type="http://schemas.openxmlformats.org/officeDocument/2006/relationships/image" Target="media/image21.png"/><Relationship Id="rId54" Type="http://schemas.openxmlformats.org/officeDocument/2006/relationships/image" Target="media/image22.png"/><Relationship Id="rId55" Type="http://schemas.openxmlformats.org/officeDocument/2006/relationships/image" Target="media/image23.png"/><Relationship Id="rId56" Type="http://schemas.openxmlformats.org/officeDocument/2006/relationships/image" Target="media/image24.png"/><Relationship Id="rId57" Type="http://schemas.openxmlformats.org/officeDocument/2006/relationships/image" Target="media/image25.png"/><Relationship Id="rId58" Type="http://schemas.openxmlformats.org/officeDocument/2006/relationships/image" Target="media/image26.png"/><Relationship Id="rId59" Type="http://schemas.openxmlformats.org/officeDocument/2006/relationships/image" Target="media/image27.png"/><Relationship Id="rId60" Type="http://schemas.openxmlformats.org/officeDocument/2006/relationships/image" Target="media/image28.png"/><Relationship Id="rId61" Type="http://schemas.openxmlformats.org/officeDocument/2006/relationships/image" Target="media/image29.jpeg"/><Relationship Id="rId62" Type="http://schemas.openxmlformats.org/officeDocument/2006/relationships/image" Target="media/image30.png"/><Relationship Id="rId63" Type="http://schemas.openxmlformats.org/officeDocument/2006/relationships/image" Target="media/image31.png"/><Relationship Id="rId64" Type="http://schemas.openxmlformats.org/officeDocument/2006/relationships/image" Target="media/image32.png"/><Relationship Id="rId65" Type="http://schemas.openxmlformats.org/officeDocument/2006/relationships/image" Target="media/image33.png"/><Relationship Id="rId66" Type="http://schemas.openxmlformats.org/officeDocument/2006/relationships/image" Target="media/image34.png"/><Relationship Id="rId67" Type="http://schemas.openxmlformats.org/officeDocument/2006/relationships/image" Target="media/image35.png"/><Relationship Id="rId68" Type="http://schemas.openxmlformats.org/officeDocument/2006/relationships/image" Target="media/image36.png"/><Relationship Id="rId69" Type="http://schemas.openxmlformats.org/officeDocument/2006/relationships/image" Target="media/image37.png"/><Relationship Id="rId70" Type="http://schemas.openxmlformats.org/officeDocument/2006/relationships/image" Target="media/image38.png"/><Relationship Id="rId71" Type="http://schemas.openxmlformats.org/officeDocument/2006/relationships/image" Target="media/image39.png"/><Relationship Id="rId72" Type="http://schemas.openxmlformats.org/officeDocument/2006/relationships/image" Target="media/image40.png"/><Relationship Id="rId17" Type="http://schemas.openxmlformats.org/officeDocument/2006/relationships/hyperlink" Target="https://www.sec.gov/Archives/edgar/data/917520/000119312524250705/d886982ds8.htm" TargetMode="External"/><Relationship Id="rId18" Type="http://schemas.openxmlformats.org/officeDocument/2006/relationships/hyperlink" Target="https://www.sec.gov/Archives/edgar/data/917520/000119312517324741/d478022ds8.htm" TargetMode="External"/><Relationship Id="rId19" Type="http://schemas.openxmlformats.org/officeDocument/2006/relationships/hyperlink" Target="https://www.sec.gov/Archives/edgar/data/917520/000119312517054554/d343971ds8.htm" TargetMode="External"/><Relationship Id="rId20" Type="http://schemas.openxmlformats.org/officeDocument/2006/relationships/hyperlink" Target="https://www.sec.gov/Archives/edgar/data/917520/000095012310097972/c07374sv8.htm" TargetMode="External"/><Relationship Id="rId21" Type="http://schemas.openxmlformats.org/officeDocument/2006/relationships/hyperlink" Target="https://www.sec.gov/Archives/edgar/data/917520/000095012308014935/y72534sv8.htm" TargetMode="External"/><Relationship Id="rId22" Type="http://schemas.openxmlformats.org/officeDocument/2006/relationships/hyperlink" Target="https://www.sec.gov/Archives/edgar/data/917520/000091752005000099/forms-8081205.txt" TargetMode="External"/><Relationship Id="rId23" Type="http://schemas.openxmlformats.org/officeDocument/2006/relationships/hyperlink" Target="https://www.sec.gov/Archives/edgar/data/917520/000093041303002853/c29391_s-8.txt" TargetMode="External"/><Relationship Id="rId25" Type="http://schemas.openxmlformats.org/officeDocument/2006/relationships/hyperlink" Target="https://www.sec.gov/ix?doc=/Archives/edgar/data/917520/000091752025000017/iart-20241231.htm" TargetMode="External"/><Relationship Id="rId26" Type="http://schemas.openxmlformats.org/officeDocument/2006/relationships/hyperlink" Target="https://www.sec.gov/ix?doc=/Archives/edgar/data/917520/000091752025000041/iart-20250331.htm" TargetMode="External"/><Relationship Id="rId27" Type="http://schemas.openxmlformats.org/officeDocument/2006/relationships/hyperlink" Target="https://www.sec.gov/ix?doc=/Archives/edgar/data/917520/000091752025000074/iart-20250630.htm" TargetMode="External"/><Relationship Id="rId29" Type="http://schemas.openxmlformats.org/officeDocument/2006/relationships/hyperlink" Target="https://www.sec.gov/ix?doc=/Archives/edgar/data/917520/000091752025000032/iart-20250404.htm" TargetMode="External"/><Relationship Id="rId31" Type="http://schemas.openxmlformats.org/officeDocument/2006/relationships/hyperlink" Target="https://www.sec.gov/ix?doc=/Archives/edgar/data/917520/000091752025000004/iart-20241219.htm" TargetMode="External"/><Relationship Id="rId32" Type="http://schemas.openxmlformats.org/officeDocument/2006/relationships/hyperlink" Target="https://www.sec.gov/ix?doc=/Archives/edgar/data/917520/000091752025000052/iart-20250509.htm" TargetMode="External"/><Relationship Id="rId33" Type="http://schemas.openxmlformats.org/officeDocument/2006/relationships/hyperlink" Target="https://www.sec.gov/ix?doc=/Archives/edgar/data/917520/000091752025000060/iart-20250606.htm" TargetMode="External"/><Relationship Id="rId34" Type="http://schemas.openxmlformats.org/officeDocument/2006/relationships/hyperlink" Target="https://www.sec.gov/Archives/edgar/data/917520/000119312513425190/d622223d8k.htm" TargetMode="External"/><Relationship Id="rId35" Type="http://schemas.openxmlformats.org/officeDocument/2006/relationships/hyperlink" Target="https://www.sec.gov/Archives/edgar/data/917520/000091752025000017/iart-20241231xexx44.htm" TargetMode="External"/><Relationship Id="rId38" Type="http://schemas.openxmlformats.org/officeDocument/2006/relationships/hyperlink" Target="https://www.sec.gov/Archives/edgar/data/917520/000091752006000066/ex3-1aform10k031406.txt" TargetMode="External"/><Relationship Id="rId39" Type="http://schemas.openxmlformats.org/officeDocument/2006/relationships/hyperlink" Target="https://www.sec.gov/Archives/edgar/data/917520/0000889812-99-001063.txt" TargetMode="External"/><Relationship Id="rId40" Type="http://schemas.openxmlformats.org/officeDocument/2006/relationships/hyperlink" Target="https://www.sec.gov/Archives/edgar/data/917520/000095012305003217/y06769exv3w1wc.txt" TargetMode="External"/><Relationship Id="rId41" Type="http://schemas.openxmlformats.org/officeDocument/2006/relationships/hyperlink" Target="https://www.sec.gov/Archives/edgar/data/917520/000091752016000107/ex_3x1xfileddecember22x2016.htm" TargetMode="External"/><Relationship Id="rId42" Type="http://schemas.openxmlformats.org/officeDocument/2006/relationships/hyperlink" Target="https://www.sec.gov/Archives/edgar/data/917520/000091752024000108/iart-20240930xexx31e.htm" TargetMode="External"/><Relationship Id="rId43" Type="http://schemas.openxmlformats.org/officeDocument/2006/relationships/hyperlink" Target="https://www.sec.gov/Archives/edgar/data/917520/000091752023000015/iart-20221231xexx33.htm" TargetMode="External"/><Relationship Id="rId44" Type="http://schemas.openxmlformats.org/officeDocument/2006/relationships/hyperlink" Target="https://www.sec.gov/Archives/edgar/data/0000917520/000091752021000029/ex101.htm" TargetMode="External"/><Relationship Id="rId45" Type="http://schemas.openxmlformats.org/officeDocument/2006/relationships/hyperlink" Target="https://www.sec.gov/Archives/edgar/data/0000917520/000091752024000066/amendmenttoequityincenti.htm" TargetMode="External"/><Relationship Id="rId46" Type="http://schemas.openxmlformats.org/officeDocument/2006/relationships/hyperlink" Target="https://www.sec.gov/Archives/edgar/data/917520/000091752025000052/exhibit101_amendmentno2to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2025-07-31T15:55:12Z</dcterms:created>
  <dcterms:modified xsi:type="dcterms:W3CDTF">2025-07-31T15:55:12Z</dcterms:modified>
</cp:coreProperties>
</file>