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680" w:hanging="443"/>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ind w:left="680" w:hanging="443"/>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350" w:lineRule="exact"/>
        <w:rPr>
          <w:sz w:val="24"/>
          <w:szCs w:val="24"/>
          <w:color w:val="auto"/>
        </w:rPr>
      </w:pPr>
    </w:p>
    <w:p>
      <w:pPr>
        <w:ind w:left="394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000-26224</w:t>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40" w:lineRule="exact"/>
        <w:rPr>
          <w:sz w:val="24"/>
          <w:szCs w:val="24"/>
          <w:color w:val="auto"/>
        </w:rPr>
      </w:pPr>
    </w:p>
    <w:tbl>
      <w:tblPr>
        <w:tblLayout w:type="fixed"/>
        <w:tblInd w:w="1020" w:type="dxa"/>
        <w:tblCellMar>
          <w:top w:w="0" w:type="dxa"/>
          <w:left w:w="0" w:type="dxa"/>
          <w:bottom w:w="0" w:type="dxa"/>
          <w:right w:w="0" w:type="dxa"/>
        </w:tblCellMar>
      </w:tblPr>
      <w:tr>
        <w:trPr>
          <w:trHeight w:val="227"/>
        </w:trPr>
        <w:tc>
          <w:tcPr>
            <w:tcW w:w="4980" w:type="dxa"/>
            <w:vAlign w:val="bottom"/>
          </w:tcPr>
          <w:p>
            <w:pPr>
              <w:jc w:val="center"/>
              <w:ind w:right="14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51-0317849</w:t>
            </w:r>
          </w:p>
        </w:tc>
        <w:tc>
          <w:tcPr>
            <w:tcW w:w="0" w:type="dxa"/>
            <w:vAlign w:val="bottom"/>
          </w:tcPr>
          <w:p>
            <w:pPr>
              <w:spacing w:after="0"/>
              <w:rPr>
                <w:sz w:val="1"/>
                <w:szCs w:val="1"/>
                <w:color w:val="auto"/>
              </w:rPr>
            </w:pPr>
          </w:p>
        </w:tc>
      </w:tr>
      <w:tr>
        <w:trPr>
          <w:trHeight w:val="149"/>
        </w:trPr>
        <w:tc>
          <w:tcPr>
            <w:tcW w:w="4980" w:type="dxa"/>
            <w:vAlign w:val="bottom"/>
          </w:tcPr>
          <w:p>
            <w:pPr>
              <w:jc w:val="center"/>
              <w:ind w:right="15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5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980" w:type="dxa"/>
            <w:vAlign w:val="bottom"/>
          </w:tcPr>
          <w:p>
            <w:pPr>
              <w:jc w:val="center"/>
              <w:ind w:right="14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501"/>
        </w:trPr>
        <w:tc>
          <w:tcPr>
            <w:tcW w:w="4980" w:type="dxa"/>
            <w:vAlign w:val="bottom"/>
          </w:tcPr>
          <w:p>
            <w:pPr>
              <w:jc w:val="center"/>
              <w:ind w:right="1499"/>
              <w:spacing w:after="0"/>
              <w:rPr>
                <w:sz w:val="20"/>
                <w:szCs w:val="20"/>
                <w:color w:val="auto"/>
              </w:rPr>
            </w:pPr>
            <w:r>
              <w:rPr>
                <w:rFonts w:ascii="Times New Roman" w:cs="Times New Roman" w:eastAsia="Times New Roman" w:hAnsi="Times New Roman"/>
                <w:sz w:val="18"/>
                <w:szCs w:val="18"/>
                <w:b w:val="1"/>
                <w:bCs w:val="1"/>
                <w:color w:val="auto"/>
                <w:w w:val="98"/>
              </w:rPr>
              <w:t>1100 Campus Road</w:t>
            </w:r>
          </w:p>
        </w:tc>
        <w:tc>
          <w:tcPr>
            <w:tcW w:w="316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08540</w:t>
            </w:r>
          </w:p>
        </w:tc>
        <w:tc>
          <w:tcPr>
            <w:tcW w:w="0" w:type="dxa"/>
            <w:vAlign w:val="bottom"/>
          </w:tcPr>
          <w:p>
            <w:pPr>
              <w:spacing w:after="0"/>
              <w:rPr>
                <w:sz w:val="1"/>
                <w:szCs w:val="1"/>
                <w:color w:val="auto"/>
              </w:rPr>
            </w:pPr>
          </w:p>
        </w:tc>
      </w:tr>
      <w:tr>
        <w:trPr>
          <w:trHeight w:val="227"/>
        </w:trPr>
        <w:tc>
          <w:tcPr>
            <w:tcW w:w="4980" w:type="dxa"/>
            <w:vAlign w:val="bottom"/>
          </w:tcPr>
          <w:p>
            <w:pPr>
              <w:jc w:val="center"/>
              <w:ind w:right="1519"/>
              <w:spacing w:after="0"/>
              <w:rPr>
                <w:sz w:val="20"/>
                <w:szCs w:val="20"/>
                <w:color w:val="auto"/>
              </w:rPr>
            </w:pPr>
            <w:r>
              <w:rPr>
                <w:rFonts w:ascii="Times New Roman" w:cs="Times New Roman" w:eastAsia="Times New Roman" w:hAnsi="Times New Roman"/>
                <w:sz w:val="18"/>
                <w:szCs w:val="18"/>
                <w:b w:val="1"/>
                <w:bCs w:val="1"/>
                <w:color w:val="auto"/>
              </w:rPr>
              <w:t>Princeton ,  New Jersey</w:t>
            </w:r>
          </w:p>
        </w:tc>
        <w:tc>
          <w:tcPr>
            <w:tcW w:w="3160" w:type="dxa"/>
            <w:vAlign w:val="bottom"/>
            <w:vMerge w:val="restart"/>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82"/>
        </w:trPr>
        <w:tc>
          <w:tcPr>
            <w:tcW w:w="4980" w:type="dxa"/>
            <w:vAlign w:val="bottom"/>
            <w:vMerge w:val="restart"/>
          </w:tcPr>
          <w:p>
            <w:pPr>
              <w:jc w:val="center"/>
              <w:ind w:right="15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980" w:type="dxa"/>
            <w:vAlign w:val="bottom"/>
            <w:vMerge w:val="continue"/>
          </w:tcPr>
          <w:p>
            <w:pPr>
              <w:spacing w:after="0"/>
              <w:rPr>
                <w:sz w:val="9"/>
                <w:szCs w:val="9"/>
                <w:color w:val="auto"/>
              </w:rPr>
            </w:pPr>
          </w:p>
        </w:tc>
        <w:tc>
          <w:tcPr>
            <w:tcW w:w="3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(609) 275-0500</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1033" w:right="339" w:bottom="1440" w:gutter="0" w:footer="0" w:header="0"/>
        </w:sectPr>
      </w:pPr>
    </w:p>
    <w:p>
      <w:pPr>
        <w:spacing w:after="0" w:line="16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3220" w:space="720"/>
            <w:col w:w="1720" w:space="720"/>
            <w:col w:w="4860"/>
          </w:cols>
          <w:pgMar w:left="320" w:top="1033" w:right="3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IART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200" w:lineRule="exact"/>
        <w:rPr>
          <w:sz w:val="24"/>
          <w:szCs w:val="24"/>
          <w:color w:val="auto"/>
        </w:rPr>
      </w:pPr>
    </w:p>
    <w:p>
      <w:pPr>
        <w:sectPr>
          <w:pgSz w:w="11900" w:h="16838" w:orient="portrait"/>
          <w:cols w:equalWidth="0" w:num="3">
            <w:col w:w="3800" w:space="720"/>
            <w:col w:w="2320" w:space="720"/>
            <w:col w:w="3680"/>
          </w:cols>
          <w:pgMar w:left="320" w:top="1033" w:right="339" w:bottom="1440" w:gutter="0" w:footer="0" w:header="0"/>
          <w:type w:val="continuous"/>
        </w:sectPr>
      </w:pPr>
    </w:p>
    <w:p>
      <w:pPr>
        <w:spacing w:after="0" w:line="116"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20"/>
        <w:spacing w:after="0" w:line="184"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0"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7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4"/>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5"/>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7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0"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0"/>
          <w:szCs w:val="20"/>
          <w:color w:val="auto"/>
        </w:rPr>
      </w:pPr>
    </w:p>
    <w:p>
      <w:pPr>
        <w:ind w:right="2660"/>
        <w:spacing w:after="0" w:line="28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$0.01 par value, outstanding as of </w:t>
      </w:r>
      <w:r>
        <w:rPr>
          <w:rFonts w:ascii="Times New Roman" w:cs="Times New Roman" w:eastAsia="Times New Roman" w:hAnsi="Times New Roman"/>
          <w:sz w:val="17"/>
          <w:szCs w:val="17"/>
          <w:color w:val="auto"/>
        </w:rPr>
        <w:t>July 30, 2025</w:t>
      </w:r>
      <w:r>
        <w:rPr>
          <w:rFonts w:ascii="Times New Roman" w:cs="Times New Roman" w:eastAsia="Times New Roman" w:hAnsi="Times New Roman"/>
          <w:sz w:val="16"/>
          <w:szCs w:val="16"/>
          <w:color w:val="auto"/>
        </w:rPr>
        <w:t xml:space="preserve"> was 77,910,790.</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tcBorders>
              <w:bottom w:val="single" w:sz="8" w:color="0000FF"/>
            </w:tcBorders>
            <w:gridSpan w:val="10"/>
          </w:tcPr>
          <w:p>
            <w:pPr>
              <w:spacing w:after="0" w:line="159" w:lineRule="exact"/>
              <w:rPr>
                <w:sz w:val="20"/>
                <w:szCs w:val="20"/>
                <w:color w:val="auto"/>
              </w:rPr>
            </w:pPr>
            <w:r>
              <w:rPr>
                <w:rFonts w:ascii="Times New Roman" w:cs="Times New Roman" w:eastAsia="Times New Roman" w:hAnsi="Times New Roman"/>
                <w:sz w:val="16"/>
                <w:szCs w:val="16"/>
                <w:color w:val="0000FF"/>
                <w:w w:val="99"/>
              </w:rPr>
              <w:t>PART I. FINANCIAL INFORMATION</w:t>
            </w:r>
          </w:p>
        </w:tc>
        <w:tc>
          <w:tcPr>
            <w:tcW w:w="7360" w:type="dxa"/>
            <w:vAlign w:val="bottom"/>
            <w:gridSpan w:val="8"/>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Item 1. Financial Statements</w:t>
            </w:r>
          </w:p>
        </w:tc>
        <w:tc>
          <w:tcPr>
            <w:tcW w:w="8100" w:type="dxa"/>
            <w:vAlign w:val="bottom"/>
            <w:gridSpan w:val="11"/>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 and Comprehensive Income for the Three and Six Months Ended June 30, 2025 and 2024</w:t>
            </w: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0000FF"/>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June 30, 2025 and December 31, 2024 (Unaudited)</w:t>
            </w:r>
          </w:p>
        </w:tc>
        <w:tc>
          <w:tcPr>
            <w:tcW w:w="3600" w:type="dxa"/>
            <w:vAlign w:val="bottom"/>
            <w:gridSpan w:val="4"/>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Six Months Ended June 30, 2025 and 2024 (Unaudited)</w:t>
            </w:r>
          </w:p>
        </w:tc>
        <w:tc>
          <w:tcPr>
            <w:tcW w:w="2480" w:type="dxa"/>
            <w:vAlign w:val="bottom"/>
            <w:gridSpan w:val="3"/>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Condensed Consolidated Statements of Changes in Shareholders' Equity for the Six Months Ended June 30, 2025 and 2024 (Unaudited)</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Notes to Unaudited Condensed Consolidated Financial Statements</w:t>
            </w:r>
          </w:p>
        </w:tc>
        <w:tc>
          <w:tcPr>
            <w:tcW w:w="4500" w:type="dxa"/>
            <w:vAlign w:val="bottom"/>
            <w:tcBorders>
              <w:top w:val="single" w:sz="8" w:color="0000FF"/>
            </w:tcBorders>
            <w:gridSpan w:val="5"/>
          </w:tcPr>
          <w:p>
            <w:pPr>
              <w:spacing w:after="0"/>
              <w:rPr>
                <w:sz w:val="21"/>
                <w:szCs w:val="21"/>
                <w:color w:val="auto"/>
              </w:rPr>
            </w:pPr>
          </w:p>
        </w:tc>
        <w:tc>
          <w:tcPr>
            <w:tcW w:w="1140" w:type="dxa"/>
            <w:vAlign w:val="bottom"/>
            <w:gridSpan w:val="2"/>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3640" w:type="dxa"/>
            <w:vAlign w:val="bottom"/>
            <w:gridSpan w:val="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Item 4. Controls and Procedures</w:t>
            </w:r>
          </w:p>
        </w:tc>
        <w:tc>
          <w:tcPr>
            <w:tcW w:w="2320" w:type="dxa"/>
            <w:vAlign w:val="bottom"/>
            <w:tcBorders>
              <w:top w:val="single" w:sz="8" w:color="0000FF"/>
            </w:tcBorders>
            <w:gridSpan w:val="4"/>
          </w:tcPr>
          <w:p>
            <w:pPr>
              <w:spacing w:after="0"/>
              <w:rPr>
                <w:sz w:val="21"/>
                <w:szCs w:val="21"/>
                <w:color w:val="auto"/>
              </w:rPr>
            </w:pPr>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Item 1. Legal Proceedings</w:t>
            </w:r>
          </w:p>
        </w:tc>
        <w:tc>
          <w:tcPr>
            <w:tcW w:w="7640" w:type="dxa"/>
            <w:vAlign w:val="bottom"/>
            <w:gridSpan w:val="9"/>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260" w:type="dxa"/>
            <w:vAlign w:val="bottom"/>
            <w:tcBorders>
              <w:top w:val="single" w:sz="8" w:color="0000FF"/>
            </w:tcBorders>
            <w:gridSpan w:val="2"/>
          </w:tcPr>
          <w:p>
            <w:pPr>
              <w:spacing w:after="0"/>
              <w:rPr>
                <w:sz w:val="21"/>
                <w:szCs w:val="21"/>
                <w:color w:val="auto"/>
              </w:rPr>
            </w:pPr>
          </w:p>
        </w:tc>
        <w:tc>
          <w:tcPr>
            <w:tcW w:w="8260" w:type="dxa"/>
            <w:vAlign w:val="bottom"/>
            <w:gridSpan w:val="12"/>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Item 3. Defaults Upon Senior Securities</w:t>
            </w:r>
          </w:p>
        </w:tc>
        <w:tc>
          <w:tcPr>
            <w:tcW w:w="7360" w:type="dxa"/>
            <w:vAlign w:val="bottom"/>
            <w:gridSpan w:val="8"/>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7860" w:type="dxa"/>
            <w:vAlign w:val="bottom"/>
            <w:gridSpan w:val="10"/>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Item 5. Other Information</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6. Exhibits</w:t>
            </w:r>
          </w:p>
        </w:tc>
        <w:tc>
          <w:tcPr>
            <w:tcW w:w="8280" w:type="dxa"/>
            <w:vAlign w:val="bottom"/>
            <w:gridSpan w:val="13"/>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8920" w:type="dxa"/>
            <w:vAlign w:val="bottom"/>
            <w:gridSpan w:val="1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5"/>
        </w:trPr>
        <w:tc>
          <w:tcPr>
            <w:tcW w:w="2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64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8"/>
        </w:trPr>
        <w:tc>
          <w:tcPr>
            <w:tcW w:w="5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798,258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787,047</w:t>
            </w:r>
          </w:p>
        </w:tc>
      </w:t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354,296</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56,732</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361,270</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13,814</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 impairment charge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511,365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511,365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928,279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421,204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1,326,429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786,112</w:t>
            </w:r>
          </w:p>
        </w:tc>
      </w:tr>
      <w:tr>
        <w:trPr>
          <w:trHeight w:val="207"/>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 income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(512,674)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(528,171)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10,098</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(32,275)</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r>
      <w:tr>
        <w:trPr>
          <w:trHeight w:val="207"/>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(560,988)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(20,415)</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(51,622)</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(484,073)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(509,366)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(15,683)</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4"/>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per share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 and diluted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270"/>
        </w:trPr>
        <w:tc>
          <w:tcPr>
            <w:tcW w:w="5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(See Note 13):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Basic and diluted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76,695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76,579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77,572</w:t>
            </w: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 (See Note 14)</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(512,702)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9"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246,375</w:t>
            </w: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27,192</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Trade accounts receivable, net of allowances of $6,852 and $6,917</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272,370</w:t>
            </w: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465,127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429,090</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77,001</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29,653</w:t>
            </w:r>
          </w:p>
        </w:tc>
        <w:tc>
          <w:tcPr>
            <w:tcW w:w="0" w:type="dxa"/>
            <w:vAlign w:val="bottom"/>
          </w:tcPr>
          <w:p>
            <w:pPr>
              <w:spacing w:after="0"/>
              <w:rPr>
                <w:sz w:val="1"/>
                <w:szCs w:val="1"/>
                <w:color w:val="auto"/>
              </w:rPr>
            </w:pPr>
          </w:p>
        </w:tc>
      </w:tr>
      <w:tr>
        <w:trPr>
          <w:trHeight w:val="212"/>
        </w:trPr>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1,142,828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1,081,681</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434,816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405,723</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144,042</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1,188,080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1,207,588</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616,427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1,096,952</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34,923</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66,515</w:t>
            </w:r>
          </w:p>
        </w:tc>
        <w:tc>
          <w:tcPr>
            <w:tcW w:w="0" w:type="dxa"/>
            <w:vAlign w:val="bottom"/>
          </w:tcPr>
          <w:p>
            <w:pPr>
              <w:spacing w:after="0"/>
              <w:rPr>
                <w:sz w:val="1"/>
                <w:szCs w:val="1"/>
                <w:color w:val="auto"/>
              </w:rPr>
            </w:pPr>
          </w:p>
        </w:tc>
      </w:tr>
      <w:tr>
        <w:trPr>
          <w:trHeight w:val="212"/>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3,667,905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4,037,424</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borrowings under senior credit facility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33,906</w:t>
            </w:r>
          </w:p>
        </w:tc>
        <w:tc>
          <w:tcPr>
            <w:tcW w:w="0" w:type="dxa"/>
            <w:vAlign w:val="bottom"/>
          </w:tcPr>
          <w:p>
            <w:pPr>
              <w:spacing w:after="0"/>
              <w:rPr>
                <w:sz w:val="1"/>
                <w:szCs w:val="1"/>
                <w:color w:val="auto"/>
              </w:rPr>
            </w:pP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lease liability - operating leases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14,540</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Convertible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573,170</w:t>
            </w:r>
          </w:p>
        </w:tc>
        <w:tc>
          <w:tcPr>
            <w:tcW w:w="0" w:type="dxa"/>
            <w:vAlign w:val="bottom"/>
          </w:tcPr>
          <w:p>
            <w:pPr>
              <w:spacing w:after="0"/>
              <w:rPr>
                <w:sz w:val="1"/>
                <w:szCs w:val="1"/>
                <w:color w:val="auto"/>
              </w:rPr>
            </w:pP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trade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82,502</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10,483</w:t>
            </w:r>
          </w:p>
        </w:tc>
        <w:tc>
          <w:tcPr>
            <w:tcW w:w="0" w:type="dxa"/>
            <w:vAlign w:val="bottom"/>
          </w:tcPr>
          <w:p>
            <w:pPr>
              <w:spacing w:after="0"/>
              <w:rPr>
                <w:sz w:val="1"/>
                <w:szCs w:val="1"/>
                <w:color w:val="auto"/>
              </w:rPr>
            </w:pP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85,617</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131,383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121,908</w:t>
            </w:r>
          </w:p>
        </w:tc>
        <w:tc>
          <w:tcPr>
            <w:tcW w:w="0" w:type="dxa"/>
            <w:vAlign w:val="bottom"/>
          </w:tcPr>
          <w:p>
            <w:pPr>
              <w:spacing w:after="0"/>
              <w:rPr>
                <w:sz w:val="1"/>
                <w:szCs w:val="1"/>
                <w:color w:val="auto"/>
              </w:rPr>
            </w:pPr>
          </w:p>
        </w:tc>
      </w:tr>
      <w:tr>
        <w:trPr>
          <w:trHeight w:val="207"/>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929,806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922,126</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borrowings under senior credit facility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1,118,142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1,087,917</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 under securitization facility</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108,100</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166,930</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60,833</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146,238</w:t>
            </w:r>
          </w:p>
        </w:tc>
        <w:tc>
          <w:tcPr>
            <w:tcW w:w="0" w:type="dxa"/>
            <w:vAlign w:val="bottom"/>
          </w:tcPr>
          <w:p>
            <w:pPr>
              <w:spacing w:after="0"/>
              <w:rPr>
                <w:sz w:val="1"/>
                <w:szCs w:val="1"/>
                <w:color w:val="auto"/>
              </w:rPr>
            </w:pPr>
          </w:p>
        </w:tc>
      </w:tr>
      <w:tr>
        <w:trPr>
          <w:trHeight w:val="207"/>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2,629,244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2,492,144</w:t>
            </w:r>
          </w:p>
        </w:tc>
        <w:tc>
          <w:tcPr>
            <w:tcW w:w="0" w:type="dxa"/>
            <w:vAlign w:val="bottom"/>
          </w:tcPr>
          <w:p>
            <w:pPr>
              <w:spacing w:after="0"/>
              <w:rPr>
                <w:sz w:val="1"/>
                <w:szCs w:val="1"/>
                <w:color w:val="auto"/>
              </w:rPr>
            </w:pPr>
          </w:p>
        </w:tc>
      </w:tr>
      <w:tr>
        <w:trPr>
          <w:trHeight w:val="19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Preferred stock; no par value; 15,000 authorized shares; none outstanding</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5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Common stock; $0.01 par value; 240,000 authorized shares; 92,337 and 91,610 issued at June 30, 2025 and</w:t>
            </w:r>
          </w:p>
        </w:tc>
        <w:tc>
          <w:tcPr>
            <w:tcW w:w="2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24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1,328,130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1,323,431</w:t>
            </w:r>
          </w:p>
        </w:tc>
        <w:tc>
          <w:tcPr>
            <w:tcW w:w="0" w:type="dxa"/>
            <w:vAlign w:val="bottom"/>
          </w:tcPr>
          <w:p>
            <w:pPr>
              <w:spacing w:after="0"/>
              <w:rPr>
                <w:sz w:val="1"/>
                <w:szCs w:val="1"/>
                <w:color w:val="auto"/>
              </w:rPr>
            </w:pPr>
          </w:p>
        </w:tc>
      </w:tr>
      <w:tr>
        <w:trPr>
          <w:trHeight w:val="165"/>
        </w:trPr>
        <w:tc>
          <w:tcPr>
            <w:tcW w:w="75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Treasury stock, at cost; 14,416 shares and 14,445 shares at June 30, 2025 and December 31, 2024,</w:t>
            </w:r>
          </w:p>
        </w:tc>
        <w:tc>
          <w:tcPr>
            <w:tcW w:w="2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(690,034)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(691,411)</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(27,571)</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430,549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939,915</w:t>
            </w:r>
          </w:p>
        </w:tc>
        <w:tc>
          <w:tcPr>
            <w:tcW w:w="0" w:type="dxa"/>
            <w:vAlign w:val="bottom"/>
          </w:tcPr>
          <w:p>
            <w:pPr>
              <w:spacing w:after="0"/>
              <w:rPr>
                <w:sz w:val="1"/>
                <w:szCs w:val="1"/>
                <w:color w:val="auto"/>
              </w:rPr>
            </w:pPr>
          </w:p>
        </w:tc>
      </w:tr>
      <w:tr>
        <w:trPr>
          <w:trHeight w:val="207"/>
        </w:trPr>
        <w:tc>
          <w:tcPr>
            <w:tcW w:w="75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1,038,661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1,545,280</w:t>
            </w:r>
          </w:p>
        </w:tc>
        <w:tc>
          <w:tcPr>
            <w:tcW w:w="0" w:type="dxa"/>
            <w:vAlign w:val="bottom"/>
          </w:tcPr>
          <w:p>
            <w:pPr>
              <w:spacing w:after="0"/>
              <w:rPr>
                <w:sz w:val="1"/>
                <w:szCs w:val="1"/>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3,667,905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4,037,424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60" w:type="dxa"/>
            <w:vAlign w:val="bottom"/>
            <w:tcBorders>
              <w:bottom w:val="single" w:sz="8" w:color="auto"/>
            </w:tcBorders>
          </w:tcPr>
          <w:p>
            <w:pPr>
              <w:spacing w:after="0"/>
              <w:rPr>
                <w:sz w:val="18"/>
                <w:szCs w:val="18"/>
                <w:color w:val="auto"/>
              </w:rPr>
            </w:pPr>
          </w:p>
        </w:tc>
      </w:tr>
      <w:tr>
        <w:trPr>
          <w:trHeight w:val="211"/>
        </w:trPr>
        <w:tc>
          <w:tcPr>
            <w:tcW w:w="78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r>
      <w:tr>
        <w:trPr>
          <w:trHeight w:val="19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(509,366)</w:t>
            </w:r>
          </w:p>
        </w:tc>
        <w:tc>
          <w:tcPr>
            <w:tcW w:w="12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(15,683)</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74,880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67,343</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511,365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12,144</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12,843</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 and expenses associated with debt refinancing</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lease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contingent consideration and others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10,111</w:t>
            </w: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Inventories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(17,278)</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(16,773)</w:t>
            </w: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non-current assets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9,521</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Contract liabilities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(6,023)</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operating activities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56,157</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(49,066)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(45,172)</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business acquisitions, net of cash acquired</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(281,994)</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Purchases of short term investments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(8,502)</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(48,997)</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(57,568)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(376,163)</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borrowings of long-term indebtedness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429,300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debt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(105,644)</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contingent considerations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(11,923)</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taxes paid in net equity settlement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14,238</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264,928</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17,207</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(28,461)</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(61,166)</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246,375</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276,402</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217,914</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215,236</w:t>
            </w: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SHAREHOLDERS'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2025</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p>
      <w:pPr>
        <w:spacing w:after="0" w:line="32" w:lineRule="exact"/>
        <w:rPr>
          <w:sz w:val="20"/>
          <w:szCs w:val="20"/>
          <w:color w:val="auto"/>
        </w:rPr>
      </w:pPr>
    </w:p>
    <w:p>
      <w:pPr>
        <w:ind w:left="20" w:right="540"/>
        <w:spacing w:after="0" w:line="245" w:lineRule="auto"/>
        <w:rPr>
          <w:sz w:val="20"/>
          <w:szCs w:val="20"/>
          <w:color w:val="auto"/>
        </w:rPr>
      </w:pPr>
      <w:r>
        <w:rPr>
          <w:rFonts w:ascii="Times New Roman" w:cs="Times New Roman" w:eastAsia="Times New Roman" w:hAnsi="Times New Roman"/>
          <w:sz w:val="16"/>
          <w:szCs w:val="16"/>
          <w:color w:val="auto"/>
        </w:rPr>
        <w:t>Issuance of common stock through employee stock purchase plan</w:t>
      </w:r>
    </w:p>
    <w:p>
      <w:pPr>
        <w:spacing w:after="0" w:line="2" w:lineRule="exact"/>
        <w:rPr>
          <w:sz w:val="20"/>
          <w:szCs w:val="20"/>
          <w:color w:val="auto"/>
        </w:rPr>
      </w:pPr>
    </w:p>
    <w:p>
      <w:pPr>
        <w:ind w:left="20" w:right="60"/>
        <w:spacing w:after="0" w:line="232" w:lineRule="auto"/>
        <w:rPr>
          <w:sz w:val="20"/>
          <w:szCs w:val="20"/>
          <w:color w:val="auto"/>
        </w:rPr>
      </w:pPr>
      <w:r>
        <w:rPr>
          <w:rFonts w:ascii="Times New Roman" w:cs="Times New Roman" w:eastAsia="Times New Roman" w:hAnsi="Times New Roman"/>
          <w:sz w:val="16"/>
          <w:szCs w:val="16"/>
          <w:color w:val="auto"/>
        </w:rPr>
        <w:t>Issuance of common stock for vesting of share based awards, net of shares withheld for taxes and forfeitures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Share-based compensation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2025</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p>
      <w:pPr>
        <w:spacing w:after="0" w:line="32" w:lineRule="exact"/>
        <w:rPr>
          <w:sz w:val="20"/>
          <w:szCs w:val="20"/>
          <w:color w:val="auto"/>
        </w:rPr>
      </w:pPr>
    </w:p>
    <w:p>
      <w:pPr>
        <w:ind w:left="20" w:right="60"/>
        <w:spacing w:after="0" w:line="232" w:lineRule="auto"/>
        <w:rPr>
          <w:sz w:val="20"/>
          <w:szCs w:val="20"/>
          <w:color w:val="auto"/>
        </w:rPr>
      </w:pPr>
      <w:r>
        <w:rPr>
          <w:rFonts w:ascii="Times New Roman" w:cs="Times New Roman" w:eastAsia="Times New Roman" w:hAnsi="Times New Roman"/>
          <w:sz w:val="16"/>
          <w:szCs w:val="16"/>
          <w:color w:val="auto"/>
        </w:rPr>
        <w:t>Issuance of common stock for vesting of share based awards, net of shares withheld for taxes and forfeitures</w:t>
      </w:r>
    </w:p>
    <w:p>
      <w:pPr>
        <w:spacing w:after="0" w:line="6" w:lineRule="exact"/>
        <w:rPr>
          <w:sz w:val="20"/>
          <w:szCs w:val="20"/>
          <w:color w:val="auto"/>
        </w:rPr>
      </w:pPr>
    </w:p>
    <w:p>
      <w:pPr>
        <w:ind w:left="20" w:right="1080"/>
        <w:spacing w:after="0" w:line="289" w:lineRule="auto"/>
        <w:rPr>
          <w:sz w:val="20"/>
          <w:szCs w:val="20"/>
          <w:color w:val="auto"/>
        </w:rPr>
      </w:pPr>
      <w:r>
        <w:rPr>
          <w:rFonts w:ascii="Times New Roman" w:cs="Times New Roman" w:eastAsia="Times New Roman" w:hAnsi="Times New Roman"/>
          <w:sz w:val="16"/>
          <w:szCs w:val="16"/>
          <w:color w:val="auto"/>
        </w:rPr>
        <w:t>Share-based compensation Other Adjustments</w:t>
      </w:r>
    </w:p>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Balance, January 1, 2024</w:t>
      </w:r>
    </w:p>
    <w:p>
      <w:pPr>
        <w:spacing w:after="0" w:line="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Net loss</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Other comprehensive income, net of tax</w:t>
      </w:r>
    </w:p>
    <w:p>
      <w:pPr>
        <w:spacing w:after="0" w:line="32" w:lineRule="exact"/>
        <w:rPr>
          <w:sz w:val="20"/>
          <w:szCs w:val="20"/>
          <w:color w:val="auto"/>
        </w:rPr>
      </w:pPr>
    </w:p>
    <w:p>
      <w:pPr>
        <w:ind w:left="80" w:right="500"/>
        <w:spacing w:after="0" w:line="245" w:lineRule="auto"/>
        <w:rPr>
          <w:sz w:val="20"/>
          <w:szCs w:val="20"/>
          <w:color w:val="auto"/>
        </w:rPr>
      </w:pPr>
      <w:r>
        <w:rPr>
          <w:rFonts w:ascii="Times New Roman" w:cs="Times New Roman" w:eastAsia="Times New Roman" w:hAnsi="Times New Roman"/>
          <w:sz w:val="16"/>
          <w:szCs w:val="16"/>
          <w:color w:val="auto"/>
        </w:rPr>
        <w:t>Issuance of common stock through employee stock purchase plan</w:t>
      </w:r>
    </w:p>
    <w:p>
      <w:pPr>
        <w:spacing w:after="0" w:line="2" w:lineRule="exact"/>
        <w:rPr>
          <w:sz w:val="20"/>
          <w:szCs w:val="20"/>
          <w:color w:val="auto"/>
        </w:rPr>
      </w:pPr>
    </w:p>
    <w:p>
      <w:pPr>
        <w:ind w:left="80"/>
        <w:spacing w:after="0" w:line="232" w:lineRule="auto"/>
        <w:rPr>
          <w:sz w:val="20"/>
          <w:szCs w:val="20"/>
          <w:color w:val="auto"/>
        </w:rPr>
      </w:pPr>
      <w:r>
        <w:rPr>
          <w:rFonts w:ascii="Times New Roman" w:cs="Times New Roman" w:eastAsia="Times New Roman" w:hAnsi="Times New Roman"/>
          <w:sz w:val="16"/>
          <w:szCs w:val="16"/>
          <w:color w:val="auto"/>
        </w:rPr>
        <w:t>Issuance of common stock for vesting of share based awards, net of shares withheld for taxes and forfeitures</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Share-based compensation</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Balance, March 31, 2024</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Net income</w:t>
      </w:r>
    </w:p>
    <w:p>
      <w:pPr>
        <w:spacing w:after="0" w:line="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Other comprehensive loss, net of tax</w:t>
      </w:r>
    </w:p>
    <w:p>
      <w:pPr>
        <w:spacing w:after="0" w:line="32" w:lineRule="exact"/>
        <w:rPr>
          <w:sz w:val="20"/>
          <w:szCs w:val="20"/>
          <w:color w:val="auto"/>
        </w:rPr>
      </w:pPr>
    </w:p>
    <w:p>
      <w:pPr>
        <w:ind w:left="80"/>
        <w:spacing w:after="0" w:line="232" w:lineRule="auto"/>
        <w:rPr>
          <w:sz w:val="20"/>
          <w:szCs w:val="20"/>
          <w:color w:val="auto"/>
        </w:rPr>
      </w:pPr>
      <w:r>
        <w:rPr>
          <w:rFonts w:ascii="Times New Roman" w:cs="Times New Roman" w:eastAsia="Times New Roman" w:hAnsi="Times New Roman"/>
          <w:sz w:val="16"/>
          <w:szCs w:val="16"/>
          <w:color w:val="auto"/>
        </w:rPr>
        <w:t>Issuance of common stock for vesting of share based awards, net of shares withheld for taxes and forfeitures</w:t>
      </w:r>
    </w:p>
    <w:p>
      <w:pPr>
        <w:spacing w:after="0" w:line="6" w:lineRule="exact"/>
        <w:rPr>
          <w:sz w:val="20"/>
          <w:szCs w:val="20"/>
          <w:color w:val="auto"/>
        </w:rPr>
      </w:pPr>
    </w:p>
    <w:p>
      <w:pPr>
        <w:ind w:left="80" w:right="720"/>
        <w:spacing w:after="0" w:line="289" w:lineRule="auto"/>
        <w:rPr>
          <w:sz w:val="20"/>
          <w:szCs w:val="20"/>
          <w:color w:val="auto"/>
        </w:rPr>
      </w:pPr>
      <w:r>
        <w:rPr>
          <w:rFonts w:ascii="Times New Roman" w:cs="Times New Roman" w:eastAsia="Times New Roman" w:hAnsi="Times New Roman"/>
          <w:sz w:val="16"/>
          <w:szCs w:val="16"/>
          <w:color w:val="auto"/>
        </w:rPr>
        <w:t>Share-based compensation Accelerated shares repurchased</w:t>
      </w:r>
    </w:p>
    <w:p>
      <w:pPr>
        <w:ind w:left="80"/>
        <w:spacing w:after="0"/>
        <w:rPr>
          <w:sz w:val="20"/>
          <w:szCs w:val="20"/>
          <w:color w:val="auto"/>
        </w:rPr>
      </w:pPr>
      <w:r>
        <w:rPr>
          <w:rFonts w:ascii="Times New Roman" w:cs="Times New Roman" w:eastAsia="Times New Roman" w:hAnsi="Times New Roman"/>
          <w:sz w:val="16"/>
          <w:szCs w:val="16"/>
          <w:b w:val="1"/>
          <w:bCs w:val="1"/>
          <w:color w:val="auto"/>
        </w:rPr>
        <w:t>Balance, June 30, 2024</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800" w:type="dxa"/>
            <w:vAlign w:val="bottom"/>
            <w:tcBorders>
              <w:top w:val="single" w:sz="8" w:color="auto"/>
            </w:tcBorders>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0" w:type="dxa"/>
            <w:vAlign w:val="bottom"/>
            <w:tcBorders>
              <w:top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0" w:type="dxa"/>
            <w:vAlign w:val="bottom"/>
            <w:gridSpan w:val="5"/>
            <w:vMerge w:val="continue"/>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92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14"/>
        </w:trPr>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3"/>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9"/>
                <w:szCs w:val="9"/>
                <w:color w:val="auto"/>
              </w:rPr>
            </w:pPr>
          </w:p>
        </w:tc>
        <w:tc>
          <w:tcPr>
            <w:tcW w:w="122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0" w:type="dxa"/>
            <w:vAlign w:val="bottom"/>
          </w:tcPr>
          <w:p>
            <w:pPr>
              <w:spacing w:after="0"/>
              <w:rPr>
                <w:sz w:val="9"/>
                <w:szCs w:val="9"/>
                <w:color w:val="auto"/>
              </w:rPr>
            </w:pPr>
          </w:p>
        </w:tc>
        <w:tc>
          <w:tcPr>
            <w:tcW w:w="104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8"/>
                <w:szCs w:val="18"/>
                <w:color w:val="auto"/>
              </w:rPr>
            </w:pP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91,609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916</w:t>
            </w:r>
          </w:p>
        </w:tc>
        <w:tc>
          <w:tcPr>
            <w:tcW w:w="80" w:type="dxa"/>
            <w:vAlign w:val="bottom"/>
          </w:tcPr>
          <w:p>
            <w:pPr>
              <w:spacing w:after="0"/>
              <w:rPr>
                <w:sz w:val="18"/>
                <w:szCs w:val="18"/>
                <w:color w:val="auto"/>
              </w:rPr>
            </w:pPr>
          </w:p>
        </w:tc>
        <w:tc>
          <w:tcPr>
            <w:tcW w:w="7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(14,445)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(691,411)</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1,323,431</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(27,571)</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939,915</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1,545,280</w:t>
            </w:r>
          </w:p>
        </w:tc>
        <w:tc>
          <w:tcPr>
            <w:tcW w:w="0" w:type="dxa"/>
            <w:vAlign w:val="bottom"/>
          </w:tcPr>
          <w:p>
            <w:pPr>
              <w:spacing w:after="0"/>
              <w:rPr>
                <w:sz w:val="1"/>
                <w:szCs w:val="1"/>
                <w:color w:val="auto"/>
              </w:rPr>
            </w:pPr>
          </w:p>
        </w:tc>
      </w:tr>
      <w:tr>
        <w:trPr>
          <w:trHeight w:val="214"/>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(25,293)</w:t>
            </w:r>
          </w:p>
        </w:tc>
        <w:tc>
          <w:tcPr>
            <w:tcW w:w="0" w:type="dxa"/>
            <w:vAlign w:val="bottom"/>
          </w:tcPr>
          <w:p>
            <w:pPr>
              <w:spacing w:after="0"/>
              <w:rPr>
                <w:sz w:val="1"/>
                <w:szCs w:val="1"/>
                <w:color w:val="auto"/>
              </w:rPr>
            </w:pPr>
          </w:p>
        </w:tc>
      </w:tr>
      <w:tr>
        <w:trPr>
          <w:trHeight w:val="216"/>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0" w:type="dxa"/>
            <w:vAlign w:val="bottom"/>
          </w:tcPr>
          <w:p>
            <w:pPr>
              <w:spacing w:after="0"/>
              <w:rPr>
                <w:sz w:val="1"/>
                <w:szCs w:val="1"/>
                <w:color w:val="auto"/>
              </w:rPr>
            </w:pPr>
          </w:p>
        </w:tc>
      </w:tr>
      <w:tr>
        <w:trPr>
          <w:trHeight w:val="297"/>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0" w:type="dxa"/>
            <w:vAlign w:val="bottom"/>
          </w:tcPr>
          <w:p>
            <w:pPr>
              <w:spacing w:after="0"/>
              <w:rPr>
                <w:sz w:val="1"/>
                <w:szCs w:val="1"/>
                <w:color w:val="auto"/>
              </w:rPr>
            </w:pPr>
          </w:p>
        </w:tc>
      </w:tr>
      <w:tr>
        <w:trPr>
          <w:trHeight w:val="459"/>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0" w:type="dxa"/>
            <w:vAlign w:val="bottom"/>
          </w:tcPr>
          <w:p>
            <w:pPr>
              <w:spacing w:after="0"/>
              <w:rPr>
                <w:sz w:val="1"/>
                <w:szCs w:val="1"/>
                <w:color w:val="auto"/>
              </w:rPr>
            </w:pPr>
          </w:p>
        </w:tc>
      </w:tr>
      <w:tr>
        <w:trPr>
          <w:trHeight w:val="381"/>
        </w:trPr>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0" w:type="dxa"/>
            <w:vAlign w:val="bottom"/>
          </w:tcPr>
          <w:p>
            <w:pPr>
              <w:spacing w:after="0"/>
              <w:rPr>
                <w:sz w:val="1"/>
                <w:szCs w:val="1"/>
                <w:color w:val="auto"/>
              </w:rPr>
            </w:pPr>
          </w:p>
        </w:tc>
      </w:tr>
      <w:tr>
        <w:trPr>
          <w:trHeight w:val="211"/>
        </w:trPr>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92,136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921</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(14,424)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(690,379)</w:t>
            </w:r>
          </w:p>
        </w:tc>
        <w:tc>
          <w:tcPr>
            <w:tcW w:w="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1,323,081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(24,106)</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914,622</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1,524,139</w:t>
            </w:r>
          </w:p>
        </w:tc>
        <w:tc>
          <w:tcPr>
            <w:tcW w:w="0" w:type="dxa"/>
            <w:vAlign w:val="bottom"/>
          </w:tcPr>
          <w:p>
            <w:pPr>
              <w:spacing w:after="0"/>
              <w:rPr>
                <w:sz w:val="1"/>
                <w:szCs w:val="1"/>
                <w:color w:val="auto"/>
              </w:rPr>
            </w:pPr>
          </w:p>
        </w:tc>
      </w:tr>
      <w:tr>
        <w:trPr>
          <w:trHeight w:val="22"/>
        </w:trPr>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(484,073)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(484,073)</w:t>
            </w:r>
          </w:p>
        </w:tc>
        <w:tc>
          <w:tcPr>
            <w:tcW w:w="0" w:type="dxa"/>
            <w:vAlign w:val="bottom"/>
          </w:tcPr>
          <w:p>
            <w:pPr>
              <w:spacing w:after="0"/>
              <w:rPr>
                <w:sz w:val="1"/>
                <w:szCs w:val="1"/>
                <w:color w:val="auto"/>
              </w:rPr>
            </w:pPr>
          </w:p>
        </w:tc>
      </w:tr>
      <w:tr>
        <w:trPr>
          <w:trHeight w:val="216"/>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0" w:type="dxa"/>
            <w:vAlign w:val="bottom"/>
          </w:tcPr>
          <w:p>
            <w:pPr>
              <w:spacing w:after="0"/>
              <w:rPr>
                <w:sz w:val="1"/>
                <w:szCs w:val="1"/>
                <w:color w:val="auto"/>
              </w:rPr>
            </w:pPr>
          </w:p>
        </w:tc>
      </w:tr>
      <w:tr>
        <w:trPr>
          <w:trHeight w:val="378"/>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378"/>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0" w:type="dxa"/>
            <w:vAlign w:val="bottom"/>
          </w:tcPr>
          <w:p>
            <w:pPr>
              <w:spacing w:after="0"/>
              <w:rPr>
                <w:sz w:val="1"/>
                <w:szCs w:val="1"/>
                <w:color w:val="auto"/>
              </w:rPr>
            </w:pPr>
          </w:p>
        </w:tc>
      </w:tr>
      <w:tr>
        <w:trPr>
          <w:trHeight w:val="219"/>
        </w:trPr>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11"/>
        </w:trPr>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92,337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923</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(14,416)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(690,034)</w:t>
            </w:r>
          </w:p>
        </w:tc>
        <w:tc>
          <w:tcPr>
            <w:tcW w:w="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1,328,130</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(30,907)</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430,549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1,038,661</w:t>
            </w:r>
          </w:p>
        </w:tc>
        <w:tc>
          <w:tcPr>
            <w:tcW w:w="0" w:type="dxa"/>
            <w:vAlign w:val="bottom"/>
          </w:tcPr>
          <w:p>
            <w:pPr>
              <w:spacing w:after="0"/>
              <w:rPr>
                <w:sz w:val="1"/>
                <w:szCs w:val="1"/>
                <w:color w:val="auto"/>
              </w:rPr>
            </w:pPr>
          </w:p>
        </w:tc>
      </w:tr>
      <w:tr>
        <w:trPr>
          <w:trHeight w:val="22"/>
        </w:trPr>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-2390775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-2108200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-1731010</wp:posOffset>
            </wp:positionV>
            <wp:extent cx="7132320"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-1250950</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-933450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-453390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-179070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33655</wp:posOffset>
            </wp:positionV>
            <wp:extent cx="5212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03"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18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8"/>
                <w:szCs w:val="18"/>
                <w:color w:val="auto"/>
              </w:rPr>
            </w:pPr>
          </w:p>
        </w:tc>
        <w:tc>
          <w:tcPr>
            <w:tcW w:w="94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70"/>
        </w:trPr>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3"/>
            <w:vMerge w:val="restart"/>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6"/>
                <w:szCs w:val="6"/>
                <w:color w:val="auto"/>
              </w:rPr>
            </w:pPr>
          </w:p>
        </w:tc>
        <w:tc>
          <w:tcPr>
            <w:tcW w:w="1260" w:type="dxa"/>
            <w:vAlign w:val="bottom"/>
            <w:gridSpan w:val="2"/>
          </w:tcPr>
          <w:p>
            <w:pPr>
              <w:jc w:val="center"/>
              <w:ind w:right="220"/>
              <w:spacing w:after="0" w:line="70"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00" w:type="dxa"/>
            <w:vAlign w:val="bottom"/>
          </w:tcPr>
          <w:p>
            <w:pPr>
              <w:spacing w:after="0"/>
              <w:rPr>
                <w:sz w:val="6"/>
                <w:szCs w:val="6"/>
                <w:color w:val="auto"/>
              </w:rPr>
            </w:pPr>
          </w:p>
        </w:tc>
        <w:tc>
          <w:tcPr>
            <w:tcW w:w="780" w:type="dxa"/>
            <w:vAlign w:val="bottom"/>
            <w:gridSpan w:val="2"/>
            <w:vMerge w:val="restart"/>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9"/>
                <w:szCs w:val="9"/>
                <w:color w:val="auto"/>
              </w:rPr>
            </w:pPr>
          </w:p>
        </w:tc>
        <w:tc>
          <w:tcPr>
            <w:tcW w:w="82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90,920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909</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(12,751)</w:t>
            </w:r>
          </w:p>
        </w:tc>
        <w:tc>
          <w:tcPr>
            <w:tcW w:w="8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(647,262)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1,302,484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(15,106)</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946,859</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1,587,884</w:t>
            </w:r>
          </w:p>
        </w:tc>
        <w:tc>
          <w:tcPr>
            <w:tcW w:w="0" w:type="dxa"/>
            <w:vAlign w:val="bottom"/>
          </w:tcPr>
          <w:p>
            <w:pPr>
              <w:spacing w:after="0"/>
              <w:rPr>
                <w:sz w:val="1"/>
                <w:szCs w:val="1"/>
                <w:color w:val="auto"/>
              </w:rPr>
            </w:pPr>
          </w:p>
        </w:tc>
      </w:tr>
      <w:tr>
        <w:trPr>
          <w:trHeight w:val="214"/>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0" w:type="dxa"/>
            <w:vAlign w:val="bottom"/>
          </w:tcPr>
          <w:p>
            <w:pPr>
              <w:spacing w:after="0"/>
              <w:rPr>
                <w:sz w:val="1"/>
                <w:szCs w:val="1"/>
                <w:color w:val="auto"/>
              </w:rPr>
            </w:pPr>
          </w:p>
        </w:tc>
      </w:tr>
      <w:tr>
        <w:trPr>
          <w:trHeight w:val="216"/>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w:t>
            </w:r>
          </w:p>
        </w:tc>
        <w:tc>
          <w:tcPr>
            <w:tcW w:w="0" w:type="dxa"/>
            <w:vAlign w:val="bottom"/>
          </w:tcPr>
          <w:p>
            <w:pPr>
              <w:spacing w:after="0"/>
              <w:rPr>
                <w:sz w:val="1"/>
                <w:szCs w:val="1"/>
                <w:color w:val="auto"/>
              </w:rPr>
            </w:pPr>
          </w:p>
        </w:tc>
      </w:tr>
      <w:tr>
        <w:trPr>
          <w:trHeight w:val="297"/>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459"/>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0" w:type="dxa"/>
            <w:vAlign w:val="bottom"/>
          </w:tcPr>
          <w:p>
            <w:pPr>
              <w:spacing w:after="0"/>
              <w:rPr>
                <w:sz w:val="1"/>
                <w:szCs w:val="1"/>
                <w:color w:val="auto"/>
              </w:rPr>
            </w:pPr>
          </w:p>
        </w:tc>
      </w:tr>
      <w:tr>
        <w:trPr>
          <w:trHeight w:val="381"/>
        </w:trPr>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5,608</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w:t>
            </w:r>
          </w:p>
        </w:tc>
        <w:tc>
          <w:tcPr>
            <w:tcW w:w="0" w:type="dxa"/>
            <w:vAlign w:val="bottom"/>
          </w:tcPr>
          <w:p>
            <w:pPr>
              <w:spacing w:after="0"/>
              <w:rPr>
                <w:sz w:val="1"/>
                <w:szCs w:val="1"/>
                <w:color w:val="auto"/>
              </w:rPr>
            </w:pPr>
          </w:p>
        </w:tc>
      </w:tr>
      <w:tr>
        <w:trPr>
          <w:trHeight w:val="211"/>
        </w:trPr>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91,484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915</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(12,735)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(646,422)</w:t>
            </w:r>
          </w:p>
        </w:tc>
        <w:tc>
          <w:tcPr>
            <w:tcW w:w="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1,310,527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(10,646)</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943,578</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1,597,952</w:t>
            </w:r>
          </w:p>
        </w:tc>
        <w:tc>
          <w:tcPr>
            <w:tcW w:w="0" w:type="dxa"/>
            <w:vAlign w:val="bottom"/>
          </w:tcPr>
          <w:p>
            <w:pPr>
              <w:spacing w:after="0"/>
              <w:rPr>
                <w:sz w:val="1"/>
                <w:szCs w:val="1"/>
                <w:color w:val="auto"/>
              </w:rPr>
            </w:pPr>
          </w:p>
        </w:tc>
      </w:tr>
      <w:tr>
        <w:trPr>
          <w:trHeight w:val="22"/>
        </w:trPr>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0" w:type="dxa"/>
            <w:vAlign w:val="bottom"/>
          </w:tcPr>
          <w:p>
            <w:pPr>
              <w:spacing w:after="0"/>
              <w:rPr>
                <w:sz w:val="1"/>
                <w:szCs w:val="1"/>
                <w:color w:val="auto"/>
              </w:rPr>
            </w:pPr>
          </w:p>
        </w:tc>
      </w:tr>
      <w:tr>
        <w:trPr>
          <w:trHeight w:val="216"/>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w:t>
            </w:r>
          </w:p>
        </w:tc>
        <w:tc>
          <w:tcPr>
            <w:tcW w:w="0" w:type="dxa"/>
            <w:vAlign w:val="bottom"/>
          </w:tcPr>
          <w:p>
            <w:pPr>
              <w:spacing w:after="0"/>
              <w:rPr>
                <w:sz w:val="1"/>
                <w:szCs w:val="1"/>
                <w:color w:val="auto"/>
              </w:rPr>
            </w:pPr>
          </w:p>
        </w:tc>
      </w:tr>
      <w:tr>
        <w:trPr>
          <w:trHeight w:val="378"/>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378"/>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7,305</w:t>
            </w:r>
          </w:p>
        </w:tc>
        <w:tc>
          <w:tcPr>
            <w:tcW w:w="0" w:type="dxa"/>
            <w:vAlign w:val="bottom"/>
          </w:tcPr>
          <w:p>
            <w:pPr>
              <w:spacing w:after="0"/>
              <w:rPr>
                <w:sz w:val="1"/>
                <w:szCs w:val="1"/>
                <w:color w:val="auto"/>
              </w:rPr>
            </w:pPr>
          </w:p>
        </w:tc>
      </w:tr>
      <w:tr>
        <w:trPr>
          <w:trHeight w:val="216"/>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(50,500)</w:t>
            </w:r>
          </w:p>
        </w:tc>
        <w:tc>
          <w:tcPr>
            <w:tcW w:w="0" w:type="dxa"/>
            <w:vAlign w:val="bottom"/>
          </w:tcPr>
          <w:p>
            <w:pPr>
              <w:spacing w:after="0"/>
              <w:rPr>
                <w:sz w:val="1"/>
                <w:szCs w:val="1"/>
                <w:color w:val="auto"/>
              </w:rPr>
            </w:pPr>
          </w:p>
        </w:tc>
      </w:tr>
      <w:tr>
        <w:trPr>
          <w:trHeight w:val="219"/>
        </w:trPr>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91,591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916</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(14,008)</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(680,753)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1,301,582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(18,726)</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931,176</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1,534,195</w:t>
            </w:r>
          </w:p>
        </w:tc>
        <w:tc>
          <w:tcPr>
            <w:tcW w:w="0" w:type="dxa"/>
            <w:vAlign w:val="bottom"/>
          </w:tcPr>
          <w:p>
            <w:pPr>
              <w:spacing w:after="0"/>
              <w:rPr>
                <w:sz w:val="1"/>
                <w:szCs w:val="1"/>
                <w:color w:val="auto"/>
              </w:rPr>
            </w:pPr>
          </w:p>
        </w:tc>
      </w:tr>
      <w:tr>
        <w:trPr>
          <w:trHeight w:val="24"/>
        </w:trPr>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-1776095</wp:posOffset>
            </wp:positionH>
            <wp:positionV relativeFrom="paragraph">
              <wp:posOffset>-2382520</wp:posOffset>
            </wp:positionV>
            <wp:extent cx="707199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71995" cy="146050"/>
                    </a:xfrm>
                    <a:prstGeom prst="rect">
                      <a:avLst/>
                    </a:prstGeom>
                    <a:noFill/>
                  </pic:spPr>
                </pic:pic>
              </a:graphicData>
            </a:graphic>
          </wp:anchor>
        </w:drawing>
        <w:drawing>
          <wp:anchor simplePos="0" relativeHeight="251657728" behindDoc="1" locked="0" layoutInCell="0" allowOverlap="1">
            <wp:simplePos x="0" y="0"/>
            <wp:positionH relativeFrom="column">
              <wp:posOffset>-1776095</wp:posOffset>
            </wp:positionH>
            <wp:positionV relativeFrom="paragraph">
              <wp:posOffset>-2099945</wp:posOffset>
            </wp:positionV>
            <wp:extent cx="707199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-1776095</wp:posOffset>
            </wp:positionH>
            <wp:positionV relativeFrom="paragraph">
              <wp:posOffset>-1722120</wp:posOffset>
            </wp:positionV>
            <wp:extent cx="7071995"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342900"/>
                    </a:xfrm>
                    <a:prstGeom prst="rect">
                      <a:avLst/>
                    </a:prstGeom>
                    <a:noFill/>
                  </pic:spPr>
                </pic:pic>
              </a:graphicData>
            </a:graphic>
          </wp:anchor>
        </w:drawing>
        <w:drawing>
          <wp:anchor simplePos="0" relativeHeight="251657728" behindDoc="1" locked="0" layoutInCell="0" allowOverlap="1">
            <wp:simplePos x="0" y="0"/>
            <wp:positionH relativeFrom="column">
              <wp:posOffset>-1776095</wp:posOffset>
            </wp:positionH>
            <wp:positionV relativeFrom="paragraph">
              <wp:posOffset>-1242695</wp:posOffset>
            </wp:positionV>
            <wp:extent cx="707199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71995" cy="163195"/>
                    </a:xfrm>
                    <a:prstGeom prst="rect">
                      <a:avLst/>
                    </a:prstGeom>
                    <a:noFill/>
                  </pic:spPr>
                </pic:pic>
              </a:graphicData>
            </a:graphic>
          </wp:anchor>
        </w:drawing>
        <w:drawing>
          <wp:anchor simplePos="0" relativeHeight="251657728" behindDoc="1" locked="0" layoutInCell="0" allowOverlap="1">
            <wp:simplePos x="0" y="0"/>
            <wp:positionH relativeFrom="column">
              <wp:posOffset>-1776095</wp:posOffset>
            </wp:positionH>
            <wp:positionV relativeFrom="paragraph">
              <wp:posOffset>-925195</wp:posOffset>
            </wp:positionV>
            <wp:extent cx="70719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-1776095</wp:posOffset>
            </wp:positionH>
            <wp:positionV relativeFrom="paragraph">
              <wp:posOffset>-445135</wp:posOffset>
            </wp:positionV>
            <wp:extent cx="707199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-1776095</wp:posOffset>
            </wp:positionH>
            <wp:positionV relativeFrom="paragraph">
              <wp:posOffset>-170815</wp:posOffset>
            </wp:positionV>
            <wp:extent cx="70719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20"/>
            <w:col w:w="8380"/>
          </w:cols>
          <w:pgMar w:left="320" w:top="121" w:right="3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“we,” “our,” “us,” “Company” and “Integra” refer to Integra LifeSciences Holdings Corporation, a Delaware corporation, and its subsidiaries unless the context suggests otherwise.</w:t>
      </w:r>
    </w:p>
    <w:p>
      <w:pPr>
        <w:spacing w:after="0" w:line="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the opinion of management, the June 30, 2025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for the periods presented. Certain information and footnote disclosures normally included in financial statements prepared in accordance with generally accepted accounting principles in the United States (“GAAP”)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2024 included in the Company’s Annual Report on Form 10-K. The consolidated balance sheet as of December 31, 2024 was derived from audited financial statements, but does not include all disclosures required by GAAP. Operating results for the three and six-month period ended June 30, 2025 are not necessarily indicative of the results to be expected for the entire year.</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is in conformity with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unaudited condensed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enhances the transparency of income tax disclosures by expanding annual disclosure requirements related to the rate reconciliation and income taxes paid. The amendments are effective for fiscal years beginning after December 15, 2024. The amendments should be applied on a prospective basis. Retrospective application to all prior periods presented in the financial statements is permitted. The Company will adopt ASU 2023-09 for the annual period ending on December 31, 2025. The Company is currently evaluating the impact that the adoption of this guidance will have on its disclosures.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and in January 2025, the FASB issued ASU 2025-01,</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18"/>
          <w:szCs w:val="18"/>
          <w:color w:val="auto"/>
        </w:rPr>
        <w:t>(“ASU 2025-01”). 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that the adoption of this guidance will have on the Company's disclosures.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other recently issued accounting pronouncements that are expected to have any significant effect on the Company’s financial position, results of operations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cash and cash equivalents, primarily consisting of cash on-hand, as well as time deposits with original maturities of three months or less and money market funds, which are highly liquid and readily convertible to cash, totaling approximately $217.9 million and $246.4 million at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had short term investments, primarily consisting of time deposits with original maturities between three months and one year, totaling approximately $35.7 million and $27.2 million at June 30, 2025 and December 31, 2024, respectively. The short term investments are valued based on Level 1 measurements in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assuming that the Company will continue as a going concern, which contemplates the realization of assets and satisfaction of liabilities in the normal course of business. Management evaluated whether there are any conditions and events, considered in the aggregate, that raise substantial doubt about the Company’s ability to continue as a going concern over the next twelve months from the issuance of the accompanying unaudited condensed consolidated financial statements.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global operations are subject to risks associated with international trade policies, and we continue to closely monitor developments in trade relations and policy, including proposed and enacted tariffs. Recent tariff changes imposed by the U.S. and the reciprocal measures enacted by China will have a significant adverse impact on the Company’s future costs of revenue, which will impact its results of operations. The Company anticipates that some of its suppliers will incur incremental tariff-related costs, which may be passed on to the Company. The extent and duration of the tariffs and the resulting impact on general economic conditions and on the business are uncertain and are expected to be impacted by various factors, such as negotiations between the U.S. and affected countries, the responses of other countries or regions, exemptions or exclusions that already exist or may be granted, availability and cost of alternative sources of the products and materials, and the Company’s ability to offset the effects of any tariffs that might be imposed.</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Compliance with the financial covenants contained in the Seventh Amended and Restated Credit Agreement (the “Senior Credit Facility”) (as discussed in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8"/>
          <w:szCs w:val="18"/>
          <w:color w:val="auto"/>
        </w:rPr>
        <w:t>) is measured quarterly and failure to meet the covenant requirements would constitute an event of default under the Senior Credit Facility.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response to the risks and uncertainties surrounding the Company’s future results of operations due to tariffs, the Company has taken actions to maintain compliance with its financial covenants by reducing expenses and entering into an amendment to the Senior Credit Facility in June 2025 (the “June 2025 Amendment”) to modify its financial covenants from the date of the amendment through the fiscal quarter ending December 31, 2026. As of June 30, 2025, the Company was in compliance with the financial covenants in the Senior Credit Facility and expects to remain in compliance over the next twelve months.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termination benefits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does not have a written severance plan but has a history of providing benefits for employees in the case of involuntary termination. In situations outside the U.S., there are minimum statutory termination benefits requirements by country that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situations where the Company pays out termination benefits in excess of statutory minimum amounts based on management’s discretion, the Company records these termination costs once communication is made to the affected employees.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over the future service period. Otherwise, charges are recognized when management has approved a specific plan and employee communication requirements have been met.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employee termination costs on restructuring activities in the consolidated statement of operations for the six months ended June 30, 2025 and 2024. The following table summarizes the activity in the restructuring related accrual balances included within accrued expenses and other current liabilities in the consolidated balance sheet for the six months ended June 30, 2025 and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360" w:type="dxa"/>
            <w:vAlign w:val="bottom"/>
            <w:tcBorders>
              <w:bottom w:val="single" w:sz="8" w:color="auto"/>
            </w:tcBorders>
          </w:tcPr>
          <w:p>
            <w:pPr>
              <w:spacing w:after="0"/>
              <w:rPr>
                <w:sz w:val="18"/>
                <w:szCs w:val="18"/>
                <w:color w:val="auto"/>
              </w:rPr>
            </w:pPr>
          </w:p>
        </w:tc>
      </w:tr>
      <w:tr>
        <w:trPr>
          <w:trHeight w:val="211"/>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the year</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Goods Sold</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Payments and other adjustments</w:t>
            </w: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(4,159)</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w:t>
            </w:r>
          </w:p>
        </w:tc>
      </w:tr>
      <w:tr>
        <w:trPr>
          <w:trHeight w:val="237"/>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7920" w:firstLine="8"/>
        <w:spacing w:after="0" w:line="362" w:lineRule="auto"/>
        <w:tabs>
          <w:tab w:leader="none" w:pos="17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ACQUISITIONS AND DIVESTITURES </w:t>
      </w:r>
      <w:r>
        <w:rPr>
          <w:rFonts w:ascii="Times New Roman" w:cs="Times New Roman" w:eastAsia="Times New Roman" w:hAnsi="Times New Roman"/>
          <w:sz w:val="18"/>
          <w:szCs w:val="18"/>
          <w:b w:val="1"/>
          <w:bCs w:val="1"/>
          <w:i w:val="1"/>
          <w:iCs w:val="1"/>
          <w:color w:val="auto"/>
        </w:rPr>
        <w:t>Acquisition of Durepair®</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 2024, the Company completed the acquisition of the product rights for Durepair Regeneration Matrix (“Durepair”), a non-synthetic dura substitute for repair of the dura mater during neurosurgical procedures, from Medtronic plc for total consideration of $45.0 million. The Company made a cash payment of $10.0 million upon the closing of the acquisition and will make additional cash payments of $15.0 million upon the first anniversary of the acquisition and $20.0 million upon the second anniversary of the acquisition. The additional cash payments to be paid in October 2025 and October 2026 were included at their present values in accrued expenses and other current liabilities and other liabilities, respectively, as of June 30, 2025.</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acquisition of the product rights for Durepair, which consist of certain patents and trademarks, regulatory approvals, and other records, has been accounted for as an asset acquisition in accordance with FASB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as the acquisition does not include an assembled workforce and substantially all of the fair value of the assets acquired is concentrated in a single identifiable intangible asset.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Acclarent, Inc.</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2024, the Company completed the acquisition of all of the outstanding capital stock of Acclarent, Inc. (“Acclarent”), a developer and marketer of medical devices used in ear, nose, throat (“ENT”) procedures, from Ethicon, Inc., a subsidiary of Johnson &amp; Johnson, for approximately $282.0 million in cash, subject to customary adjustments set forth in the purchase agreement related to working capital balances transferred to the Company. In the second half of 2024, the Company finalized and settled the working capital adjustment in the amount of $4.2 million, which resulted in a reduction to goodwill and also recognized a measurement period adjustment to recognize deferred tax liabilities of $1.1 million with a corresponding increase to goodwill as a result of a change to the estimated deferred tax rate applied and the book-to-tax difference associated with fixed assets acquired.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addition of Acclarent’s ENT product portfolio, including sinus balloon dilation, eustachian tube balloon dilation, and surgical navigation systems technologies, and dedicated salesforce will enhance the Company’s position in the ENT specialty device market. Acclarent’s results of operations have been reported in the Company’s Codman Specialty Surgical reportable segment from the date of acquisition.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Acquired and Liabilities Assumed at Fair Value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Acclarent acquisition has been accounted for using the acquisition method of accounting in accordance with ASC 805. This method requires that assets acquired and liabilities assumed in a business combination are recognized at their fair values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at the acquisition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3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Trade accounts receivable, net of allowances of $3,885</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 net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20,294</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r>
      <w:tr>
        <w:trPr>
          <w:trHeight w:val="20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2"/>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Completed technology</w:t>
            </w:r>
          </w:p>
        </w:tc>
        <w:tc>
          <w:tcPr>
            <w:tcW w:w="20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 years</w:t>
            </w:r>
          </w:p>
        </w:tc>
      </w:tr>
      <w:tr>
        <w:trPr>
          <w:trHeight w:val="229"/>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Trademarks/brand names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30"/>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 other</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 years</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62,482</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344,841</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8"/>
        </w:trPr>
        <w:tc>
          <w:tcPr>
            <w:tcW w:w="7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2"/>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trade</w:t>
            </w:r>
          </w:p>
        </w:tc>
        <w:tc>
          <w:tcPr>
            <w:tcW w:w="20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30"/>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lease liability - operating leases</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7"/>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11,653</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54,753</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1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67,030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7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33"/>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acquired</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277,811</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trade accounts receivable, prepaid expenses, other current assets, accounts payable, contract liabilities, accrued compensation, accrued expenses and other current liabilities, as well as certain other current and non-current assets and liabilities, generally represented the fair value at the date of acquisition.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estimated fair value of the intangible assets acquired was determined using the multi-period, excess earnings method of the income approach, which estimates value based on the present value of future economic benefits attributable to the intangible assets. The significant assumptions used in developing the valuation included the estimated annual net cash flows including application of revenue growth rates, cost of sales, the discount rate that appropriately reflects the risk inherent in each future cash flow stream, obsolescence rate, and an assessment of the asset’s life cycle, as well as other factors. The assumptions used in the financial forecasts were based on historical data, supplemented by current and anticipated growth rates, management plans, and market-comparable information. Fair value determinations require considerable judgment and are sensitive to changes in underlying assumptions and factors. The intangible assets acquired have a weighted average useful life of 11 years.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used a discount rate of 12.2%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Goodwill is the excess of the consideration transferred over the net assets recognized and represents the expected synergies of the combined company and assembled workforce. Goodwill has been allocated to the Codman Specialty Surgical segment, as shown in </w:t>
      </w:r>
      <w:r>
        <w:rPr>
          <w:rFonts w:ascii="Times New Roman" w:cs="Times New Roman" w:eastAsia="Times New Roman" w:hAnsi="Times New Roman"/>
          <w:sz w:val="18"/>
          <w:szCs w:val="18"/>
          <w:i w:val="1"/>
          <w:iCs w:val="1"/>
          <w:color w:val="auto"/>
        </w:rPr>
        <w:t>Note 5. Goodwill and Other Intangible Assets</w:t>
      </w:r>
      <w:r>
        <w:rPr>
          <w:rFonts w:ascii="Times New Roman" w:cs="Times New Roman" w:eastAsia="Times New Roman" w:hAnsi="Times New Roman"/>
          <w:sz w:val="18"/>
          <w:szCs w:val="18"/>
          <w:color w:val="auto"/>
        </w:rPr>
        <w:t>. Goodwill recognized as a result of this acquisition is non-deductible for income tax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Liabilities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Accounting Policies on Revenue Recognition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90 days.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 Upon invoicing to the customer, the balance is recorded in trade receivable, net in the consolidated balance sheet.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contract asset and liability balances for the six months ended June 30,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50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908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Contract Asset</w:t>
            </w:r>
          </w:p>
        </w:tc>
        <w:tc>
          <w:tcPr>
            <w:tcW w:w="5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90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Contract asset, January 1, 2025</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w:t>
            </w:r>
          </w:p>
        </w:tc>
      </w:tr>
      <w:tr>
        <w:trPr>
          <w:trHeight w:val="219"/>
        </w:trPr>
        <w:tc>
          <w:tcPr>
            <w:tcW w:w="20" w:type="dxa"/>
            <w:vAlign w:val="bottom"/>
            <w:shd w:val="clear" w:color="auto" w:fill="CCEEFF"/>
          </w:tcPr>
          <w:p>
            <w:pPr>
              <w:spacing w:after="0"/>
              <w:rPr>
                <w:sz w:val="19"/>
                <w:szCs w:val="19"/>
                <w:color w:val="auto"/>
              </w:rPr>
            </w:pPr>
          </w:p>
        </w:tc>
        <w:tc>
          <w:tcPr>
            <w:tcW w:w="90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Transferred to trade receivables from contract asset included in beginning of the year contract asset</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w:t>
            </w:r>
          </w:p>
        </w:tc>
      </w:tr>
      <w:tr>
        <w:trPr>
          <w:trHeight w:val="213"/>
        </w:trPr>
        <w:tc>
          <w:tcPr>
            <w:tcW w:w="20" w:type="dxa"/>
            <w:vAlign w:val="bottom"/>
          </w:tcPr>
          <w:p>
            <w:pPr>
              <w:spacing w:after="0"/>
              <w:rPr>
                <w:sz w:val="18"/>
                <w:szCs w:val="18"/>
                <w:color w:val="auto"/>
              </w:rPr>
            </w:pPr>
          </w:p>
        </w:tc>
        <w:tc>
          <w:tcPr>
            <w:tcW w:w="90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Contract asset, net of transferred to trade receivables on contracts during the period</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3,491</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90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asset, June 30, 2025</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908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Contract Liability</w:t>
            </w:r>
          </w:p>
        </w:tc>
        <w:tc>
          <w:tcPr>
            <w:tcW w:w="5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90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Contract liability, January 1, 2025</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19,669</w:t>
            </w:r>
          </w:p>
        </w:tc>
      </w:tr>
      <w:tr>
        <w:trPr>
          <w:trHeight w:val="219"/>
        </w:trPr>
        <w:tc>
          <w:tcPr>
            <w:tcW w:w="20" w:type="dxa"/>
            <w:vAlign w:val="bottom"/>
            <w:shd w:val="clear" w:color="auto" w:fill="CCEEFF"/>
          </w:tcPr>
          <w:p>
            <w:pPr>
              <w:spacing w:after="0"/>
              <w:rPr>
                <w:sz w:val="19"/>
                <w:szCs w:val="19"/>
                <w:color w:val="auto"/>
              </w:rPr>
            </w:pPr>
          </w:p>
        </w:tc>
        <w:tc>
          <w:tcPr>
            <w:tcW w:w="90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Recognition of revenue included in beginning of year contract liability</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(6,573)</w:t>
            </w:r>
          </w:p>
        </w:tc>
      </w:tr>
      <w:tr>
        <w:trPr>
          <w:trHeight w:val="213"/>
        </w:trPr>
        <w:tc>
          <w:tcPr>
            <w:tcW w:w="20" w:type="dxa"/>
            <w:vAlign w:val="bottom"/>
          </w:tcPr>
          <w:p>
            <w:pPr>
              <w:spacing w:after="0"/>
              <w:rPr>
                <w:sz w:val="18"/>
                <w:szCs w:val="18"/>
                <w:color w:val="auto"/>
              </w:rPr>
            </w:pPr>
          </w:p>
        </w:tc>
        <w:tc>
          <w:tcPr>
            <w:tcW w:w="90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Contract liability, net of revenue recognized on contracts during the period</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8,828</w:t>
            </w:r>
          </w:p>
        </w:tc>
      </w:tr>
      <w:tr>
        <w:trPr>
          <w:trHeight w:val="219"/>
        </w:trPr>
        <w:tc>
          <w:tcPr>
            <w:tcW w:w="20" w:type="dxa"/>
            <w:vAlign w:val="bottom"/>
            <w:shd w:val="clear" w:color="auto" w:fill="CCEEFF"/>
          </w:tcPr>
          <w:p>
            <w:pPr>
              <w:spacing w:after="0"/>
              <w:rPr>
                <w:sz w:val="19"/>
                <w:szCs w:val="19"/>
                <w:color w:val="auto"/>
              </w:rPr>
            </w:pPr>
          </w:p>
        </w:tc>
        <w:tc>
          <w:tcPr>
            <w:tcW w:w="90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6"/>
        </w:trPr>
        <w:tc>
          <w:tcPr>
            <w:tcW w:w="20" w:type="dxa"/>
            <w:vAlign w:val="bottom"/>
          </w:tcPr>
          <w:p>
            <w:pPr>
              <w:spacing w:after="0"/>
              <w:rPr>
                <w:sz w:val="18"/>
                <w:szCs w:val="18"/>
                <w:color w:val="auto"/>
              </w:rPr>
            </w:pPr>
          </w:p>
        </w:tc>
        <w:tc>
          <w:tcPr>
            <w:tcW w:w="90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Contract liability, June 30, 2025</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22,056</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the short-term portion of the contract liability of $11.1 million and the long-term portion of $11.0 million are included in current liabilities and other liabilities, respectively, in the consolidated balance sheet.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Company is expected to recognize revenue of approximately 50% of unsatisfied or partially unsatisfied performance obligations as revenue within 12 months, with the remaining balance to be recognized thereafter.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Fees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Collected from Customers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revenues disaggregated by the major sources of revenues for the three and six months ended June 30, 2025 and 2024 (dollar amounts in thousands):</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80" w:type="dxa"/>
            <w:vAlign w:val="bottom"/>
          </w:tcPr>
          <w:p>
            <w:pPr>
              <w:spacing w:after="0"/>
              <w:rPr>
                <w:sz w:val="13"/>
                <w:szCs w:val="13"/>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00" w:type="dxa"/>
            <w:vAlign w:val="bottom"/>
          </w:tcPr>
          <w:p>
            <w:pPr>
              <w:spacing w:after="0"/>
              <w:rPr>
                <w:sz w:val="13"/>
                <w:szCs w:val="13"/>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3"/>
                <w:szCs w:val="13"/>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5"/>
        </w:trPr>
        <w:tc>
          <w:tcPr>
            <w:tcW w:w="29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Neurosurgery</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208,992</w:t>
            </w:r>
          </w:p>
        </w:tc>
        <w:tc>
          <w:tcPr>
            <w:tcW w:w="80" w:type="dxa"/>
            <w:vAlign w:val="bottom"/>
          </w:tcPr>
          <w:p>
            <w:pPr>
              <w:spacing w:after="0"/>
              <w:rPr>
                <w:sz w:val="18"/>
                <w:szCs w:val="18"/>
                <w:color w:val="auto"/>
              </w:rPr>
            </w:pPr>
          </w:p>
        </w:tc>
        <w:tc>
          <w:tcPr>
            <w:tcW w:w="3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205,502</w:t>
            </w:r>
          </w:p>
        </w:tc>
        <w:tc>
          <w:tcPr>
            <w:tcW w:w="100" w:type="dxa"/>
            <w:vAlign w:val="bottom"/>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399,904</w:t>
            </w:r>
          </w:p>
        </w:tc>
        <w:tc>
          <w:tcPr>
            <w:tcW w:w="100" w:type="dxa"/>
            <w:vAlign w:val="bottom"/>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53,080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ENT</w:t>
            </w:r>
          </w:p>
        </w:tc>
        <w:tc>
          <w:tcPr>
            <w:tcW w:w="3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41,886</w:t>
            </w:r>
          </w:p>
        </w:tc>
        <w:tc>
          <w:tcPr>
            <w:tcW w:w="80" w:type="dxa"/>
            <w:vAlign w:val="bottom"/>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41,722</w:t>
            </w:r>
          </w:p>
        </w:tc>
        <w:tc>
          <w:tcPr>
            <w:tcW w:w="100" w:type="dxa"/>
            <w:vAlign w:val="bottom"/>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80,688</w:t>
            </w:r>
          </w:p>
        </w:tc>
        <w:tc>
          <w:tcPr>
            <w:tcW w:w="100" w:type="dxa"/>
            <w:vAlign w:val="bottom"/>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Codman Specialty Surgical</w:t>
            </w: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303,958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301,761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584,622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558,195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Wound Reconstruction and Care</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84,747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Private Label</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26,900</w:t>
            </w:r>
          </w:p>
        </w:tc>
        <w:tc>
          <w:tcPr>
            <w:tcW w:w="8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28,719</w:t>
            </w:r>
          </w:p>
        </w:tc>
        <w:tc>
          <w:tcPr>
            <w:tcW w:w="10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54,110</w:t>
            </w:r>
          </w:p>
        </w:tc>
        <w:tc>
          <w:tcPr>
            <w:tcW w:w="10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Tissue Technologies</w:t>
            </w: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111,647</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116,414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213,636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415,605</w:t>
            </w:r>
          </w:p>
        </w:tc>
        <w:tc>
          <w:tcPr>
            <w:tcW w:w="80" w:type="dxa"/>
            <w:vAlign w:val="bottom"/>
          </w:tcPr>
          <w:p>
            <w:pPr>
              <w:spacing w:after="0"/>
              <w:rPr>
                <w:sz w:val="20"/>
                <w:szCs w:val="20"/>
                <w:color w:val="auto"/>
              </w:rPr>
            </w:pPr>
          </w:p>
        </w:tc>
        <w:tc>
          <w:tcPr>
            <w:tcW w:w="38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418,175</w:t>
            </w:r>
          </w:p>
        </w:tc>
        <w:tc>
          <w:tcPr>
            <w:tcW w:w="100" w:type="dxa"/>
            <w:vAlign w:val="bottom"/>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798,258</w:t>
            </w:r>
          </w:p>
        </w:tc>
        <w:tc>
          <w:tcPr>
            <w:tcW w:w="100" w:type="dxa"/>
            <w:vAlign w:val="bottom"/>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787,047</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67276"/>
              </w:rPr>
              <w:t>.</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15. Segment and Geographic Information</w:t>
      </w:r>
      <w:r>
        <w:rPr>
          <w:rFonts w:ascii="Times New Roman" w:cs="Times New Roman" w:eastAsia="Times New Roman" w:hAnsi="Times New Roman"/>
          <w:sz w:val="18"/>
          <w:szCs w:val="18"/>
          <w:color w:val="auto"/>
        </w:rPr>
        <w:t>, for details of revenues based on the location of the customer.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235,802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223,729</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79,423</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125,938</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465,127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429,090</w:t>
            </w: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six-month period ended June 30, 2025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Codman Specialty</w:t>
            </w:r>
          </w:p>
        </w:tc>
        <w:tc>
          <w:tcPr>
            <w:tcW w:w="100" w:type="dxa"/>
            <w:vAlign w:val="bottom"/>
          </w:tcPr>
          <w:p>
            <w:pPr>
              <w:spacing w:after="0"/>
              <w:rPr>
                <w:sz w:val="16"/>
                <w:szCs w:val="16"/>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Tissue Technologies</w:t>
            </w:r>
          </w:p>
        </w:tc>
        <w:tc>
          <w:tcPr>
            <w:tcW w:w="360" w:type="dxa"/>
            <w:vAlign w:val="bottom"/>
          </w:tcPr>
          <w:p>
            <w:pPr>
              <w:spacing w:after="0"/>
              <w:rPr>
                <w:sz w:val="16"/>
                <w:szCs w:val="16"/>
                <w:color w:val="auto"/>
              </w:rPr>
            </w:pPr>
          </w:p>
        </w:tc>
        <w:tc>
          <w:tcPr>
            <w:tcW w:w="122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Surgical</w:t>
            </w:r>
          </w:p>
        </w:tc>
        <w:tc>
          <w:tcPr>
            <w:tcW w:w="10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715,730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1,096,952</w:t>
            </w:r>
          </w:p>
        </w:tc>
        <w:tc>
          <w:tcPr>
            <w:tcW w:w="0" w:type="dxa"/>
            <w:vAlign w:val="bottom"/>
          </w:tcPr>
          <w:p>
            <w:pPr>
              <w:spacing w:after="0"/>
              <w:rPr>
                <w:sz w:val="1"/>
                <w:szCs w:val="1"/>
                <w:color w:val="auto"/>
              </w:rPr>
            </w:pPr>
          </w:p>
        </w:tc>
      </w:tr>
      <w:tr>
        <w:trPr>
          <w:trHeight w:val="21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(511,365)</w:t>
            </w:r>
          </w:p>
        </w:tc>
        <w:tc>
          <w:tcPr>
            <w:tcW w:w="0" w:type="dxa"/>
            <w:vAlign w:val="bottom"/>
          </w:tcPr>
          <w:p>
            <w:pPr>
              <w:spacing w:after="0"/>
              <w:rPr>
                <w:sz w:val="1"/>
                <w:szCs w:val="1"/>
                <w:color w:val="auto"/>
              </w:rPr>
            </w:pPr>
          </w:p>
        </w:tc>
      </w:tr>
      <w:tr>
        <w:trPr>
          <w:trHeight w:val="21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30,840</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at June 30,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344,878</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271,549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616,427</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350”), goodwill is not subject to amortization but is tested for impairment at the reporting unit level annually in the third quarter. Additionally, the Company may perform interim tests of goodwill for impairment if an event occurs or circumstances change that could potentially reduce the fair value of a reporting unit below its carrying amount. The carrying value of each reporting unit is determined by assigning the assets and liabilities, including the existing goodwill and intangible assets, to those reporting units. An impairment loss is recognized when the reporting unit’s carrying amount exceeds its estimated fair value.</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 The quantitative test uses a combination of both an income approach and a market approach to determine the fair value of the reporting unit. The income approach utilizes the estimated discounted cash flows for the reporting unit, while the market approach utilizes comparable publicly-traded companies’ revenue and earnings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before interest, taxes, depreciation, and amortization (“EBITDA”) multiples. Estimates and assumptions used in the income approach to calculate projected future discounted cash flows included revenue growth rates, cost of sales, terminal growth rates, and a discount rate for each reporting unit. Discount rates are determined using a weighted average cost of capital for risk factors specific to each reporting unit and other market and industry data. The assumptions used are inherently subject to uncertainty and slight changes in these assumptions could have a significant impact on the concluded value. The estimates and assumptions applied represent a Level 3 measurement in the fair value hierarchy. Level 3 inputs are supported by limited or no market activity and reflect the Company’s assumptions in measuring fair value.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second quarter of 2025 the Company performed a quantitative assessment of its Tissue Technologies, Neurosurgery, and Instruments and ENT reporting units in accordance with ASC 350 due to the decrease in the price per share of the Company’s common stock related to a number of factors including recent tariff changes that have created broad economic uncertainty and the impact of quality, operational, and supply issues. The Company recognized an aggregate charge of $511.4 million in goodwill impairment expense in the consolidated statement of operations. The quantitative test for the Tissue Technologies reporting unit utilized a terminal growth rate of 2.5% and a discount rate of 13.5% in the income approach. The Company determined, after performing the quantitative analysis, that the fair value of the Tissue Technologies reporting unit was less than its carrying amount and recognized an impairment of $123.3 million. The quantitative test for the Neurosurgery reporting unit utilized a terminal growth rate of 2.5% and a discount rate of 13.5% in the income approach. The Company determined, after performing the quantitative analysis, that the fair value of the Neurosurgery reporting unit was less than its carrying amount and recognized an impairment of $249.0 million. The quantitative test for the Instruments and ENT reporting unit utilized a terminal growth rate of 2.5% and a discount rate of 12.0% in the income approach. The Company determined, after performing the quantitative analysis, that the fair value of the Instruments and ENT reporting unit was less than its carrying amount and recognized an impairment of $139.1 million.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any goodwill impairment charges during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identifiable intangible assets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7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560" w:type="dxa"/>
            <w:vAlign w:val="bottom"/>
            <w:gridSpan w:val="2"/>
          </w:tcPr>
          <w:p>
            <w:pPr>
              <w:ind w:left="38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320" w:type="dxa"/>
            <w:vAlign w:val="bottom"/>
          </w:tcPr>
          <w:p>
            <w:pPr>
              <w:spacing w:after="0"/>
              <w:rPr>
                <w:sz w:val="14"/>
                <w:szCs w:val="14"/>
                <w:color w:val="auto"/>
              </w:rPr>
            </w:pPr>
          </w:p>
        </w:tc>
        <w:tc>
          <w:tcPr>
            <w:tcW w:w="12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020" w:type="dxa"/>
            <w:vAlign w:val="bottom"/>
            <w:gridSpan w:val="2"/>
            <w:vMerge w:val="continue"/>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Life</w:t>
            </w:r>
          </w:p>
        </w:tc>
        <w:tc>
          <w:tcPr>
            <w:tcW w:w="32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Completed technology</w:t>
            </w:r>
          </w:p>
        </w:tc>
        <w:tc>
          <w:tcPr>
            <w:tcW w:w="13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17 years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1,485,685</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(585,628)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900,057</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12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169,451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(142,702)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26,749</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Trademarks/brand names</w:t>
            </w:r>
          </w:p>
        </w:tc>
        <w:tc>
          <w:tcPr>
            <w:tcW w:w="1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27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103,506</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57,875</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Codman tradename</w:t>
            </w: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Indefinite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179,878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179,878</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relationships</w:t>
            </w:r>
          </w:p>
        </w:tc>
        <w:tc>
          <w:tcPr>
            <w:tcW w:w="1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30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10,596</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1560" w:type="dxa"/>
            <w:vAlign w:val="bottom"/>
            <w:tcBorders>
              <w:bottom w:val="single" w:sz="8" w:color="CCEEFF"/>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6 years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23,452</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(10,527)</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12,925</w:t>
            </w:r>
          </w:p>
        </w:tc>
        <w:tc>
          <w:tcPr>
            <w:tcW w:w="0" w:type="dxa"/>
            <w:vAlign w:val="bottom"/>
          </w:tcPr>
          <w:p>
            <w:pPr>
              <w:spacing w:after="0"/>
              <w:rPr>
                <w:sz w:val="1"/>
                <w:szCs w:val="1"/>
                <w:color w:val="auto"/>
              </w:rPr>
            </w:pPr>
          </w:p>
        </w:tc>
      </w:tr>
      <w:tr>
        <w:trPr>
          <w:trHeight w:val="234"/>
        </w:trPr>
        <w:tc>
          <w:tcPr>
            <w:tcW w:w="49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1,992,183</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(804,103)</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1,188,080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9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8"/>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5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320" w:type="dxa"/>
            <w:vAlign w:val="bottom"/>
          </w:tcPr>
          <w:p>
            <w:pPr>
              <w:spacing w:after="0"/>
              <w:rPr>
                <w:sz w:val="14"/>
                <w:szCs w:val="14"/>
                <w:color w:val="auto"/>
              </w:rPr>
            </w:pPr>
          </w:p>
        </w:tc>
        <w:tc>
          <w:tcPr>
            <w:tcW w:w="12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020" w:type="dxa"/>
            <w:vAlign w:val="bottom"/>
            <w:gridSpan w:val="2"/>
            <w:vMerge w:val="continue"/>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Life</w:t>
            </w:r>
          </w:p>
        </w:tc>
        <w:tc>
          <w:tcPr>
            <w:tcW w:w="32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Completed technology</w:t>
            </w:r>
          </w:p>
        </w:tc>
        <w:tc>
          <w:tcPr>
            <w:tcW w:w="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17 years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1,452,545</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(525,959)</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926,586</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12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166,038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(137,186)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28,852</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Trademarks/brand names</w:t>
            </w:r>
          </w:p>
        </w:tc>
        <w:tc>
          <w:tcPr>
            <w:tcW w:w="1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27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99,951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(42,173)</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57,778</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Codman tradename</w:t>
            </w: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Indefinite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168,202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168,202</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relationships</w:t>
            </w:r>
          </w:p>
        </w:tc>
        <w:tc>
          <w:tcPr>
            <w:tcW w:w="1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30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(19,126)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11,085</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1560" w:type="dxa"/>
            <w:vAlign w:val="bottom"/>
            <w:tcBorders>
              <w:bottom w:val="single" w:sz="8" w:color="CCEEFF"/>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6 years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22,820</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(7,735)</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15,085</w:t>
            </w:r>
          </w:p>
        </w:tc>
        <w:tc>
          <w:tcPr>
            <w:tcW w:w="0" w:type="dxa"/>
            <w:vAlign w:val="bottom"/>
          </w:tcPr>
          <w:p>
            <w:pPr>
              <w:spacing w:after="0"/>
              <w:rPr>
                <w:sz w:val="1"/>
                <w:szCs w:val="1"/>
                <w:color w:val="auto"/>
              </w:rPr>
            </w:pPr>
          </w:p>
        </w:tc>
      </w:tr>
      <w:tr>
        <w:trPr>
          <w:trHeight w:val="234"/>
        </w:trPr>
        <w:tc>
          <w:tcPr>
            <w:tcW w:w="49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1,939,767</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(732,179)</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1,207,588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with Indefinite Lives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does not amortize intangible assets with indefinite lives but tests its intangible assets with indefinite lives for impairment annually in the third quarter in accordance with ASC 350. Additionally, the Company performs interim tests of its intangible assets with indefinite lives for impairment if an event occurs or circumstances change that could potentially reduce the fair value of a indefinite lived intangible asset below its carrying amount. The Company tests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2025 the Company performed a quantitative assessment of its Codman tradename intangible asset in accordance with ASC 350 due to the decrease in the price per share of the Company’s common stock related to a number of factors including recent tariff changes that have created broad economic uncertainty and the impact of quality, operational, and supply issues. In performing this test, the Company utilized a discount rate of 14.5%. The assumptions used in evaluating the Codman tradename for impairment are subject to change and are tracked against historical results by management. Based on the results of the quantitative test, the Company recorded no impairment to the Codman tradename intangible asset.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any impairment charges on its intangible assets with indefinite lives during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with Definite Lives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Developed technologies and other definite-lived intangible assets are amortized over their estimated useful lives either using the straight-line method or, if reliably determinable, based on the pattern of which the economic benefit of the asset is expected to be utilized. Definite-lived intangible assets are periodically evaluated for impairment in accordance with FASB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(“ASC 360”) whenever events or changes in circumstances indicate that a definite-lived intangible asset’s carrying value may not be recoverable.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amortization of intangible assets for the three and six months ended June 30, 2025 was $26.8 million and $53.3 million, respectively. Of this amount, $23.0 million and $45.8 million, respectively, was related to amortization of technology based intangibles and included in cost of goods sold.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amortization of intangible assets for the three and six months ended June 30, 2024 was $25.4 million and $53.1 million, respectively. Of this amount, $21.7 million and $39.3 million, respectively, was related to amortization of technology based intangibles and included in cost of goods sold. $7.1 million related to the impairment of a customer relationship intangible and the remainder were included in intangible amortization in the statement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quarter-end exchange rates, amortization expense (including amounts reported in cost of goods sold) is expected to be approximately $53.7 million for the remainder of 2025, $107.2 million in 2026, $106.2 million in 2027, $102.6 million in 2028, $97.3 million in 2029, $91.3 million in 2030 and $445.8 million thereafter.</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first quarter of 2024, due to third-party audit findings and an update to the estimated timeframe to resume the commercial distribution of products manufactured in the Boston facility, the Company elected to perform quantitative impairment testing on certain definite-lived intangible assets including completed technology and customer relationships in accordance with ASC 360. The Company recorded an impairment charge related to the definite-lived intangible asset associated with the customer relationships of $7.1 million in intangible asset amortization in the consolidated statement of operations. With respect to the definite-lived intangible assets associated with the completed technology of SurgiMend® and PriMatrix®, the Company determined that the carrying amount of these definite-lived intangible assets were recoverable and, therefore, the intangible assets were not deemed to be impaired. In the second quarter of 2024, the Company approved a plan to transition the commercial distribution of SurgiMend and PriMatrix from the Boston facility to the Company’s manufacturing facility in Braintree, Massachusetts (the “Braintree facility”). The Company considered the impact to the update to the estimated timeframe to resume the commercial distribution of products manufactured in the Boston facility on the assumptions used in the quantitative assessment of the definite-lived intangible assets completed in the first quarter of 2024, which did not require further evaluation for impairment. The carrying values of SurgiMend and PriMatrix are $29.2 million and $22.2 million, respectively, as of June 30,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Impact of Risks and Uncertainties on Management’s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recent tariff changes imposed by the U.S. and other countries have created increased risks and uncertainties surrounding the Company’s future results of operations. President Trump has announced reciprocal tariffs on many countries with additional tariffs on the pharmaceutical industry to be announced in the near future. Certain countries, such as China, have responded with retaliatory tariffs. The assumptions used by the Company in its quantitative tests of goodwill and intangible assets are inherently subject to uncertainty and slight changes in these assumptions, including the extent and duration of any subsequent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changes in U.S. import tariffs and reciprocal measures by China and the resulting impact on general economic conditions and on the Company’s business, could have a significant impact on the concluded values.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Seventh Amended and Restated Credit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6, 2025, the Company entered into the June 2025 Amendment of the Senior Credit Facility with a syndicate of lending banks with Bank of America, N.A., as Administrative Agent. The June 2025 Amendment does not increase the Company’s total indebtedness or extend the maturity date of the Senior Credit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June 2025 Amendment, the Company’s Consolidated Total Leverage Ratio (defined, as of any date of determination, as the ratio of</w:t>
      </w:r>
    </w:p>
    <w:p>
      <w:pPr>
        <w:spacing w:after="0" w:line="27" w:lineRule="exact"/>
        <w:rPr>
          <w:sz w:val="20"/>
          <w:szCs w:val="20"/>
          <w:color w:val="auto"/>
        </w:rPr>
      </w:pPr>
    </w:p>
    <w:p>
      <w:pPr>
        <w:jc w:val="both"/>
        <w:ind w:firstLine="8"/>
        <w:spacing w:after="0" w:line="255" w:lineRule="auto"/>
        <w:tabs>
          <w:tab w:leader="none" w:pos="2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Funded Indebtedness as of such date (as defined in the Senior Credit Facility) less cash that is not subject to any restriction on the use or investment thereof to (b) Consolidated EBITDA (as defined by the Senior Credit Facility)) for the period of four consecutive fiscal quarters ending on such date was modified to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Fiscal Quarter Ending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Consolidated Total</w:t>
            </w:r>
          </w:p>
        </w:tc>
        <w:tc>
          <w:tcPr>
            <w:tcW w:w="0" w:type="dxa"/>
            <w:vAlign w:val="bottom"/>
          </w:tcPr>
          <w:p>
            <w:pPr>
              <w:spacing w:after="0"/>
              <w:rPr>
                <w:sz w:val="1"/>
                <w:szCs w:val="1"/>
                <w:color w:val="auto"/>
              </w:rPr>
            </w:pPr>
          </w:p>
        </w:tc>
      </w:tr>
      <w:tr>
        <w:trPr>
          <w:trHeight w:val="214"/>
        </w:trPr>
        <w:tc>
          <w:tcPr>
            <w:tcW w:w="8760" w:type="dxa"/>
            <w:vAlign w:val="bottom"/>
            <w:gridSpan w:val="2"/>
            <w:vMerge w:val="continue"/>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Leverage Ratio</w:t>
            </w:r>
          </w:p>
        </w:tc>
        <w:tc>
          <w:tcPr>
            <w:tcW w:w="0" w:type="dxa"/>
            <w:vAlign w:val="bottom"/>
          </w:tcPr>
          <w:p>
            <w:pPr>
              <w:spacing w:after="0"/>
              <w:rPr>
                <w:sz w:val="1"/>
                <w:szCs w:val="1"/>
                <w:color w:val="auto"/>
              </w:rPr>
            </w:pPr>
          </w:p>
        </w:tc>
      </w:tr>
      <w:tr>
        <w:trPr>
          <w:trHeight w:val="211"/>
        </w:trPr>
        <w:tc>
          <w:tcPr>
            <w:tcW w:w="8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2025 through June 30, 2026</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 to 1.00</w:t>
            </w:r>
          </w:p>
        </w:tc>
        <w:tc>
          <w:tcPr>
            <w:tcW w:w="0" w:type="dxa"/>
            <w:vAlign w:val="bottom"/>
          </w:tcPr>
          <w:p>
            <w:pPr>
              <w:spacing w:after="0"/>
              <w:rPr>
                <w:sz w:val="1"/>
                <w:szCs w:val="1"/>
                <w:color w:val="auto"/>
              </w:rPr>
            </w:pPr>
          </w:p>
        </w:tc>
      </w:tr>
      <w:tr>
        <w:trPr>
          <w:trHeight w:val="21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30, 2026</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4.75 to 1.00</w:t>
            </w:r>
          </w:p>
        </w:tc>
        <w:tc>
          <w:tcPr>
            <w:tcW w:w="0" w:type="dxa"/>
            <w:vAlign w:val="bottom"/>
          </w:tcPr>
          <w:p>
            <w:pPr>
              <w:spacing w:after="0"/>
              <w:rPr>
                <w:sz w:val="1"/>
                <w:szCs w:val="1"/>
                <w:color w:val="auto"/>
              </w:rPr>
            </w:pPr>
          </w:p>
        </w:tc>
      </w:tr>
      <w:tr>
        <w:trPr>
          <w:trHeight w:val="219"/>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2026</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4.50 to 1.00</w:t>
            </w:r>
          </w:p>
        </w:tc>
        <w:tc>
          <w:tcPr>
            <w:tcW w:w="0" w:type="dxa"/>
            <w:vAlign w:val="bottom"/>
          </w:tcPr>
          <w:p>
            <w:pPr>
              <w:spacing w:after="0"/>
              <w:rPr>
                <w:sz w:val="1"/>
                <w:szCs w:val="1"/>
                <w:color w:val="auto"/>
              </w:rPr>
            </w:pPr>
          </w:p>
        </w:tc>
      </w:tr>
      <w:tr>
        <w:trPr>
          <w:trHeight w:val="210"/>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31, 2027 and the last day of each fiscal quarter thereafter</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4.00 to 1.00</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foregoing, from the date of the June 2025 Amendment through the fiscal quarter ending December 31, 2026 (the “Covenant Relief Period”), the Amendment, among other things, also: (i) temporarily establishes, during the Covenant Relief Period, a revised applicable rate schedule; (ii) temporarily limits, during the Covenant Relief Period, the Company’s ability to make certain investments; (iii) temporarily restricts, during the Covenant Relief Period, the Company’s ability to incur incremental indebtedness under the Credit Agreement, create certain liens, make certain restricted payments and incur or guarantee indebtedness of excluded subsidiaries; and (iv) temporarily prohibits, during the Covenant Relief Period, the Company from selling, transferring or exclusively licensing material intellectual property to a subsidiary of the Company that is not a loan party under the Credit Agreement or designating any subsidiary that owns or exclusively licenses any material intellectual property as an excluded subsidiary under the Credit Agreement.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Senior Credit Facility bear interest under the applicable rate schedule, at the Company’s option, at a rate equal to the following:</w:t>
      </w:r>
    </w:p>
    <w:p>
      <w:pPr>
        <w:spacing w:after="0" w:line="117" w:lineRule="exact"/>
        <w:rPr>
          <w:sz w:val="20"/>
          <w:szCs w:val="20"/>
          <w:color w:val="auto"/>
        </w:rPr>
      </w:pPr>
    </w:p>
    <w:p>
      <w:pPr>
        <w:ind w:left="660" w:hanging="328"/>
        <w:spacing w:after="0" w:line="282" w:lineRule="auto"/>
        <w:tabs>
          <w:tab w:leader="none" w:pos="6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in effect from time to time plus 0.10% plus the applicable rate (ranging from 1.00% to 2.13% during the Covenant Relief Period and from 1.00% to 1.75% thereafter) 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of:</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overnight Federal funds rate, as published by the Federal Reserve Bank of New York, plus 0.50%;</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lending rate of Bank of America, N.A.; or</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one-month Term SOFR plus 1.00%.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rates are based on the Company’s Consolidated Total Leverage Ratio for the period of four consecutive fiscal quarters ending on such date.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pay an annual commitment fee (ranging from 0.15% to 0.33% during the Covenant Relief Period and from 0.15% to 0.30% thereafter), based on the Company’s Consolidated Total Leverage Ratio, on the amount available for borrowing under the revolving credit facility component of the Senior Credit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June 2025 Amendment, the Company incurred $3.9 million in fees to creditors and third parties.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24, 2023, the Company entered into the Senior Credit Facility with a syndicate of lending banks with Bank of America, N.A., as Administrative Agent. The Senior Credit Facility extended the maturity date to March 24, 2028, amended the contractual repayments of the term loan component, and amended the interest rate from LIBOR to SOFR-indexed interest.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have the aggregate principal amount of up to approximately $2.1 billion available to it through the following facilities: (i) a $775 million term loan facility, and (ii) a $1.3 billion revolving credit facility, which includes a $60 million sublimit for the issuance of standby letters of credit and a $60 million sublimit for swingline loans. The terms of the Senior Credit Facility limit the amount of dividends the Company may pay.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Credit Facility is collateralized by substantially all of the assets of the Company’s U.S. subsidiaries, excluding intangible assets. The Senior Credit Facility is subject to various financial and negative covenants and, at June 30, 2025, the Company was in compliance with all such covenants. The Company capitalized $7.6 million in deferred financing costs in connection with the modification of the Senior Credit Facility and wrote off $0.2 million of previously capitalized financing costs during the first quarter of 2023.</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2025 and December 31, 2024, there was $415.0 million and $365.0 million, respectively, outstanding under the revolving credit facility component of the Senior Credit Facility. At June 30, 2025 and December 31, 2024, there was $745.9 million and $760.5 million outstanding under the term loan component of the Senior Credit Facility at a weighted average interest rate of 6.3% and 6.0%, respectively. As of June 30, 2025 and December 31, 2024 there was $38.8 million and $33.9 million, respectively, of the term loan component of the Senior Credit Facility classified as current on the condensed consolidated balance sheet.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term loan component and revolving credit facility component of the Senior Credit Facility at June 30, 2025 was $740.2 million, and $411.5 million, respectively. The fair value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Letters of credit outstanding as of June 30, 2025 and December 31, 2024 totaled $1.7 million. There were no amounts drawn under the letters of credit outstanding as of June 30,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repayments of the term loan component of the Senior Credit Facility are due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40" w:type="dxa"/>
            <w:vAlign w:val="bottom"/>
          </w:tcPr>
          <w:p>
            <w:pPr>
              <w:spacing w:after="0"/>
              <w:rPr>
                <w:sz w:val="18"/>
                <w:szCs w:val="18"/>
                <w:color w:val="auto"/>
              </w:rPr>
            </w:pPr>
          </w:p>
        </w:tc>
        <w:tc>
          <w:tcPr>
            <w:tcW w:w="6700" w:type="dxa"/>
            <w:vAlign w:val="bottom"/>
            <w:gridSpan w:val="3"/>
          </w:tcPr>
          <w:p>
            <w:pPr>
              <w:jc w:val="right"/>
              <w:ind w:right="4039"/>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20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Principal Repayment</w:t>
            </w:r>
          </w:p>
        </w:tc>
      </w:tr>
      <w:tr>
        <w:trPr>
          <w:trHeight w:val="192"/>
        </w:trPr>
        <w:tc>
          <w:tcPr>
            <w:tcW w:w="2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6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r>
      <w:tr>
        <w:trPr>
          <w:trHeight w:val="22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67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19,375</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38,750</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53,281</w:t>
            </w:r>
          </w:p>
        </w:tc>
      </w:tr>
      <w:tr>
        <w:trPr>
          <w:trHeight w:val="213"/>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634,532</w:t>
            </w:r>
          </w:p>
        </w:tc>
      </w:tr>
      <w:tr>
        <w:trPr>
          <w:trHeight w:val="235"/>
        </w:trPr>
        <w:tc>
          <w:tcPr>
            <w:tcW w:w="2540" w:type="dxa"/>
            <w:vAlign w:val="bottom"/>
            <w:tcBorders>
              <w:bottom w:val="single" w:sz="8" w:color="CCEEFF"/>
            </w:tcBorders>
            <w:shd w:val="clear" w:color="auto" w:fill="CCEEFF"/>
          </w:tcPr>
          <w:p>
            <w:pPr>
              <w:spacing w:after="0"/>
              <w:rPr>
                <w:sz w:val="19"/>
                <w:szCs w:val="19"/>
                <w:color w:val="auto"/>
              </w:rPr>
            </w:pPr>
          </w:p>
        </w:tc>
        <w:tc>
          <w:tcPr>
            <w:tcW w:w="6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745,938</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interest payments on the term loan component of the Senior Credit Facility based on current interest rates are expected to approximate $23.4 million for the remainder of 2025, $44.9 million in 2026, $42.2 million in 2027, and $9.2 million in 2028. Interest is calculated on the term loan component of the Senior Credit Facility based on SOFR plus the certain amounts set forth in the Senior Credit Facility. As the revolving credit facility component of the Senior Credit Facility and Securitization Facility (defined below) can be repaid at any time, no interest has been included in the calculation.</w:t>
      </w:r>
    </w:p>
    <w:p>
      <w:pPr>
        <w:spacing w:after="0" w:line="72" w:lineRule="exact"/>
        <w:rPr>
          <w:sz w:val="20"/>
          <w:szCs w:val="20"/>
          <w:color w:val="auto"/>
        </w:rPr>
      </w:pPr>
    </w:p>
    <w:p>
      <w:pPr>
        <w:ind w:right="2000"/>
        <w:spacing w:after="0" w:line="375" w:lineRule="auto"/>
        <w:rPr>
          <w:sz w:val="20"/>
          <w:szCs w:val="20"/>
          <w:color w:val="auto"/>
        </w:rPr>
      </w:pPr>
      <w:r>
        <w:rPr>
          <w:rFonts w:ascii="Times New Roman" w:cs="Times New Roman" w:eastAsia="Times New Roman" w:hAnsi="Times New Roman"/>
          <w:sz w:val="18"/>
          <w:szCs w:val="18"/>
          <w:color w:val="auto"/>
        </w:rPr>
        <w:t xml:space="preserve">Any outstanding borrowings on the revolving credit facility component of the Senior Credit Facility are due on March 24, 2028. </w:t>
      </w:r>
      <w:r>
        <w:rPr>
          <w:rFonts w:ascii="Times New Roman" w:cs="Times New Roman" w:eastAsia="Times New Roman" w:hAnsi="Times New Roman"/>
          <w:sz w:val="18"/>
          <w:szCs w:val="18"/>
          <w:b w:val="1"/>
          <w:bCs w:val="1"/>
          <w:i w:val="1"/>
          <w:iCs w:val="1"/>
          <w:color w:val="auto"/>
        </w:rPr>
        <w:t>Convertible Senior Notes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7, 2020, the Company issued $575.0 million aggregate principal amount of its 0.5% Convertible Senior Notes due 2025 (the “2025 Notes”) pursuant to an indenture, dated as of February 7, 2020 (the “Original Indenture”), between the Company and Citibank, N.A., as trustee. The 2025 Notes will mature on August 15, 2025 and bear interest at a rate of 0.5% per annum payable semi-annually in arrears, unless earlier converted, repurchased or redeemed in accordance with the terms of the 2025 Notes. In connection with this offering, the Company capitalized $13.2 million of financing fees.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2025 Notes are senior, unsecured obligations of the Company, and are convertible into cash and shares of its common stock based on an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specified in the Original Indenture; (3) if the Company calls the notes for optional redemption as described in the Original Indenture; or (4) if specified corporate transactions occur. As of June 30, 2025, none of these conditions existed and the 2025 Notes are classified as current convertible securities on the consolidated balance sheet, as they are due within one year.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9, 2020, the Company entered into the first supplemental indenture to the Original Indenture (the “First Supplemental Indenture” and, together with Original Indenture, the “Indenture”), pursuant to which the Company irrevocably elected (1) to eliminate the Company’s option to choose physical settlement on any conversion of the 2025 Notes that occurs on or after the date of the First Supplemental Indenture and (2) with respect to any Combination Settlement (as defined in the First Supplemental Indenture) for a conversion of the 2025 Notes, the Specified Dollar Amount (as defined in the First Supplemental Indenture) that will be settled in cash per $1,000 principal amount of the 2025 Notes shall be no lower than $1,000.</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2025 Notes will have the right to require the Company to repurchase for cash all or a portion of their 2025 Notes at 100% of their principal amount, plus any accrued and unpaid interest, upon the occurrence of a fundamental change (as defined in the Indenture). The Company will also be required to increase the conversion rate for holders who convert their 2025 Notes in connection with certain Fundamental Changes (as defined in the Original Indenture) occurring prior to the maturity date or following delivery by the Company of a notice of redemption.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2025, the carrying amount of the liability of the 2025 Notes was $575.0 million. The fair value of the 2025 Notes at June 30, 2025 was $569.4 million. Factors that the Company considered when estimating the fair value of the 2025 Notes included recent quoted market prices or dealer quotes. The 2025 Notes are valued based on Level 1 measurements in the fair value hierarchy. Level 1 inputs represent quoted prices in active markets for identical assets or liabilities.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Securitization Facility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June 30, 2025, the Company was in compliance with the covenants and none of the termination events had occurred.</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15, 2023, the Company entered into an amendment (the “December 2023 Amendment”) of the Securitization Facility which extended the maturity date from May 28, 2024 to December 15, 2026. The Company incurred approximately $0.3 million of new issuance costs associated with the December 2023 Amendment which will be amortized over 3 years, the length of the Securitization Agreement as amended by the December 2023 Amendment. Due to the increase in borrowing capacity, the remaining $0.1 million of unamortized costs from the previous agreement will also be amortized over the length of the amended agreement, three years. In addition, on April 17, 2023 the Company entered into an amendment (the “April 2023 Amendment”) of the Securitization Facility and amended the interest rate from LIBOR to SOFR-indexed rate. The December 2023 Amendment and April 2023 Amendment did not increase the Company’s total indebtedness.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2025 and December 31, 2024, the Company had $108.8 million and $108.1 million, respectively, of outstanding borrowings under its Securitization Facility with an interest rate of 5.4% applicable to both periods. The fair value of the outstanding borrowing of the Securitization Facility at June 30, 2025 was $106.7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associated with the Senior Credit Facility (other than the revolving credit facility component) and the 2025 Notes are presented as a reduction to the carrying value of the related debt. Debt issuance costs associated with the revolving credit facility component of the Senior Credit Facility are capitalized within other long-term assets on the consolidated balance sheet.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Fair Value of Debt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the estimated fair values of debt as of June 30, 2025 and December 31, 2024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2300" w:type="dxa"/>
            <w:vAlign w:val="bottom"/>
          </w:tcPr>
          <w:p>
            <w:pPr>
              <w:ind w:left="1120"/>
              <w:spacing w:after="0" w:line="161"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120" w:type="dxa"/>
            <w:vAlign w:val="bottom"/>
          </w:tcPr>
          <w:p>
            <w:pPr>
              <w:spacing w:after="0"/>
              <w:rPr>
                <w:sz w:val="14"/>
                <w:szCs w:val="14"/>
                <w:color w:val="auto"/>
              </w:rPr>
            </w:pPr>
          </w:p>
        </w:tc>
        <w:tc>
          <w:tcPr>
            <w:tcW w:w="1140" w:type="dxa"/>
            <w:vAlign w:val="bottom"/>
          </w:tcPr>
          <w:p>
            <w:pPr>
              <w:jc w:val="right"/>
              <w:ind w:right="19"/>
              <w:spacing w:after="0" w:line="161" w:lineRule="exact"/>
              <w:rPr>
                <w:sz w:val="20"/>
                <w:szCs w:val="20"/>
                <w:color w:val="auto"/>
              </w:rPr>
            </w:pPr>
            <w:r>
              <w:rPr>
                <w:rFonts w:ascii="Times New Roman" w:cs="Times New Roman" w:eastAsia="Times New Roman" w:hAnsi="Times New Roman"/>
                <w:sz w:val="16"/>
                <w:szCs w:val="16"/>
                <w:b w:val="1"/>
                <w:bCs w:val="1"/>
                <w:color w:val="auto"/>
                <w:w w:val="99"/>
              </w:rPr>
              <w:t>Estimated Fair</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120" w:type="dxa"/>
            <w:vAlign w:val="bottom"/>
          </w:tcPr>
          <w:p>
            <w:pPr>
              <w:spacing w:after="0"/>
              <w:rPr>
                <w:sz w:val="14"/>
                <w:szCs w:val="14"/>
                <w:color w:val="auto"/>
              </w:rPr>
            </w:pPr>
          </w:p>
        </w:tc>
        <w:tc>
          <w:tcPr>
            <w:tcW w:w="1160" w:type="dxa"/>
            <w:vAlign w:val="bottom"/>
          </w:tcPr>
          <w:p>
            <w:pPr>
              <w:jc w:val="right"/>
              <w:ind w:right="39"/>
              <w:spacing w:after="0" w:line="161" w:lineRule="exact"/>
              <w:rPr>
                <w:sz w:val="20"/>
                <w:szCs w:val="20"/>
                <w:color w:val="auto"/>
              </w:rPr>
            </w:pPr>
            <w:r>
              <w:rPr>
                <w:rFonts w:ascii="Times New Roman" w:cs="Times New Roman" w:eastAsia="Times New Roman" w:hAnsi="Times New Roman"/>
                <w:sz w:val="16"/>
                <w:szCs w:val="16"/>
                <w:b w:val="1"/>
                <w:bCs w:val="1"/>
                <w:color w:val="auto"/>
                <w:w w:val="99"/>
              </w:rPr>
              <w:t>Estimated Fair</w:t>
            </w:r>
          </w:p>
        </w:tc>
        <w:tc>
          <w:tcPr>
            <w:tcW w:w="0" w:type="dxa"/>
            <w:vAlign w:val="bottom"/>
          </w:tcPr>
          <w:p>
            <w:pPr>
              <w:spacing w:after="0"/>
              <w:rPr>
                <w:sz w:val="1"/>
                <w:szCs w:val="1"/>
                <w:color w:val="auto"/>
              </w:rPr>
            </w:pPr>
          </w:p>
        </w:tc>
      </w:tr>
      <w:tr>
        <w:trPr>
          <w:trHeight w:val="214"/>
        </w:trPr>
        <w:tc>
          <w:tcPr>
            <w:tcW w:w="38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Measurement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8"/>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credit facility - term loan</w:t>
            </w:r>
          </w:p>
        </w:tc>
        <w:tc>
          <w:tcPr>
            <w:tcW w:w="230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6"/>
                <w:szCs w:val="16"/>
                <w:color w:val="auto"/>
                <w:w w:val="99"/>
              </w:rPr>
              <w:t>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745,938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740,173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760,469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751,143</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credit facility - revolving component</w:t>
            </w:r>
          </w:p>
        </w:tc>
        <w:tc>
          <w:tcPr>
            <w:tcW w:w="2300" w:type="dxa"/>
            <w:vAlign w:val="bottom"/>
          </w:tcPr>
          <w:p>
            <w:pPr>
              <w:ind w:left="1800"/>
              <w:spacing w:after="0"/>
              <w:rPr>
                <w:sz w:val="20"/>
                <w:szCs w:val="20"/>
                <w:color w:val="auto"/>
              </w:rPr>
            </w:pPr>
            <w:r>
              <w:rPr>
                <w:rFonts w:ascii="Times New Roman" w:cs="Times New Roman" w:eastAsia="Times New Roman" w:hAnsi="Times New Roman"/>
                <w:sz w:val="16"/>
                <w:szCs w:val="16"/>
                <w:color w:val="auto"/>
                <w:w w:val="99"/>
              </w:rPr>
              <w:t>Level 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415,000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411,515</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365,000</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360,144</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Notes</w:t>
            </w:r>
          </w:p>
        </w:tc>
        <w:tc>
          <w:tcPr>
            <w:tcW w:w="230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6"/>
                <w:szCs w:val="16"/>
                <w:color w:val="auto"/>
                <w:w w:val="99"/>
              </w:rPr>
              <w:t>Level 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569,365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555,594</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Securitization</w:t>
            </w:r>
          </w:p>
        </w:tc>
        <w:tc>
          <w:tcPr>
            <w:tcW w:w="2300" w:type="dxa"/>
            <w:vAlign w:val="bottom"/>
            <w:tcBorders>
              <w:bottom w:val="single" w:sz="8" w:color="CCEEFF"/>
            </w:tcBorders>
          </w:tcPr>
          <w:p>
            <w:pPr>
              <w:ind w:left="1800"/>
              <w:spacing w:after="0"/>
              <w:rPr>
                <w:sz w:val="20"/>
                <w:szCs w:val="20"/>
                <w:color w:val="auto"/>
              </w:rPr>
            </w:pPr>
            <w:r>
              <w:rPr>
                <w:rFonts w:ascii="Times New Roman" w:cs="Times New Roman" w:eastAsia="Times New Roman" w:hAnsi="Times New Roman"/>
                <w:sz w:val="16"/>
                <w:szCs w:val="16"/>
                <w:color w:val="auto"/>
                <w:w w:val="99"/>
              </w:rPr>
              <w:t>Level 2</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108,800</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106,657</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108,100</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105,831</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Subtotal</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1,844,738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1,827,710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1,808,569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1,772,712</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2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(4,418)</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(5,476)</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debt</w:t>
            </w:r>
          </w:p>
        </w:tc>
        <w:tc>
          <w:tcPr>
            <w:tcW w:w="2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1,840,320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1,827,710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1,803,093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1,772,712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SOFR-indexed borrowings. Additionally, the Company entered into a basis swap where the Company receives Term SOFR and pays daily compounded SOFR to convert the portfolio of swaps from daily compounded SOFR to Term SOFR.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interest rate swaps as of June 30, 2025 and December 31, 2024 (dollar 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8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57"/>
        </w:trPr>
        <w:tc>
          <w:tcPr>
            <w:tcW w:w="1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Hedged Item</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Designation Date</w:t>
            </w:r>
          </w:p>
        </w:tc>
        <w:tc>
          <w:tcPr>
            <w:tcW w:w="16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Effective Date</w:t>
            </w:r>
          </w:p>
        </w:tc>
        <w:tc>
          <w:tcPr>
            <w:tcW w:w="1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Termination Date</w:t>
            </w:r>
          </w:p>
        </w:tc>
        <w:tc>
          <w:tcPr>
            <w:tcW w:w="9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Fixed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4"/>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0" w:type="dxa"/>
            <w:vAlign w:val="bottom"/>
          </w:tcPr>
          <w:p>
            <w:pPr>
              <w:spacing w:after="0"/>
              <w:rPr>
                <w:sz w:val="1"/>
                <w:szCs w:val="1"/>
                <w:color w:val="auto"/>
              </w:rPr>
            </w:pPr>
          </w:p>
        </w:tc>
      </w:tr>
      <w:tr>
        <w:trPr>
          <w:trHeight w:val="162"/>
        </w:trPr>
        <w:tc>
          <w:tcPr>
            <w:tcW w:w="1400" w:type="dxa"/>
            <w:vAlign w:val="bottom"/>
            <w:gridSpan w:val="3"/>
            <w:vMerge w:val="continue"/>
          </w:tcPr>
          <w:p>
            <w:pPr>
              <w:spacing w:after="0"/>
              <w:rPr>
                <w:sz w:val="14"/>
                <w:szCs w:val="14"/>
                <w:color w:val="auto"/>
              </w:rPr>
            </w:pPr>
          </w:p>
        </w:tc>
        <w:tc>
          <w:tcPr>
            <w:tcW w:w="180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120" w:type="dxa"/>
            <w:vAlign w:val="bottom"/>
            <w:gridSpan w:val="3"/>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Asset (Liability)</w:t>
            </w:r>
          </w:p>
        </w:tc>
        <w:tc>
          <w:tcPr>
            <w:tcW w:w="0" w:type="dxa"/>
            <w:vAlign w:val="bottom"/>
          </w:tcPr>
          <w:p>
            <w:pPr>
              <w:spacing w:after="0"/>
              <w:rPr>
                <w:sz w:val="1"/>
                <w:szCs w:val="1"/>
                <w:color w:val="auto"/>
              </w:rPr>
            </w:pPr>
          </w:p>
        </w:tc>
      </w:tr>
      <w:tr>
        <w:trPr>
          <w:trHeight w:val="164"/>
        </w:trPr>
        <w:tc>
          <w:tcPr>
            <w:tcW w:w="1400" w:type="dxa"/>
            <w:vAlign w:val="bottom"/>
            <w:gridSpan w:val="3"/>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1-month Term</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10, 2018</w:t>
            </w:r>
          </w:p>
        </w:tc>
        <w:tc>
          <w:tcPr>
            <w:tcW w:w="1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2020</w:t>
            </w: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2025</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129"/>
        </w:trPr>
        <w:tc>
          <w:tcPr>
            <w:tcW w:w="14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Loan</w:t>
            </w:r>
          </w:p>
        </w:tc>
        <w:tc>
          <w:tcPr>
            <w:tcW w:w="88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600" w:type="dxa"/>
            <w:vAlign w:val="bottom"/>
            <w:gridSpan w:val="2"/>
            <w:vMerge w:val="continue"/>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400" w:type="dxa"/>
            <w:vAlign w:val="bottom"/>
            <w:gridSpan w:val="3"/>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4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1-month Term</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tcPr>
          <w:p>
            <w:pPr>
              <w:spacing w:after="0"/>
              <w:rPr>
                <w:sz w:val="14"/>
                <w:szCs w:val="14"/>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October 10, 2018</w:t>
            </w: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July 1, 2020</w:t>
            </w: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June 30, 2025</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3.199 %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129"/>
        </w:trPr>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SOFR Loan</w:t>
            </w:r>
          </w:p>
        </w:tc>
        <w:tc>
          <w:tcPr>
            <w:tcW w:w="88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40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40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1-month Term</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10, 2018</w:t>
            </w:r>
          </w:p>
        </w:tc>
        <w:tc>
          <w:tcPr>
            <w:tcW w:w="1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2020</w:t>
            </w: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2025</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129"/>
        </w:trPr>
        <w:tc>
          <w:tcPr>
            <w:tcW w:w="14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Loan</w:t>
            </w:r>
          </w:p>
        </w:tc>
        <w:tc>
          <w:tcPr>
            <w:tcW w:w="88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600" w:type="dxa"/>
            <w:vAlign w:val="bottom"/>
            <w:gridSpan w:val="2"/>
            <w:vMerge w:val="continue"/>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400" w:type="dxa"/>
            <w:vAlign w:val="bottom"/>
            <w:gridSpan w:val="3"/>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4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1-month Term</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4"/>
                <w:szCs w:val="14"/>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December 18, 2018</w:t>
            </w: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December 30, 2022</w:t>
            </w: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December 31, 2027</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2.885 %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0" w:type="dxa"/>
            <w:vAlign w:val="bottom"/>
          </w:tcPr>
          <w:p>
            <w:pPr>
              <w:spacing w:after="0"/>
              <w:rPr>
                <w:sz w:val="1"/>
                <w:szCs w:val="1"/>
                <w:color w:val="auto"/>
              </w:rPr>
            </w:pPr>
          </w:p>
        </w:tc>
      </w:tr>
      <w:tr>
        <w:trPr>
          <w:trHeight w:val="129"/>
        </w:trPr>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SOFR Loan</w:t>
            </w: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40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40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1-month Term</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18, 2018</w:t>
            </w:r>
          </w:p>
        </w:tc>
        <w:tc>
          <w:tcPr>
            <w:tcW w:w="1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30, 2022</w:t>
            </w: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2027</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0" w:type="dxa"/>
            <w:vAlign w:val="bottom"/>
          </w:tcPr>
          <w:p>
            <w:pPr>
              <w:spacing w:after="0"/>
              <w:rPr>
                <w:sz w:val="1"/>
                <w:szCs w:val="1"/>
                <w:color w:val="auto"/>
              </w:rPr>
            </w:pPr>
          </w:p>
        </w:tc>
      </w:tr>
      <w:tr>
        <w:trPr>
          <w:trHeight w:val="129"/>
        </w:trPr>
        <w:tc>
          <w:tcPr>
            <w:tcW w:w="14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Loan</w:t>
            </w:r>
          </w:p>
        </w:tc>
        <w:tc>
          <w:tcPr>
            <w:tcW w:w="8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600" w:type="dxa"/>
            <w:vAlign w:val="bottom"/>
            <w:gridSpan w:val="2"/>
            <w:vMerge w:val="continue"/>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400" w:type="dxa"/>
            <w:vAlign w:val="bottom"/>
            <w:gridSpan w:val="3"/>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4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1-month Term</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80" w:type="dxa"/>
            <w:vAlign w:val="bottom"/>
          </w:tcPr>
          <w:p>
            <w:pPr>
              <w:spacing w:after="0"/>
              <w:rPr>
                <w:sz w:val="14"/>
                <w:szCs w:val="14"/>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December 15, 2020</w:t>
            </w: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July 31, 2025</w:t>
            </w: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December 31, 2027</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1.415 %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27,632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34,537</w:t>
            </w:r>
          </w:p>
        </w:tc>
        <w:tc>
          <w:tcPr>
            <w:tcW w:w="0" w:type="dxa"/>
            <w:vAlign w:val="bottom"/>
          </w:tcPr>
          <w:p>
            <w:pPr>
              <w:spacing w:after="0"/>
              <w:rPr>
                <w:sz w:val="1"/>
                <w:szCs w:val="1"/>
                <w:color w:val="auto"/>
              </w:rPr>
            </w:pPr>
          </w:p>
        </w:tc>
      </w:tr>
      <w:tr>
        <w:trPr>
          <w:trHeight w:val="129"/>
        </w:trPr>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SOFR Loan</w:t>
            </w: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40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40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1-month Term</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8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15, 2020</w:t>
            </w:r>
          </w:p>
        </w:tc>
        <w:tc>
          <w:tcPr>
            <w:tcW w:w="1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2025</w:t>
            </w: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2027</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7,848</w:t>
            </w:r>
          </w:p>
        </w:tc>
        <w:tc>
          <w:tcPr>
            <w:tcW w:w="0" w:type="dxa"/>
            <w:vAlign w:val="bottom"/>
          </w:tcPr>
          <w:p>
            <w:pPr>
              <w:spacing w:after="0"/>
              <w:rPr>
                <w:sz w:val="1"/>
                <w:szCs w:val="1"/>
                <w:color w:val="auto"/>
              </w:rPr>
            </w:pPr>
          </w:p>
        </w:tc>
      </w:tr>
      <w:tr>
        <w:trPr>
          <w:trHeight w:val="129"/>
        </w:trPr>
        <w:tc>
          <w:tcPr>
            <w:tcW w:w="14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Loan</w:t>
            </w:r>
          </w:p>
        </w:tc>
        <w:tc>
          <w:tcPr>
            <w:tcW w:w="8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600" w:type="dxa"/>
            <w:vAlign w:val="bottom"/>
            <w:gridSpan w:val="2"/>
            <w:vMerge w:val="continue"/>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400" w:type="dxa"/>
            <w:vAlign w:val="bottom"/>
            <w:gridSpan w:val="3"/>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0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Basis Swap </w:t>
            </w:r>
            <w:r>
              <w:rPr>
                <w:rFonts w:ascii="Times New Roman" w:cs="Times New Roman" w:eastAsia="Times New Roman" w:hAnsi="Times New Roman"/>
                <w:sz w:val="21"/>
                <w:szCs w:val="21"/>
                <w:color w:val="auto"/>
                <w:vertAlign w:val="superscript"/>
              </w:rPr>
              <w:t>(1)</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31, 2023</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24, 2023</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31, 2027</w:t>
            </w:r>
          </w:p>
        </w:tc>
        <w:tc>
          <w:tcPr>
            <w:tcW w:w="1120" w:type="dxa"/>
            <w:vAlign w:val="bottom"/>
            <w:gridSpan w:val="3"/>
          </w:tcPr>
          <w:p>
            <w:pPr>
              <w:jc w:val="center"/>
              <w:ind w:right="119"/>
              <w:spacing w:after="0"/>
              <w:rPr>
                <w:sz w:val="20"/>
                <w:szCs w:val="20"/>
                <w:color w:val="auto"/>
              </w:rPr>
            </w:pPr>
            <w:r>
              <w:rPr>
                <w:rFonts w:ascii="Times New Roman" w:cs="Times New Roman" w:eastAsia="Times New Roman" w:hAnsi="Times New Roman"/>
                <w:sz w:val="16"/>
                <w:szCs w:val="16"/>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1,125,000</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35,051</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02945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9450" cy="162560"/>
                    </a:xfrm>
                    <a:prstGeom prst="rect">
                      <a:avLst/>
                    </a:prstGeom>
                    <a:noFill/>
                  </pic:spPr>
                </pic:pic>
              </a:graphicData>
            </a:graphic>
          </wp:anchor>
        </w:drawing>
      </w:r>
    </w:p>
    <w:p>
      <w:pPr>
        <w:ind w:left="340" w:hanging="152"/>
        <w:spacing w:after="0" w:line="232" w:lineRule="auto"/>
        <w:tabs>
          <w:tab w:leader="none" w:pos="34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notional of the basis swap amortizes to match the total notional of the interest rate swap portfolio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-104140</wp:posOffset>
            </wp:positionV>
            <wp:extent cx="12515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5158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-104140</wp:posOffset>
            </wp:positionV>
            <wp:extent cx="1234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 swaps were carried on the consolidated balance sheet at fair value and changes in the fair values were recorded as unrealized gains or losses in accumulated other comprehensive income (“AOCI”). For the three and six months ended June 30, 2025, the Company recorded losses of $(3.4) million and $(10.9) million, respectively, in AOCI related to the change in fair value of the interest rate swaps. For the three and six months ended June 30, 2024, the Company recorded gains of $5.1 million and $19.8 million, respectively, in AOCI related to the change in fair value of the interest rate swaps.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recorded gains of $1.4 million and of $2.9 million, respectively, in the consolidated statements of operations related to the interest rate differential of the interest rate swaps. For the three and six months ended June 30, 2024, the Company recorded gains of $5.0 million and $10.3 million, respectively, in the consolidated statements of operations related to the interest rate differential of the interest rate swaps. The estimated gain that is expected to be reclassified to interest income from AOCI as of June 30, 2025 within the next twelve months is $17.3 million.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Those amounts are subsequently reclassified to earnings from AOCI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the Company’s hedging 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Cross-Currency Rate Swaps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(“CHFs”) and receive interest in U.S. dollars. Upon the maturity of these contracts, the Company will pay the principal amount of the loans in CHFs and receive U.S. dollars from the counterparties.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principal payments of CHF 5.8 million plus accrued interest. As a result, the aggregate notional amount of the related cross-currency swaps will decrease by a corresponding amount.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2025, the Company amended the CHF-denominated intercompany loan to extend the maturity to December 2030. Concurrently, the Company amended the cross-currency swap agreement, with a notional amount of $368.4 million, equivalent to CHF 328.1 million, to extend the maturity to December 2030.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cross-currency rate swaps as of June 30, 2025 and December 31, 2024 (dollar 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2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20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85"/>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Effective Date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Termination Date</w:t>
            </w:r>
          </w:p>
        </w:tc>
        <w:tc>
          <w:tcPr>
            <w:tcW w:w="80" w:type="dxa"/>
            <w:vAlign w:val="bottom"/>
          </w:tcPr>
          <w:p>
            <w:pPr>
              <w:spacing w:after="0"/>
              <w:rPr>
                <w:sz w:val="13"/>
                <w:szCs w:val="13"/>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3340" w:type="dxa"/>
            <w:vAlign w:val="bottom"/>
            <w:gridSpan w:val="5"/>
            <w:vMerge w:val="restart"/>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Aggregate Notional Amount</w:t>
            </w:r>
          </w:p>
        </w:tc>
        <w:tc>
          <w:tcPr>
            <w:tcW w:w="2460" w:type="dxa"/>
            <w:vAlign w:val="bottom"/>
            <w:gridSpan w:val="3"/>
          </w:tcPr>
          <w:p>
            <w:pPr>
              <w:jc w:val="right"/>
              <w:ind w:right="839"/>
              <w:spacing w:after="0" w:line="158"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3340" w:type="dxa"/>
            <w:vAlign w:val="bottom"/>
            <w:gridSpan w:val="5"/>
            <w:vMerge w:val="continue"/>
          </w:tcPr>
          <w:p>
            <w:pPr>
              <w:spacing w:after="0"/>
              <w:rPr>
                <w:sz w:val="11"/>
                <w:szCs w:val="11"/>
                <w:color w:val="auto"/>
              </w:rPr>
            </w:pPr>
          </w:p>
        </w:tc>
        <w:tc>
          <w:tcPr>
            <w:tcW w:w="2460" w:type="dxa"/>
            <w:vAlign w:val="bottom"/>
            <w:gridSpan w:val="3"/>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Asset (Liability)</w:t>
            </w:r>
          </w:p>
        </w:tc>
        <w:tc>
          <w:tcPr>
            <w:tcW w:w="0" w:type="dxa"/>
            <w:vAlign w:val="bottom"/>
          </w:tcPr>
          <w:p>
            <w:pPr>
              <w:spacing w:after="0"/>
              <w:rPr>
                <w:sz w:val="1"/>
                <w:szCs w:val="1"/>
                <w:color w:val="auto"/>
              </w:rPr>
            </w:pPr>
          </w:p>
        </w:tc>
      </w:tr>
      <w:tr>
        <w:trPr>
          <w:trHeight w:val="85"/>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21, 2020</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19, 2025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0" w:type="dxa"/>
            <w:vAlign w:val="bottom"/>
          </w:tcPr>
          <w:p>
            <w:pPr>
              <w:spacing w:after="0"/>
              <w:rPr>
                <w:sz w:val="1"/>
                <w:szCs w:val="1"/>
                <w:color w:val="auto"/>
              </w:rPr>
            </w:pPr>
          </w:p>
        </w:tc>
      </w:tr>
      <w:tr>
        <w:trPr>
          <w:trHeight w:val="108"/>
        </w:trPr>
        <w:tc>
          <w:tcPr>
            <w:tcW w:w="1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368,362</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20, 2025</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20, 2030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316,637</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(60,936)</w:t>
            </w:r>
          </w:p>
        </w:tc>
        <w:tc>
          <w:tcPr>
            <w:tcW w:w="18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8"/>
        </w:trPr>
        <w:tc>
          <w:tcPr>
            <w:tcW w:w="1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355,452</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(60,936)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cross-currency swaps designated as cash flow hedges are carried on the consolidated balance sheet at fair value, and changes in the fair values are recorded as unrealized gains or losses in AOCI. For the three and six months ended June 30, 2025, the Company recorded losses of $(39.5) million and $(49.5) million, respectively, in AOCI related to change in fair value of the cross-currency swaps. For the three and six months ended June 30, 2024, the Company recorded gains of $0.6 million and $30.1 million, respectively, in AOCI related to change in fair value of the cross-currency swaps.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recorded losses of $(40.6) million and $(49.8) million, respectively, in other income, net related to change in fair value related to the foreign currency rate translation to offset the gains and losses, respectively, recognized on the intercompany loans. For the three and six months ended June 30, 2024, the Company recorded gains of $1.5 million and $28.6 million, respectively, in other income, net related to change in fair value related to the foreign currency rate translation to offset the gains and losses, respectively, recognized on the intercompany loans.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recorded gains of $2.3 million and $3.5 million, respectively, in other income, net included in the consolidated statements of operations related to the interest rate differential of the cross-currency swaps. For the three and six months ended June 30, 2024, the Company recorded gains of $1.3 million and $2.6 million, respectively, in other income, net included in the consolidated statements of operations related to the interest rate differential of the cross-currency swaps.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gain that is expected to be reclassified to other income (expense), net from AOCI as of June 30, 2025 within the next twelve months is $5.2 million. As of June 30, 2025, the Company does not expect any gains or losses will be reclassified into earnings because the original forecasted transactions will not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February 2025, the Company entered into a cross-currency swap agreement with a notional amount of CHF 67.8 million equivalent to $75.0 million, where the Company agreed with third-parties to sell CHF in exchange for U.S. dollars at a specified rate at the maturity of the contract. The new cross-currency swap agreement was designated as a net investment hedge to partially offset the effects of foreign currency on foreign subsidiaries.</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25, 2025, the Company entered into a cross-currency swap agreement with a notional amount of CHF 59.7 million, equivalent to $75.0 million, to be designated as a net investment hedge to partially offset the effects of foreign currency on foreign subsidiaries.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the following cross-currency rate swaps designated as net investment hedges as of June 30, 2025 and December 31, 2024, respectively (dollar amounts in thousands):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1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29"/>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9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85"/>
        </w:trPr>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Effective Date</w:t>
            </w:r>
          </w:p>
        </w:tc>
        <w:tc>
          <w:tcPr>
            <w:tcW w:w="10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Termination Date</w:t>
            </w:r>
          </w:p>
        </w:tc>
        <w:tc>
          <w:tcPr>
            <w:tcW w:w="100" w:type="dxa"/>
            <w:vAlign w:val="bottom"/>
          </w:tcPr>
          <w:p>
            <w:pPr>
              <w:spacing w:after="0"/>
              <w:rPr>
                <w:sz w:val="13"/>
                <w:szCs w:val="13"/>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80" w:type="dxa"/>
            <w:vAlign w:val="bottom"/>
          </w:tcPr>
          <w:p>
            <w:pPr>
              <w:spacing w:after="0"/>
              <w:rPr>
                <w:sz w:val="13"/>
                <w:szCs w:val="13"/>
                <w:color w:val="auto"/>
              </w:rPr>
            </w:pPr>
          </w:p>
        </w:tc>
        <w:tc>
          <w:tcPr>
            <w:tcW w:w="2980" w:type="dxa"/>
            <w:vAlign w:val="bottom"/>
            <w:gridSpan w:val="4"/>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Aggregate Notional Amount</w:t>
            </w:r>
          </w:p>
        </w:tc>
        <w:tc>
          <w:tcPr>
            <w:tcW w:w="300" w:type="dxa"/>
            <w:vAlign w:val="bottom"/>
          </w:tcPr>
          <w:p>
            <w:pPr>
              <w:spacing w:after="0"/>
              <w:rPr>
                <w:sz w:val="13"/>
                <w:szCs w:val="13"/>
                <w:color w:val="auto"/>
              </w:rPr>
            </w:pPr>
          </w:p>
        </w:tc>
        <w:tc>
          <w:tcPr>
            <w:tcW w:w="12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960" w:type="dxa"/>
            <w:vAlign w:val="bottom"/>
            <w:gridSpan w:val="3"/>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Asset (Liability)</w:t>
            </w:r>
          </w:p>
        </w:tc>
        <w:tc>
          <w:tcPr>
            <w:tcW w:w="0" w:type="dxa"/>
            <w:vAlign w:val="bottom"/>
          </w:tcPr>
          <w:p>
            <w:pPr>
              <w:spacing w:after="0"/>
              <w:rPr>
                <w:sz w:val="1"/>
                <w:szCs w:val="1"/>
                <w:color w:val="auto"/>
              </w:rPr>
            </w:pPr>
          </w:p>
        </w:tc>
      </w:tr>
      <w:tr>
        <w:trPr>
          <w:trHeight w:val="85"/>
        </w:trPr>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EUR</w:t>
            </w:r>
          </w:p>
        </w:tc>
        <w:tc>
          <w:tcPr>
            <w:tcW w:w="10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3, 2018</w:t>
            </w:r>
          </w:p>
        </w:tc>
        <w:tc>
          <w:tcPr>
            <w:tcW w:w="10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30, 2025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EUR</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38,820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3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2.19%</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45,000</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May 26, 2022</w:t>
            </w:r>
          </w:p>
        </w:tc>
        <w:tc>
          <w:tcPr>
            <w:tcW w:w="10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16, 2028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240,175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(60,327)</w:t>
            </w:r>
          </w:p>
        </w:tc>
        <w:tc>
          <w:tcPr>
            <w:tcW w:w="3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(27,951)</w:t>
            </w: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1.94%</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250,000</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November 17,</w:t>
            </w:r>
          </w:p>
        </w:tc>
        <w:tc>
          <w:tcPr>
            <w:tcW w:w="10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17, 2029</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66,525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1"/>
                <w:szCs w:val="11"/>
                <w:color w:val="auto"/>
              </w:rPr>
            </w:pPr>
          </w:p>
        </w:tc>
        <w:tc>
          <w:tcPr>
            <w:tcW w:w="1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2.54%</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75,000</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(11,367)</w:t>
            </w:r>
          </w:p>
        </w:tc>
        <w:tc>
          <w:tcPr>
            <w:tcW w:w="3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May 6, 2024</w:t>
            </w:r>
          </w:p>
        </w:tc>
        <w:tc>
          <w:tcPr>
            <w:tcW w:w="10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18, 2030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68,483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2.74%</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75,000</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(13,273)</w:t>
            </w:r>
          </w:p>
        </w:tc>
        <w:tc>
          <w:tcPr>
            <w:tcW w:w="3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w:t>
            </w: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vMerge w:val="continue"/>
          </w:tcPr>
          <w:p>
            <w:pPr>
              <w:spacing w:after="0"/>
              <w:rPr>
                <w:sz w:val="18"/>
                <w:szCs w:val="18"/>
                <w:color w:val="auto"/>
              </w:rPr>
            </w:pP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21, 2025</w:t>
            </w:r>
          </w:p>
        </w:tc>
        <w:tc>
          <w:tcPr>
            <w:tcW w:w="100" w:type="dxa"/>
            <w:vAlign w:val="bottom"/>
          </w:tcPr>
          <w:p>
            <w:pPr>
              <w:spacing w:after="0"/>
              <w:rPr>
                <w:sz w:val="18"/>
                <w:szCs w:val="18"/>
                <w:color w:val="auto"/>
              </w:rPr>
            </w:pP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15, 2031</w:t>
            </w:r>
          </w:p>
        </w:tc>
        <w:tc>
          <w:tcPr>
            <w:tcW w:w="100" w:type="dxa"/>
            <w:vAlign w:val="bottom"/>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67,800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3.24%</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75,000</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(10,461)</w:t>
            </w:r>
          </w:p>
        </w:tc>
        <w:tc>
          <w:tcPr>
            <w:tcW w:w="3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tcBorders>
              <w:bottom w:val="single" w:sz="8" w:color="CCEEFF"/>
            </w:tcBorders>
            <w:gridSpan w:val="2"/>
          </w:tcPr>
          <w:p>
            <w:pPr>
              <w:spacing w:after="0"/>
              <w:rPr>
                <w:sz w:val="9"/>
                <w:szCs w:val="9"/>
                <w:color w:val="auto"/>
              </w:rPr>
            </w:pPr>
          </w:p>
        </w:tc>
        <w:tc>
          <w:tcPr>
            <w:tcW w:w="13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5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700" w:type="dxa"/>
            <w:vAlign w:val="bottom"/>
            <w:tcBorders>
              <w:bottom w:val="single" w:sz="8" w:color="CCEEFF"/>
            </w:tcBorders>
          </w:tcPr>
          <w:p>
            <w:pPr>
              <w:spacing w:after="0"/>
              <w:rPr>
                <w:sz w:val="9"/>
                <w:szCs w:val="9"/>
                <w:color w:val="auto"/>
              </w:rPr>
            </w:pPr>
          </w:p>
        </w:tc>
        <w:tc>
          <w:tcPr>
            <w:tcW w:w="120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(96,154)</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(31,113)</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cross-currency swaps were carried on the consolidated balance sheet at fair value and changes in the fair values were recorded as unrealized gains or losses in AOCI. For the three and six months ended June 30, 2025, the Company recorded losses of $(55.9) million and $(59.3) million, respectively, in AOCI related to the change in fair value of the cross-currency swaps. For the three and six months ended June 30, 2024, the Company recorded a loss of $(4.2) million and a gain of $20.7 million, respectively, in AOCI related to the change in fair value of the cross-currency swaps.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recorded gains of $3.1 million and $5.7 million, respectively, in interest income included in the consolidated statements of operations related to the interest rate differential of the cross-currency swaps. For the three and six months ended June 30, 2024, the Company recorded gains of $2.5 million and $4.7 million, respectively, in interest income included in the consolidated statements of operations related to the interest rate differential of the cross-currency swaps.</w:t>
      </w:r>
    </w:p>
    <w:p>
      <w:pPr>
        <w:spacing w:after="0" w:line="72" w:lineRule="exact"/>
        <w:rPr>
          <w:sz w:val="20"/>
          <w:szCs w:val="20"/>
          <w:color w:val="auto"/>
        </w:rPr>
      </w:pPr>
    </w:p>
    <w:p>
      <w:pPr>
        <w:ind w:right="420"/>
        <w:spacing w:after="0" w:line="375" w:lineRule="auto"/>
        <w:rPr>
          <w:sz w:val="20"/>
          <w:szCs w:val="20"/>
          <w:color w:val="auto"/>
        </w:rPr>
      </w:pPr>
      <w:r>
        <w:rPr>
          <w:rFonts w:ascii="Times New Roman" w:cs="Times New Roman" w:eastAsia="Times New Roman" w:hAnsi="Times New Roman"/>
          <w:sz w:val="18"/>
          <w:szCs w:val="18"/>
          <w:color w:val="auto"/>
        </w:rPr>
        <w:t xml:space="preserve">The estimated gain that is expected to be reclassified to interest income from AOCI as of June 30, 2025 within the next twelve months is $9.6 million. </w:t>
      </w:r>
      <w:r>
        <w:rPr>
          <w:rFonts w:ascii="Times New Roman" w:cs="Times New Roman" w:eastAsia="Times New Roman" w:hAnsi="Times New Roman"/>
          <w:sz w:val="18"/>
          <w:szCs w:val="18"/>
          <w:b w:val="1"/>
          <w:bCs w:val="1"/>
          <w:i w:val="1"/>
          <w:iCs w:val="1"/>
          <w:color w:val="auto"/>
        </w:rPr>
        <w:t>Foreign Currency Forward Contracts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forward contracts designated as cash flow hedges for forecasted purchases in foreign currencies, primarily CHF denominated intercompany purchases. To the extent these forward contracts meet hedge accounting criteria, changes in their fair value are not included in accumulated comprehensive loss. These changes in fair value will be recognized into earnings as a component of cost of sales when the forecasted-transaction occurs. These contracts typically settle at various dates within twelve months of execution. As of June 30, 2025 the notional amount of foreign currency forward contracts was CHF 14.4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recorded gains of $1.7 million and $2.1 million, respectively, in AOCI related to the change in fair value of the foreign currency forward contracts. For the three and six months ended June 30, 2024, the Company recorded an immaterial loss and a loss of $(0.6) million, respectively, in AOCI related to the change in fair value of the foreign currency forward contracts.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recorded losses of $(0.5) million and $(0.4) million, respectively, in other income and cost of goods sold included in the consolidated statements of operations related to the amortization of forward points and rate translation on the foreign currency forward contracts. For the three and six months ended June 30, 2024, the Company recorded losses of $(0.1) million and $(0.2) million, respectively, in other income and cost of goods sold included in the consolidated statements of operations related to the amortization of forward points and rate translation on the 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30, 2025, the Company entered into forward currency forwards with a notional amount of CHF 6.0 million to mitigate the exchange rate risk of Swiss franc denominated intercompany purchases. These contracts settle at various dates within twelve months of execution.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for derivatives designated as hedging instruments in the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December 31,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gridSpan w:val="3"/>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0" w:type="dxa"/>
            <w:vAlign w:val="bottom"/>
          </w:tcPr>
          <w:p>
            <w:pPr>
              <w:spacing w:after="0"/>
              <w:rPr>
                <w:sz w:val="1"/>
                <w:szCs w:val="1"/>
                <w:color w:val="auto"/>
              </w:rPr>
            </w:pPr>
          </w:p>
        </w:tc>
      </w:tr>
      <w:tr>
        <w:trPr>
          <w:trHeight w:val="23"/>
        </w:trPr>
        <w:tc>
          <w:tcPr>
            <w:tcW w:w="7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Location on Balance Sheet </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66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7"/>
                <w:szCs w:val="17"/>
                <w:color w:val="auto"/>
              </w:rPr>
            </w:pPr>
          </w:p>
        </w:tc>
        <w:tc>
          <w:tcPr>
            <w:tcW w:w="15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9"/>
        </w:trPr>
        <w:tc>
          <w:tcPr>
            <w:tcW w:w="756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 —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Cash Flow Hedges</w:t>
            </w:r>
          </w:p>
        </w:tc>
        <w:tc>
          <w:tcPr>
            <w:tcW w:w="6200" w:type="dxa"/>
            <w:vAlign w:val="bottom"/>
            <w:tcBorders>
              <w:bottom w:val="single" w:sz="8" w:color="CCEEFF"/>
            </w:tcBorders>
            <w:gridSpan w:val="3"/>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74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Interest rate swap</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18,509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12,320</w:t>
            </w: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spacing w:after="0"/>
              <w:rPr>
                <w:sz w:val="19"/>
                <w:szCs w:val="19"/>
                <w:color w:val="auto"/>
              </w:rPr>
            </w:pPr>
          </w:p>
        </w:tc>
        <w:tc>
          <w:tcPr>
            <w:tcW w:w="7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Cross-currency swap</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3,411</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74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260" w:type="dxa"/>
            <w:vAlign w:val="bottom"/>
          </w:tcPr>
          <w:p>
            <w:pPr>
              <w:spacing w:after="0"/>
              <w:rPr>
                <w:sz w:val="18"/>
                <w:szCs w:val="18"/>
                <w:color w:val="auto"/>
              </w:rPr>
            </w:pP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1,181</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220" w:type="dxa"/>
            <w:vAlign w:val="bottom"/>
            <w:shd w:val="clear" w:color="auto" w:fill="CCEEFF"/>
          </w:tcPr>
          <w:p>
            <w:pPr>
              <w:spacing w:after="0"/>
              <w:rPr>
                <w:sz w:val="17"/>
                <w:szCs w:val="17"/>
                <w:color w:val="auto"/>
              </w:rPr>
            </w:pPr>
          </w:p>
        </w:tc>
        <w:tc>
          <w:tcPr>
            <w:tcW w:w="7440" w:type="dxa"/>
            <w:vAlign w:val="bottom"/>
            <w:gridSpan w:val="4"/>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Investment Hedges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Cross-currency swap</w:t>
            </w:r>
          </w:p>
        </w:tc>
        <w:tc>
          <w:tcPr>
            <w:tcW w:w="592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rPr>
              <w:t>5,444</w:t>
            </w:r>
          </w:p>
        </w:tc>
        <w:tc>
          <w:tcPr>
            <w:tcW w:w="2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8,605</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60" w:type="dxa"/>
            <w:vAlign w:val="bottom"/>
            <w:gridSpan w:val="5"/>
          </w:tcPr>
          <w:p>
            <w:pPr>
              <w:ind w:left="220"/>
              <w:spacing w:after="0" w:line="175" w:lineRule="exact"/>
              <w:rPr>
                <w:sz w:val="20"/>
                <w:szCs w:val="20"/>
                <w:color w:val="auto"/>
              </w:rPr>
            </w:pPr>
            <w:r>
              <w:rPr>
                <w:rFonts w:ascii="Times New Roman" w:cs="Times New Roman" w:eastAsia="Times New Roman" w:hAnsi="Times New Roman"/>
                <w:sz w:val="16"/>
                <w:szCs w:val="16"/>
                <w:color w:val="auto"/>
              </w:rPr>
              <w:t>Cash Flow Hedges</w:t>
            </w: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swap</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18,502</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38,302</w:t>
            </w:r>
          </w:p>
        </w:tc>
        <w:tc>
          <w:tcPr>
            <w:tcW w:w="0" w:type="dxa"/>
            <w:vAlign w:val="bottom"/>
          </w:tcPr>
          <w:p>
            <w:pPr>
              <w:spacing w:after="0"/>
              <w:rPr>
                <w:sz w:val="1"/>
                <w:szCs w:val="1"/>
                <w:color w:val="auto"/>
              </w:rPr>
            </w:pPr>
          </w:p>
        </w:tc>
      </w:tr>
      <w:tr>
        <w:trPr>
          <w:trHeight w:val="207"/>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 —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47,047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59,227</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 — Liabilities: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60" w:type="dxa"/>
            <w:vAlign w:val="bottom"/>
            <w:gridSpan w:val="5"/>
          </w:tcPr>
          <w:p>
            <w:pPr>
              <w:ind w:left="220"/>
              <w:spacing w:after="0" w:line="175" w:lineRule="exact"/>
              <w:rPr>
                <w:sz w:val="20"/>
                <w:szCs w:val="20"/>
                <w:color w:val="auto"/>
              </w:rPr>
            </w:pPr>
            <w:r>
              <w:rPr>
                <w:rFonts w:ascii="Times New Roman" w:cs="Times New Roman" w:eastAsia="Times New Roman" w:hAnsi="Times New Roman"/>
                <w:sz w:val="16"/>
                <w:szCs w:val="16"/>
                <w:color w:val="auto"/>
              </w:rPr>
              <w:t>Cash Flow Hedges</w:t>
            </w: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swap</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74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Cross-currency swap</w:t>
            </w:r>
          </w:p>
        </w:tc>
        <w:tc>
          <w:tcPr>
            <w:tcW w:w="260" w:type="dxa"/>
            <w:vAlign w:val="bottom"/>
          </w:tcPr>
          <w:p>
            <w:pPr>
              <w:spacing w:after="0"/>
              <w:rPr>
                <w:sz w:val="18"/>
                <w:szCs w:val="18"/>
                <w:color w:val="auto"/>
              </w:rPr>
            </w:pP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spacing w:after="0"/>
              <w:rPr>
                <w:sz w:val="19"/>
                <w:szCs w:val="19"/>
                <w:color w:val="auto"/>
              </w:rPr>
            </w:pPr>
          </w:p>
        </w:tc>
        <w:tc>
          <w:tcPr>
            <w:tcW w:w="7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0" w:type="dxa"/>
            <w:vAlign w:val="bottom"/>
          </w:tcPr>
          <w:p>
            <w:pPr>
              <w:spacing w:after="0"/>
              <w:rPr>
                <w:sz w:val="1"/>
                <w:szCs w:val="1"/>
                <w:color w:val="auto"/>
              </w:rPr>
            </w:pPr>
          </w:p>
        </w:tc>
      </w:tr>
      <w:tr>
        <w:trPr>
          <w:trHeight w:val="175"/>
        </w:trPr>
        <w:tc>
          <w:tcPr>
            <w:tcW w:w="7660" w:type="dxa"/>
            <w:vAlign w:val="bottom"/>
            <w:gridSpan w:val="5"/>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Cross-currency swap</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8,115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3"/>
        </w:trPr>
        <w:tc>
          <w:tcPr>
            <w:tcW w:w="766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Cash Flow Hedges</w:t>
            </w:r>
          </w:p>
        </w:tc>
        <w:tc>
          <w:tcPr>
            <w:tcW w:w="6200" w:type="dxa"/>
            <w:vAlign w:val="bottom"/>
            <w:tcBorders>
              <w:bottom w:val="single" w:sz="8" w:color="CCEEFF"/>
            </w:tcBorders>
            <w:gridSpan w:val="3"/>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74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Interest rate swap</w:t>
            </w:r>
          </w:p>
        </w:tc>
        <w:tc>
          <w:tcPr>
            <w:tcW w:w="260" w:type="dxa"/>
            <w:vAlign w:val="bottom"/>
          </w:tcPr>
          <w:p>
            <w:pPr>
              <w:spacing w:after="0"/>
              <w:rPr>
                <w:sz w:val="18"/>
                <w:szCs w:val="18"/>
                <w:color w:val="auto"/>
              </w:rPr>
            </w:pP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785</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spacing w:after="0"/>
              <w:rPr>
                <w:sz w:val="19"/>
                <w:szCs w:val="19"/>
                <w:color w:val="auto"/>
              </w:rPr>
            </w:pPr>
          </w:p>
        </w:tc>
        <w:tc>
          <w:tcPr>
            <w:tcW w:w="7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Cross-currency swap</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64,347</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7660" w:type="dxa"/>
            <w:vAlign w:val="bottom"/>
            <w:gridSpan w:val="5"/>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Cross-currency swap</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93,483</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39,507</w:t>
            </w:r>
          </w:p>
        </w:tc>
        <w:tc>
          <w:tcPr>
            <w:tcW w:w="0" w:type="dxa"/>
            <w:vAlign w:val="bottom"/>
          </w:tcPr>
          <w:p>
            <w:pPr>
              <w:spacing w:after="0"/>
              <w:rPr>
                <w:sz w:val="1"/>
                <w:szCs w:val="1"/>
                <w:color w:val="auto"/>
              </w:rPr>
            </w:pPr>
          </w:p>
        </w:tc>
      </w:tr>
      <w:tr>
        <w:trPr>
          <w:trHeight w:val="207"/>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 — Liabilities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167,905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46,827</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classifies derivative assets and liabilities as current based on the cash flows expected to be incurred within the following 12 months.</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386"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the effect of derivative instruments designated as cash flow hedges and net investment hedges on the accompanying condensed consolidated statement of operations during the three and six months ended June 30, 2025 and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 of Gain</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Balance in AOCI</w:t>
            </w:r>
          </w:p>
        </w:tc>
        <w:tc>
          <w:tcPr>
            <w:tcW w:w="16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(Loss)</w:t>
            </w: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9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Location in</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w:t>
            </w: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4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Balance in AOCI</w:t>
            </w:r>
          </w:p>
        </w:tc>
        <w:tc>
          <w:tcPr>
            <w:tcW w:w="8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6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 from</w:t>
            </w:r>
          </w:p>
        </w:tc>
        <w:tc>
          <w:tcPr>
            <w:tcW w:w="12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9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Statements of</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4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End of Quarter</w:t>
            </w:r>
          </w:p>
        </w:tc>
        <w:tc>
          <w:tcPr>
            <w:tcW w:w="8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Quarter</w:t>
            </w:r>
          </w:p>
        </w:tc>
        <w:tc>
          <w:tcPr>
            <w:tcW w:w="16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AOCI into</w:t>
            </w:r>
          </w:p>
        </w:tc>
        <w:tc>
          <w:tcPr>
            <w:tcW w:w="12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9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Operations</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AOCI</w:t>
            </w: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18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18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8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35,051</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0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(14,767)</w:t>
            </w:r>
          </w:p>
        </w:tc>
        <w:tc>
          <w:tcPr>
            <w:tcW w:w="80" w:type="dxa"/>
            <w:vAlign w:val="bottom"/>
          </w:tcPr>
          <w:p>
            <w:pPr>
              <w:spacing w:after="0"/>
              <w:rPr>
                <w:sz w:val="18"/>
                <w:szCs w:val="18"/>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0" w:type="dxa"/>
            <w:vAlign w:val="bottom"/>
          </w:tcPr>
          <w:p>
            <w:pPr>
              <w:spacing w:after="0"/>
              <w:rPr>
                <w:sz w:val="1"/>
                <w:szCs w:val="1"/>
                <w:color w:val="auto"/>
              </w:rPr>
            </w:pPr>
          </w:p>
        </w:tc>
      </w:tr>
      <w:tr>
        <w:trPr>
          <w:trHeight w:val="176"/>
        </w:trPr>
        <w:tc>
          <w:tcPr>
            <w:tcW w:w="318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(96,173)</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(97,134)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(34,078)</w:t>
            </w:r>
          </w:p>
        </w:tc>
        <w:tc>
          <w:tcPr>
            <w:tcW w:w="8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(73,983)</w:t>
            </w: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8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53,116</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0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(16,867)</w:t>
            </w:r>
          </w:p>
        </w:tc>
        <w:tc>
          <w:tcPr>
            <w:tcW w:w="80" w:type="dxa"/>
            <w:vAlign w:val="bottom"/>
          </w:tcPr>
          <w:p>
            <w:pPr>
              <w:spacing w:after="0"/>
              <w:rPr>
                <w:sz w:val="18"/>
                <w:szCs w:val="18"/>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8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(29,466)</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7,153</w:t>
            </w:r>
          </w:p>
        </w:tc>
        <w:tc>
          <w:tcPr>
            <w:tcW w:w="8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2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 of Gain</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Balance in AOCI</w:t>
            </w:r>
          </w:p>
        </w:tc>
        <w:tc>
          <w:tcPr>
            <w:tcW w:w="16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(Loss)</w:t>
            </w: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9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Location in</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w:t>
            </w: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4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Balance in AOCI</w:t>
            </w:r>
          </w:p>
        </w:tc>
        <w:tc>
          <w:tcPr>
            <w:tcW w:w="8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6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 from</w:t>
            </w:r>
          </w:p>
        </w:tc>
        <w:tc>
          <w:tcPr>
            <w:tcW w:w="12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9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Statements of</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4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End of Quarter</w:t>
            </w:r>
          </w:p>
        </w:tc>
        <w:tc>
          <w:tcPr>
            <w:tcW w:w="8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4"/>
              </w:rPr>
              <w:t>Year</w:t>
            </w:r>
          </w:p>
        </w:tc>
        <w:tc>
          <w:tcPr>
            <w:tcW w:w="16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AOCI into</w:t>
            </w:r>
          </w:p>
        </w:tc>
        <w:tc>
          <w:tcPr>
            <w:tcW w:w="12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9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Operations</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AOCI</w:t>
            </w: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18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18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8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35,051</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0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(14,767)</w:t>
            </w:r>
          </w:p>
        </w:tc>
        <w:tc>
          <w:tcPr>
            <w:tcW w:w="80" w:type="dxa"/>
            <w:vAlign w:val="bottom"/>
          </w:tcPr>
          <w:p>
            <w:pPr>
              <w:spacing w:after="0"/>
              <w:rPr>
                <w:sz w:val="18"/>
                <w:szCs w:val="18"/>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0" w:type="dxa"/>
            <w:vAlign w:val="bottom"/>
          </w:tcPr>
          <w:p>
            <w:pPr>
              <w:spacing w:after="0"/>
              <w:rPr>
                <w:sz w:val="1"/>
                <w:szCs w:val="1"/>
                <w:color w:val="auto"/>
              </w:rPr>
            </w:pPr>
          </w:p>
        </w:tc>
      </w:tr>
      <w:tr>
        <w:trPr>
          <w:trHeight w:val="175"/>
        </w:trPr>
        <w:tc>
          <w:tcPr>
            <w:tcW w:w="318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(96,173)</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(117,628)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(38,226)</w:t>
            </w:r>
          </w:p>
        </w:tc>
        <w:tc>
          <w:tcPr>
            <w:tcW w:w="8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(73,983)</w:t>
            </w: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8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53,116</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0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(16,867)</w:t>
            </w:r>
          </w:p>
        </w:tc>
        <w:tc>
          <w:tcPr>
            <w:tcW w:w="80" w:type="dxa"/>
            <w:vAlign w:val="bottom"/>
          </w:tcPr>
          <w:p>
            <w:pPr>
              <w:spacing w:after="0"/>
              <w:rPr>
                <w:sz w:val="18"/>
                <w:szCs w:val="18"/>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8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(29,466)</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69,995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45,937</w:t>
            </w:r>
          </w:p>
        </w:tc>
        <w:tc>
          <w:tcPr>
            <w:tcW w:w="8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not Designated Hedges: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enters into foreign currency forward contracts to mitigate risk from the fluctuations in foreign currency exchange rates associated with intercompany balances in Chinese yuan (“CNH”) and CHF. These contracts typically settle at various dates within twelve months of execution. As of June 30, 2025, the notional amounts totaled CNH 120.0 million, equivalent to $16.6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2021, the Company entered into a foreign currency swap, with a notional amount of 800.0 million JPY, equivalent to $7.3 million, to mitigate the risk from fluctuations in foreign currency exchange rates associated with an intercompany loan denominated in Japanese yen.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Company subsequently paid down a portion of this swap, bringing the notional amount down to JPY 400.0 million, equivalent to 3.6 million as of June 30, 2025.</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foreign currency swaps not designated as hedges was $0.7 million and $1.7 million as of June 30, 2025 and December 31, 2024, respectively.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gains and losses on derivative instruments not designated as hedges on the condensed consolidated statements of income, which was included in other income:</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8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3200" w:type="dxa"/>
            <w:vAlign w:val="bottom"/>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7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 currency swaps</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37"/>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stock options, restricted stock awards, performance stock awards, contract stock awards and restricted stock unit awards outstanding under the Integra LifeSciences Holdings Corporation Fifth Amended and Restated 2003 Equity Incentive Plan, as amended (the “2003 Plan”).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 in-control provisions within their grant agreements. The Company values stock option grants using the binomial distribution model. Restricted stock issued under the 2003 Plan vests over specified periods, generally three years after the date of grant. The vesting of performance stock issued under the 2003 Plan is subject to service and performance conditions.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there were approximately $3.6 million of total unrecognized compensation costs related to unvested stock options. These costs are expected to be recognized over a weighted-average period of approximately three years. There were 395,252 stock options granted during the six months ended June 30, 2025. For the six months ended June 30, 2025, the weighted average grant date fair value for stock options granted was $10.77 per option.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of Restricted Stock and Performance Stock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Performance stock and restricted stock awards generally have requisite service periods of three years, except in certain instances that result in accelerated vesting due to death, disability, retirement age provision or change in-control provisions in their grant agreements. Performance stock units are subject to graded vesting conditions based on revenue goals of the Company. The Company expenses the fair value of restricted stock awards on a straight-line basis over the requisite service period. As of June 30, 2025, there was approximately $41.5 million of total unrecognized compensation costs related to these unvested awards. The Company expects to recognize these costs over a weighted-average period of approximately two years. The Company granted 1,009,639 restricted stock awards and 395,781 performance stock awards during the six months ended June 30, 2025. For the six months ended June 30, 2025, the weighted average grant date fair value for restricted stock awards and performance stock units granted was $21.11 and $23.95 per award, respectively.</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RETIREMENT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various defined benefit plans which cover certain employees in France, Japan, Germany and Switzerland.</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periodic benefit costs for the Company’s defined benefit pension plans for the three and six months ended June 30, 2025 were $0.4 million and $0.7 million. The components of the net periodic benefit costs other than the service cost component of $0.8 million and $1.6 million for the three and six months ended June 30, 2025 are included in other income, net in the consolidated statements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periodic benefit costs for the Company’s defined benefit pension plans for the three and six months ended June 30, 2024 were $0.4 million and $0.9 million. The components of the net periodic benefit costs other than the service cost component of $0.8 million and $1.6 million for the three and six months ended June 30, 2024 are included in other income, net in the consolidated statements of operations.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values of plan assets were $59.8 million and $51.8 million as of June 30, 2025 and December 31, 2024, respectively. The net plan assets of the pension plans are invested in common trusts as of June 30, 2025 and December 31, 2024.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were $7.5 million and $6.7 million as of June 30, 2025 and December 31, 2024, respectively. Offsetting liabilities relating to the deferred compensation plan are included in other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 AND RELATED PARTY 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administrative, manufacturing, research and distribution facilities, and vehicles through operating lease agreements. The Company has no finance leases as of June 30, 2025.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lease expense for the six months ended June 30, 2025 and June 30, 2024 was $11.9 million and $12.8 million, respectively, which includes $0.1 million, in related party operating lease expense.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were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 except lease term and discount rate</w:t>
            </w:r>
          </w:p>
        </w:tc>
        <w:tc>
          <w:tcPr>
            <w:tcW w:w="400" w:type="dxa"/>
            <w:vAlign w:val="bottom"/>
          </w:tcPr>
          <w:p>
            <w:pPr>
              <w:spacing w:after="0"/>
              <w:rPr>
                <w:sz w:val="18"/>
                <w:szCs w:val="18"/>
                <w:color w:val="auto"/>
              </w:rPr>
            </w:pPr>
          </w:p>
        </w:tc>
        <w:tc>
          <w:tcPr>
            <w:tcW w:w="19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136,572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144,042</w:t>
            </w:r>
          </w:p>
        </w:tc>
      </w:tr>
      <w:tr>
        <w:trPr>
          <w:trHeight w:val="270"/>
        </w:trPr>
        <w:tc>
          <w:tcPr>
            <w:tcW w:w="6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lease liabilities</w:t>
            </w:r>
          </w:p>
        </w:tc>
        <w:tc>
          <w:tcPr>
            <w:tcW w:w="40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14,176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14,540</w:t>
            </w:r>
          </w:p>
        </w:tc>
      </w:tr>
      <w:tr>
        <w:trPr>
          <w:trHeight w:val="21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4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159,273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166,930</w:t>
            </w: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173,449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181,470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4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Leased facilities</w:t>
            </w:r>
          </w:p>
        </w:tc>
        <w:tc>
          <w:tcPr>
            <w:tcW w:w="40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15.9 years</w:t>
            </w:r>
          </w:p>
        </w:tc>
        <w:tc>
          <w:tcPr>
            <w:tcW w:w="2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 years</w:t>
            </w: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Leased vehicles</w:t>
            </w:r>
          </w:p>
        </w:tc>
        <w:tc>
          <w:tcPr>
            <w:tcW w:w="4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 years</w:t>
            </w: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years</w:t>
            </w:r>
          </w:p>
        </w:tc>
      </w:tr>
      <w:tr>
        <w:trPr>
          <w:trHeight w:val="270"/>
        </w:trPr>
        <w:tc>
          <w:tcPr>
            <w:tcW w:w="6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4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Leased facilities</w:t>
            </w:r>
          </w:p>
        </w:tc>
        <w:tc>
          <w:tcPr>
            <w:tcW w:w="4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Leased vehicles</w:t>
            </w:r>
          </w:p>
        </w:tc>
        <w:tc>
          <w:tcPr>
            <w:tcW w:w="4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six months ended June 30, 2025 and 2024 were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Pr>
          <w:p>
            <w:pPr>
              <w:spacing w:after="0"/>
              <w:rPr>
                <w:sz w:val="18"/>
                <w:szCs w:val="18"/>
                <w:color w:val="auto"/>
              </w:rPr>
            </w:pPr>
          </w:p>
        </w:tc>
        <w:tc>
          <w:tcPr>
            <w:tcW w:w="14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57"/>
        </w:trPr>
        <w:tc>
          <w:tcPr>
            <w:tcW w:w="7860" w:type="dxa"/>
            <w:vAlign w:val="bottom"/>
            <w:tcBorders>
              <w:bottom w:val="single" w:sz="8" w:color="CCEEFF"/>
            </w:tcBorders>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12,029</w:t>
            </w:r>
          </w:p>
        </w:tc>
        <w:tc>
          <w:tcPr>
            <w:tcW w:w="0" w:type="dxa"/>
            <w:vAlign w:val="bottom"/>
          </w:tcPr>
          <w:p>
            <w:pPr>
              <w:spacing w:after="0"/>
              <w:rPr>
                <w:sz w:val="1"/>
                <w:szCs w:val="1"/>
                <w:color w:val="auto"/>
              </w:rPr>
            </w:pPr>
          </w:p>
        </w:tc>
      </w:tr>
      <w:tr>
        <w:trPr>
          <w:trHeight w:val="273"/>
        </w:trPr>
        <w:tc>
          <w:tcPr>
            <w:tcW w:w="7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ROU assets obtained in exchange for lease liabilities, net of modifications: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operating leases at June 30, 2025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Third Parties</w:t>
            </w: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11,647</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20,314</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20,101</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17,805</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17,411</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16,914</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151,190</w:t>
            </w:r>
          </w:p>
        </w:tc>
      </w:tr>
      <w:tr>
        <w:trPr>
          <w:trHeight w:val="212"/>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254,100</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255,382</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81,933</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173,449</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14,176</w:t>
            </w: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159,273</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future minimum lease payments under finance leases at June 30,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one of its manufacturing facilities in Plainsboro, New Jersey, from a general partnership that is 50% owned by a principal stockholder of the Company. The term of the current lease agreement is through October 31, 2029 at an annual rate of approximately $0.3 million.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TREASURY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company held 14.4 million shares of treasury stock outstanding with a cost of $690.0 million and $691.4 million, respectively, with a weighted average cost per share of $47.86 for both periods.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the Company entered into a $50 million accelerated share repurchase (“the 2024 ASR”) and received 1.3 million shares of common stock at inception of the 2024 ASR, which represented approximately 70% of the expected total shares under the 2024 ASR. The early exercise provision was exercised by the 2024 ASR counterparty. The Company received an additional 0.4 million shares determined using the volume-weighted average price of the Company’s common stock during the term of the 2024 ASR.</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18, 2023, the Board of Directors authorized a new $225 million share repurchase program. As of June 30, 2025, $50 million remained authorized. The program, which was authorized in July 2023 and expires on December 31, 2025, allows the Company to repurchase its shares opportunistically from time to time. The Company may utilize various methods to effect any repurchases, including open market transactions, privately negotiated transactions, transactions structured through investment banking institutions, including accelerated share repurchases, or a combination of the foregoing, some of which may be effected through Rule 10b5-1 plans.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 and such repurchases may be discontinued at any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effective tax rate:</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290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100" w:type="dxa"/>
            <w:vAlign w:val="bottom"/>
          </w:tcPr>
          <w:p>
            <w:pPr>
              <w:spacing w:after="0"/>
              <w:rPr>
                <w:sz w:val="18"/>
                <w:szCs w:val="18"/>
                <w:color w:val="auto"/>
              </w:rPr>
            </w:pPr>
          </w:p>
        </w:tc>
        <w:tc>
          <w:tcPr>
            <w:tcW w:w="114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70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4"/>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tax rate</w:t>
            </w: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23.2 %</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Company’s effective income tax rates for the three months ended June 30, 2025 and 2024 were 8.8% and 18.3%, respectively. For the three months ended June 30, 2025, the Company’s effective tax rate was primarily driven by the goodwill impairment charge, as a portion of the charge is non-deductible for tax, as well as the inclusion of Global Intangible Low Taxed Income (“GILTI”) and additional taxes to meet the global minimum tax in certain foreign jurisdictions; offset by federal, state, and international tax benefits generated from operating losses in certain jurisdictions. For the three months ended June 30, 2024, the tax rate is primarily driven by lower book income.</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effective income tax rates for the six months ended June 30, 2025 and 2024 were 9.2% and 23.2%, respectively. For the six months ended June 30, 2025, the Company’s effective tax rate was primarily driven by the goodwill impairment charge, as a portion of the charge is non-deductible for tax, as well as the inclusion of GILTI and additional taxes to meet the global minimum tax in certain foreign jurisdictions; offset by federal, state, and international tax benefits generated from operating losses in certain foreign jurisdictions. For the six months ended June 30, 2024, the tax rate is primarily driven by lower book income and a $1.7 million shortfall from stock based compensation.</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Changes to income tax laws and regulations, in any of the tax jurisdictions in which the Company operates, could impact the effective tax rate. Various governments, both U.S. and non-U.S., are increasingly focused on tax reform and revenue-raising legislation. On July 4, 2025, the One Big Beautiful Bill Act (“OBBBA”) was enacted in the U.S. The OBBBA includes a number of significant provisions, including the permanent extension of certain expiring provisions of the 2017 Tax Cuts and Jobs Act. Additionally, the OBBBA contains changes to the capitalization of research and development expenses, accelerated fixed asset depreciation, and limitations on deductions for interest expense, among other provisions. The Company is still evaluating the impact of the OBBBA and the results of such evaluations will be reflected on the Company's Form 10-Q for the quarter ended September 30, 2025.</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legislation in foreign jurisdictions may be enacted, in continued response to the ongoing base erosion and profit-sharing (“BEPS”) project begun by the Organization for Economic Cooperation and Development (“OECD”). The OECD released model rules related to a new 15% global minimum tax regime (“Pillar 2”). A number of the jurisdictions that the Company operates in have adopted some form of the model rules, which became effective beginning in 2024. The Pillar 2 rules are complex and provide for delays for implementing the tax during the early transition years, if certain conditions are met. The Company is calculating a $2.4 million expense related to Pillar 2 tax liability for the year ending December 31, 2025. Related changes in U.S. and non-U.S. jurisdictions could have an adverse effect on the Company’s effective tax rate. The Company will continue to monitor legislative activity across its U.S. and non-U.S. jurisdictions.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62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2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6"/>
                <w:szCs w:val="16"/>
                <w:color w:val="auto"/>
              </w:rPr>
              <w:t>Dollars in thousands, except per share amounts</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8"/>
        </w:trPr>
        <w:tc>
          <w:tcPr>
            <w:tcW w:w="20" w:type="dxa"/>
            <w:vAlign w:val="bottom"/>
            <w:shd w:val="clear" w:color="auto" w:fill="CCEEFF"/>
          </w:tcPr>
          <w:p>
            <w:pPr>
              <w:spacing w:after="0"/>
              <w:rPr>
                <w:sz w:val="15"/>
                <w:szCs w:val="15"/>
                <w:color w:val="auto"/>
              </w:rPr>
            </w:pPr>
          </w:p>
        </w:tc>
        <w:tc>
          <w:tcPr>
            <w:tcW w:w="522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Basic net loss per share:</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356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(484,073)</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(509,366)</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(15,683)</w:t>
            </w: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77,409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77,572</w:t>
            </w:r>
          </w:p>
        </w:tc>
      </w:tr>
      <w:tr>
        <w:trPr>
          <w:trHeight w:val="257"/>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net loss per common share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257"/>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Diluted net loss per share:</w:t>
            </w:r>
          </w:p>
        </w:tc>
        <w:tc>
          <w:tcPr>
            <w:tcW w:w="34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(484,073)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14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(509,366)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(15,683)</w:t>
            </w:r>
          </w:p>
        </w:tc>
      </w:tr>
      <w:tr>
        <w:trPr>
          <w:trHeight w:val="259"/>
        </w:trPr>
        <w:tc>
          <w:tcPr>
            <w:tcW w:w="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77,409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77,572</w:t>
            </w: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2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Stock options and restricted stock</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52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for diluted earnings per share</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76,695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77,409</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76,579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77,572</w:t>
            </w:r>
          </w:p>
        </w:tc>
      </w:tr>
      <w:tr>
        <w:trPr>
          <w:trHeight w:val="257"/>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loss per common share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common shares outstanding during the period. Diluted earnings per share is computed based on the weighted-average common shares outstanding plus the effect of dilutive potential common shares outstanding during the period calculated using the treasury stock method. Dilutive potential common shares include employee equity share options, non-vested shares, and similar equity instruments granted by the Company. Potential common share equivalents have been excluded where their inclusion would be anti-dilutive. For periods in which the Company generated a net loss, the Company does not include the potential impact of dilutive securities in diluted net loss per share, as the impact of these items is anti-dilutive.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of approximately 1.5 million and 1.3 million shares at June 30, 2025 and 2024, respectively, were not included in the computation of diluted net loss per share because their effect would have been anti-dilutive.</w:t>
      </w:r>
    </w:p>
    <w:p>
      <w:pPr>
        <w:spacing w:after="0" w:line="158" w:lineRule="exact"/>
        <w:rPr>
          <w:sz w:val="20"/>
          <w:szCs w:val="20"/>
          <w:color w:val="auto"/>
        </w:rPr>
      </w:pPr>
    </w:p>
    <w:p>
      <w:pPr>
        <w:ind w:right="47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14. ACCUMULATED OTHER COMPREHENSIVE (LOSS) INCOME </w:t>
      </w:r>
      <w:r>
        <w:rPr>
          <w:rFonts w:ascii="Times New Roman" w:cs="Times New Roman" w:eastAsia="Times New Roman" w:hAnsi="Times New Roman"/>
          <w:sz w:val="18"/>
          <w:szCs w:val="18"/>
          <w:color w:val="auto"/>
        </w:rPr>
        <w:t>Comprehensive (loss) income for the three and six months ended June 30, 2025 and 2024:</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(484,073)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(12,402)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(15,683)</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(7,945)</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unrealized (gain) loss on derivatives, net of tax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liability adjustment, net of tax</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4"/>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 net</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(20,482)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income by component between December 31, 2024 and June 30, 2025 are presented in the table below, net of tax:</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 and Losses</w:t>
            </w:r>
          </w:p>
        </w:tc>
        <w:tc>
          <w:tcPr>
            <w:tcW w:w="12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8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80" w:type="dxa"/>
            <w:vAlign w:val="bottom"/>
          </w:tcPr>
          <w:p>
            <w:pPr>
              <w:spacing w:after="0"/>
              <w:rPr>
                <w:sz w:val="13"/>
                <w:szCs w:val="13"/>
                <w:color w:val="auto"/>
              </w:rPr>
            </w:pPr>
          </w:p>
        </w:tc>
        <w:tc>
          <w:tcPr>
            <w:tcW w:w="90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6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20" w:type="dxa"/>
            <w:vAlign w:val="bottom"/>
          </w:tcPr>
          <w:p>
            <w:pPr>
              <w:spacing w:after="0"/>
              <w:rPr>
                <w:sz w:val="9"/>
                <w:szCs w:val="9"/>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center"/>
              <w:ind w:left="401"/>
              <w:spacing w:after="0"/>
              <w:rPr>
                <w:sz w:val="20"/>
                <w:szCs w:val="20"/>
                <w:color w:val="auto"/>
              </w:rPr>
            </w:pPr>
            <w:r>
              <w:rPr>
                <w:rFonts w:ascii="Times New Roman" w:cs="Times New Roman" w:eastAsia="Times New Roman" w:hAnsi="Times New Roman"/>
                <w:sz w:val="16"/>
                <w:szCs w:val="16"/>
                <w:color w:val="auto"/>
                <w:w w:val="99"/>
              </w:rPr>
              <w:t>26,612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(27,571)</w:t>
            </w:r>
          </w:p>
        </w:tc>
        <w:tc>
          <w:tcPr>
            <w:tcW w:w="0" w:type="dxa"/>
            <w:vAlign w:val="bottom"/>
          </w:tcPr>
          <w:p>
            <w:pPr>
              <w:spacing w:after="0"/>
              <w:rPr>
                <w:sz w:val="1"/>
                <w:szCs w:val="1"/>
                <w:color w:val="auto"/>
              </w:rPr>
            </w:pPr>
          </w:p>
        </w:tc>
      </w:tr>
      <w:tr>
        <w:trPr>
          <w:trHeight w:val="213"/>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(loss) gain</w:t>
            </w:r>
          </w:p>
        </w:tc>
        <w:tc>
          <w:tcPr>
            <w:tcW w:w="120" w:type="dxa"/>
            <w:vAlign w:val="bottom"/>
          </w:tcPr>
          <w:p>
            <w:pPr>
              <w:spacing w:after="0"/>
              <w:rPr>
                <w:sz w:val="18"/>
                <w:szCs w:val="18"/>
                <w:color w:val="auto"/>
              </w:rPr>
            </w:pPr>
          </w:p>
        </w:tc>
        <w:tc>
          <w:tcPr>
            <w:tcW w:w="1080" w:type="dxa"/>
            <w:vAlign w:val="bottom"/>
          </w:tcPr>
          <w:p>
            <w:pPr>
              <w:jc w:val="center"/>
              <w:ind w:left="381"/>
              <w:spacing w:after="0"/>
              <w:rPr>
                <w:sz w:val="20"/>
                <w:szCs w:val="20"/>
                <w:color w:val="auto"/>
              </w:rPr>
            </w:pPr>
            <w:r>
              <w:rPr>
                <w:rFonts w:ascii="Times New Roman" w:cs="Times New Roman" w:eastAsia="Times New Roman" w:hAnsi="Times New Roman"/>
                <w:sz w:val="16"/>
                <w:szCs w:val="16"/>
                <w:color w:val="auto"/>
                <w:w w:val="98"/>
              </w:rPr>
              <w:t>(49,920)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(37,328)</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Less: Amounts reclassified from accumulated other comprehensive income,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81"/>
              <w:spacing w:after="0"/>
              <w:rPr>
                <w:sz w:val="20"/>
                <w:szCs w:val="20"/>
                <w:color w:val="auto"/>
              </w:rPr>
            </w:pPr>
            <w:r>
              <w:rPr>
                <w:rFonts w:ascii="Times New Roman" w:cs="Times New Roman" w:eastAsia="Times New Roman" w:hAnsi="Times New Roman"/>
                <w:sz w:val="16"/>
                <w:szCs w:val="16"/>
                <w:color w:val="auto"/>
                <w:w w:val="98"/>
              </w:rPr>
              <w:t>(38,714)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(33,992)</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Net current-period other comprehensive (loss) gain</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381"/>
              <w:spacing w:after="0"/>
              <w:rPr>
                <w:sz w:val="20"/>
                <w:szCs w:val="20"/>
                <w:color w:val="auto"/>
              </w:rPr>
            </w:pPr>
            <w:r>
              <w:rPr>
                <w:rFonts w:ascii="Times New Roman" w:cs="Times New Roman" w:eastAsia="Times New Roman" w:hAnsi="Times New Roman"/>
                <w:sz w:val="16"/>
                <w:szCs w:val="16"/>
                <w:color w:val="auto"/>
                <w:w w:val="98"/>
              </w:rPr>
              <w:t>(11,206)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center"/>
              <w:ind w:left="401"/>
              <w:spacing w:after="0"/>
              <w:rPr>
                <w:sz w:val="20"/>
                <w:szCs w:val="20"/>
                <w:color w:val="auto"/>
              </w:rPr>
            </w:pPr>
            <w:r>
              <w:rPr>
                <w:rFonts w:ascii="Times New Roman" w:cs="Times New Roman" w:eastAsia="Times New Roman" w:hAnsi="Times New Roman"/>
                <w:sz w:val="16"/>
                <w:szCs w:val="16"/>
                <w:color w:val="auto"/>
                <w:w w:val="99"/>
              </w:rPr>
              <w:t>15,406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the Company reclassified losses of $(40.6) million and $(0.3) million from AOCI to other income and cost of good sold, respectively. Additionally, the Company reclassified a gain of $6.6 million from AOCI to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organized primarily on the basis of products and operates two global reportable segments. Resources are allocated and performance is assessed by the Company’s President and Chief Executive Officer, which the Company has determined to be the Chief Operating Decision Maker (“CODM”).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two reportable segments and their activities are described below.</w:t>
      </w:r>
    </w:p>
    <w:p>
      <w:pPr>
        <w:spacing w:after="0" w:line="117" w:lineRule="exact"/>
        <w:rPr>
          <w:sz w:val="20"/>
          <w:szCs w:val="20"/>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Codman Specialty Surgical segment operations consist of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 and (iii) the ENT business, which includes instrumentation, balloon technologies for sinus dilation and eustachian tube dilation, as well as surgical navigation systems.</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Tissue Technologies segment operations consist of such offerings as skin and wound repair, plastics and surgical reconstruction products and nerve and tendon repair products. The Tissue Technologies segment includes the Company’s private label business.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Corporate and Other category includes (i) various executive, finance, human resource, information systems and legal functions, (ii) brand management, and (iii) share-based compensation costs, which are not allocated to the reportable segments.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both segments, the CODM uses segment revenue and segment operating income to assess the performance for each segment and in the annual budgeting and forecasting process. The CODM considers budget-to-actual variances on a quarterly basis for segment revenue and segment operating income when making decisions about allocating capital and personnel to the segments.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results of the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reportable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profit by each reportable segment for the three and six months ended June 30, 2025 and 2024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Codman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Tissue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Codman</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Tissue</w:t>
            </w:r>
          </w:p>
        </w:tc>
        <w:tc>
          <w:tcPr>
            <w:tcW w:w="12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restart"/>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Specialty</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restart"/>
          </w:tcPr>
          <w:p>
            <w:pPr>
              <w:jc w:val="right"/>
              <w:ind w:right="219"/>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Specialty</w:t>
            </w: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restart"/>
          </w:tcPr>
          <w:p>
            <w:pPr>
              <w:jc w:val="right"/>
              <w:ind w:right="219"/>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120" w:type="dxa"/>
            <w:vAlign w:val="bottom"/>
          </w:tcPr>
          <w:p>
            <w:pPr>
              <w:spacing w:after="0"/>
              <w:rPr>
                <w:sz w:val="7"/>
                <w:szCs w:val="7"/>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Surgical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Surgical</w:t>
            </w: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120" w:type="dxa"/>
            <w:vAlign w:val="bottom"/>
            <w:tcBorders>
              <w:bottom w:val="single" w:sz="8" w:color="CCEEFF"/>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303,958</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111,647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415,605</w:t>
            </w:r>
          </w:p>
        </w:tc>
        <w:tc>
          <w:tcPr>
            <w:tcW w:w="200" w:type="dxa"/>
            <w:vAlign w:val="bottom"/>
            <w:tcBorders>
              <w:right w:val="single" w:sz="8" w:color="CCEEFF"/>
            </w:tcBorders>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584,622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798,258</w:t>
            </w:r>
          </w:p>
        </w:tc>
        <w:tc>
          <w:tcPr>
            <w:tcW w:w="0" w:type="dxa"/>
            <w:vAlign w:val="bottom"/>
          </w:tcPr>
          <w:p>
            <w:pPr>
              <w:spacing w:after="0"/>
              <w:rPr>
                <w:sz w:val="1"/>
                <w:szCs w:val="1"/>
                <w:color w:val="auto"/>
              </w:rPr>
            </w:pPr>
          </w:p>
        </w:tc>
      </w:tr>
      <w:tr>
        <w:trPr>
          <w:trHeight w:val="253"/>
        </w:trPr>
        <w:tc>
          <w:tcPr>
            <w:tcW w:w="2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206,273</w:t>
            </w:r>
          </w:p>
        </w:tc>
        <w:tc>
          <w:tcPr>
            <w:tcW w:w="200" w:type="dxa"/>
            <w:vAlign w:val="bottom"/>
            <w:tcBorders>
              <w:righ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394,494</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51,725</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Selling, general &amp;</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69,202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179,890</w:t>
            </w:r>
          </w:p>
        </w:tc>
        <w:tc>
          <w:tcPr>
            <w:tcW w:w="200" w:type="dxa"/>
            <w:vAlign w:val="bottom"/>
            <w:tcBorders>
              <w:right w:val="single" w:sz="8" w:color="CCEEFF"/>
            </w:tcBorders>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74,805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147,705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361,387</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7,458</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511,365</w:t>
            </w:r>
          </w:p>
        </w:tc>
        <w:tc>
          <w:tcPr>
            <w:tcW w:w="2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511,365</w:t>
            </w:r>
          </w:p>
        </w:tc>
        <w:tc>
          <w:tcPr>
            <w:tcW w:w="0" w:type="dxa"/>
            <w:vAlign w:val="bottom"/>
          </w:tcPr>
          <w:p>
            <w:pPr>
              <w:spacing w:after="0"/>
              <w:rPr>
                <w:sz w:val="1"/>
                <w:szCs w:val="1"/>
                <w:color w:val="auto"/>
              </w:rPr>
            </w:pPr>
          </w:p>
        </w:tc>
      </w:tr>
      <w:tr>
        <w:trPr>
          <w:trHeight w:val="207"/>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 and expenses</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567,010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216,678</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144,591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928,279</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737,407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301,948</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287,074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1,326,429</w:t>
            </w:r>
          </w:p>
        </w:tc>
        <w:tc>
          <w:tcPr>
            <w:tcW w:w="0" w:type="dxa"/>
            <w:vAlign w:val="bottom"/>
          </w:tcPr>
          <w:p>
            <w:pPr>
              <w:spacing w:after="0"/>
              <w:rPr>
                <w:sz w:val="1"/>
                <w:szCs w:val="1"/>
                <w:color w:val="auto"/>
              </w:rPr>
            </w:pPr>
          </w:p>
        </w:tc>
      </w:tr>
      <w:tr>
        <w:trPr>
          <w:trHeight w:val="253"/>
        </w:trPr>
        <w:tc>
          <w:tcPr>
            <w:tcW w:w="2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(263,052)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(105,031)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(144,591)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(512,674)</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(152,785)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(88,312)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(287,074)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(528,171)</w:t>
            </w:r>
          </w:p>
        </w:tc>
        <w:tc>
          <w:tcPr>
            <w:tcW w:w="0" w:type="dxa"/>
            <w:vAlign w:val="bottom"/>
          </w:tcPr>
          <w:p>
            <w:pPr>
              <w:spacing w:after="0"/>
              <w:rPr>
                <w:sz w:val="1"/>
                <w:szCs w:val="1"/>
                <w:color w:val="auto"/>
              </w:rPr>
            </w:pPr>
          </w:p>
        </w:tc>
      </w:tr>
      <w:tr>
        <w:trPr>
          <w:trHeight w:val="19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200" w:type="dxa"/>
            <w:vAlign w:val="bottom"/>
            <w:tcBorders>
              <w:righ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9,130</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(39,857)</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200" w:type="dxa"/>
            <w:vAlign w:val="bottom"/>
            <w:tcBorders>
              <w:righ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0" w:type="dxa"/>
            <w:vAlign w:val="bottom"/>
          </w:tcPr>
          <w:p>
            <w:pPr>
              <w:spacing w:after="0"/>
              <w:rPr>
                <w:sz w:val="1"/>
                <w:szCs w:val="1"/>
                <w:color w:val="auto"/>
              </w:rPr>
            </w:pPr>
          </w:p>
        </w:tc>
      </w:tr>
      <w:tr>
        <w:trPr>
          <w:trHeight w:val="212"/>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(530,952)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(560,988)</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9"/>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6"/>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9"/>
        </w:trPr>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9"/>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Codman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Tissue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Codman</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Tissue</w:t>
            </w:r>
          </w:p>
        </w:tc>
        <w:tc>
          <w:tcPr>
            <w:tcW w:w="12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restart"/>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Specialty</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restart"/>
          </w:tcPr>
          <w:p>
            <w:pPr>
              <w:jc w:val="right"/>
              <w:ind w:right="219"/>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Specialty</w:t>
            </w: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restart"/>
          </w:tcPr>
          <w:p>
            <w:pPr>
              <w:jc w:val="right"/>
              <w:ind w:right="219"/>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120" w:type="dxa"/>
            <w:vAlign w:val="bottom"/>
          </w:tcPr>
          <w:p>
            <w:pPr>
              <w:spacing w:after="0"/>
              <w:rPr>
                <w:sz w:val="7"/>
                <w:szCs w:val="7"/>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Surgical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Surgical</w:t>
            </w: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120" w:type="dxa"/>
            <w:vAlign w:val="bottom"/>
            <w:tcBorders>
              <w:bottom w:val="single" w:sz="8" w:color="CCEEFF"/>
            </w:tcBorders>
            <w:vMerge w:val="continue"/>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301,761</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116,414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418,175</w:t>
            </w:r>
          </w:p>
        </w:tc>
        <w:tc>
          <w:tcPr>
            <w:tcW w:w="2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558,195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787,047</w:t>
            </w:r>
          </w:p>
        </w:tc>
        <w:tc>
          <w:tcPr>
            <w:tcW w:w="0" w:type="dxa"/>
            <w:vAlign w:val="bottom"/>
          </w:tcPr>
          <w:p>
            <w:pPr>
              <w:spacing w:after="0"/>
              <w:rPr>
                <w:sz w:val="1"/>
                <w:szCs w:val="1"/>
                <w:color w:val="auto"/>
              </w:rPr>
            </w:pPr>
          </w:p>
        </w:tc>
      </w:tr>
      <w:tr>
        <w:trPr>
          <w:trHeight w:val="253"/>
        </w:trPr>
        <w:tc>
          <w:tcPr>
            <w:tcW w:w="2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192,258</w:t>
            </w:r>
          </w:p>
        </w:tc>
        <w:tc>
          <w:tcPr>
            <w:tcW w:w="2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354,296</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56,732</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Selling, general &amp;</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124,727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195,472</w:t>
            </w:r>
          </w:p>
        </w:tc>
        <w:tc>
          <w:tcPr>
            <w:tcW w:w="200" w:type="dxa"/>
            <w:vAlign w:val="bottom"/>
            <w:tcBorders>
              <w:left w:val="single" w:sz="8" w:color="CCEEFF"/>
            </w:tcBorders>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196,988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361,270</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 and expenses</w:t>
            </w: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137,620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79,227</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204,357</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421,204</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290,562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160,999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334,551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786,112</w:t>
            </w:r>
          </w:p>
        </w:tc>
        <w:tc>
          <w:tcPr>
            <w:tcW w:w="0" w:type="dxa"/>
            <w:vAlign w:val="bottom"/>
          </w:tcPr>
          <w:p>
            <w:pPr>
              <w:spacing w:after="0"/>
              <w:rPr>
                <w:sz w:val="1"/>
                <w:szCs w:val="1"/>
                <w:color w:val="auto"/>
              </w:rPr>
            </w:pPr>
          </w:p>
        </w:tc>
      </w:tr>
      <w:tr>
        <w:trPr>
          <w:trHeight w:val="253"/>
        </w:trPr>
        <w:tc>
          <w:tcPr>
            <w:tcW w:w="2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left w:val="single" w:sz="8" w:color="CCEEFF"/>
            </w:tcBorders>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164,141</w:t>
            </w: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(204,357)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267,633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67,853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0" w:type="dxa"/>
            <w:vAlign w:val="bottom"/>
          </w:tcPr>
          <w:p>
            <w:pPr>
              <w:spacing w:after="0"/>
              <w:rPr>
                <w:sz w:val="1"/>
                <w:szCs w:val="1"/>
                <w:color w:val="auto"/>
              </w:rPr>
            </w:pPr>
          </w:p>
        </w:tc>
      </w:tr>
      <w:tr>
        <w:trPr>
          <w:trHeight w:val="199"/>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200" w:type="dxa"/>
            <w:vAlign w:val="bottom"/>
            <w:tcBorders>
              <w:left w:val="single" w:sz="8" w:color="CCEEFF"/>
            </w:tcBorders>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10,098</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(32,275)</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2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(20,415)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allocate any assets to the reportable segments. No asset information is reported to the CODM and disclosed in the financial information for each segment. The Company attributes revenues to geographic areas based on the location of the customer. Total revenue by major geographic area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Pr>
          <w:p>
            <w:pPr>
              <w:spacing w:after="0"/>
              <w:rPr>
                <w:sz w:val="18"/>
                <w:szCs w:val="18"/>
                <w:color w:val="auto"/>
              </w:rPr>
            </w:pPr>
          </w:p>
        </w:tc>
        <w:tc>
          <w:tcPr>
            <w:tcW w:w="330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310,225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566,454</w:t>
            </w: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82,285</w:t>
            </w: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95,496</w:t>
            </w:r>
          </w:p>
        </w:tc>
      </w:tr>
      <w:tr>
        <w:trPr>
          <w:trHeight w:val="213"/>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21,310</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42,812</w:t>
            </w:r>
          </w:p>
        </w:tc>
      </w:tr>
      <w:tr>
        <w:trPr>
          <w:trHeight w:val="234"/>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415,605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418,175</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798,258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787,047</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its business, the Company is involved in, from time to time, various legal actions, including any matters described below, involving product liability, employment, intellectual property and commercial disputes, shareholder related matters, environmental proceedings, tax disputes, and governmental proceedings and investigations, some of which have been settled by the Company. In the opinion of management, such matters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accrues for loss contingencies when it is deemed probable that a loss has been incurred and that loss is estimable. If the reasonable estimate of a probable loss is a range, and no amount within the range is a better estimate than any other, the minimum amount of the range is recorded. In most cases, significant judgment is required to estimate the amount and timing of a loss to be recorded and actual results may differ from these estimates.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21, 2023, Fortis Advisors, LLC (representative of the security holders of ACell, Inc. (“ACell”)) filed for arbitration against Integra LifeSciences before the Court of International Arbitration of the International Chamber of Commerce claiming breach of contract related to the earnout consideration from the 2021 acquisition of ACell. Refer to the “Contingent Consideration” subheading of this Note for additional information on the ACell contingent consideration. The Company believes that it has strong defenses to the allegations in the arbitration and intends to defend the matter vigorously.</w:t>
      </w:r>
    </w:p>
    <w:p>
      <w:pPr>
        <w:spacing w:after="0" w:line="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September 12, 2023, a securities class action complaint, captioned </w:t>
      </w:r>
      <w:r>
        <w:rPr>
          <w:rFonts w:ascii="Times New Roman" w:cs="Times New Roman" w:eastAsia="Times New Roman" w:hAnsi="Times New Roman"/>
          <w:sz w:val="18"/>
          <w:szCs w:val="18"/>
          <w:i w:val="1"/>
          <w:iCs w:val="1"/>
          <w:color w:val="auto"/>
        </w:rPr>
        <w:t>Pembroke Pines Firefighters &amp; Police Officers Pension Fund v. Integra LifeSciences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Corporation</w:t>
      </w:r>
      <w:r>
        <w:rPr>
          <w:rFonts w:ascii="Times New Roman" w:cs="Times New Roman" w:eastAsia="Times New Roman" w:hAnsi="Times New Roman"/>
          <w:sz w:val="18"/>
          <w:szCs w:val="18"/>
          <w:color w:val="auto"/>
        </w:rPr>
        <w:t>, No. 23-cv-20321 (D.N.J.), was filed by a purported stockholder of the Company in the United States District Court for the District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Jersey (the “Pembroke Litigation”) against the Company and certain of the Company’s current and former executive officers. The Pembroke Litigation, filed on behalf of a putative class of stockholders who purchased or acquired the Company’s common stock between March 11, 2019 and May 22, 2023, inclusive, alleges violations of Sections 10(b) and 20(a) of the Securities Exchange Act of 1934, as amended, and Rule 10b-5 promulgated thereunder, on the basis of purportedly materially false and misleading statements and omissions relating to certain quality systems issues identified by the FDA at the Company’s Boston, Massachusetts manufacturing facility, the Company’s efforts to remediate those issues, and the Company’s forecasts for certain products in its Tissue Technologies segment. The complaint seeks, among other things, compensatory damages, attorneys’ fees, expert fees, and other costs. The Company believes that it has strong defenses to the allegations in the Pembroke Litigation, and intends to defend the matter vigorously. On July 1, 2025, the class action complaint was dismissed without prejudice. The plaintiffs have until August 15, 2025 to file a Second Amended Complaint.</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February 21, 2025, a derivative lawsuit captioned </w:t>
      </w:r>
      <w:r>
        <w:rPr>
          <w:rFonts w:ascii="Times New Roman" w:cs="Times New Roman" w:eastAsia="Times New Roman" w:hAnsi="Times New Roman"/>
          <w:sz w:val="18"/>
          <w:szCs w:val="18"/>
          <w:i w:val="1"/>
          <w:iCs w:val="1"/>
          <w:color w:val="auto"/>
        </w:rPr>
        <w:t>Grabowsky v. Integra LifeSciences Holding Corp. et al,</w:t>
      </w:r>
      <w:r>
        <w:rPr>
          <w:rFonts w:ascii="Times New Roman" w:cs="Times New Roman" w:eastAsia="Times New Roman" w:hAnsi="Times New Roman"/>
          <w:sz w:val="18"/>
          <w:szCs w:val="18"/>
          <w:color w:val="auto"/>
        </w:rPr>
        <w:t xml:space="preserve"> No. 3:25-cv-01399 (D.N.J.) was filed in the United States District Court for the District of New Jersey. The action purports to assert derivative claims on behalf of the Company against its current Board of Directors and certain of its current or former officers and directors. The action asserts claims that the individual defendants breached their fiduciary duties and harmed the Company by making false and misleading statements and omissions relating to certain quality systems issues identified by the U.S. Food and Drug Administration (“FDA”) at the Company’s Boston, Massachusetts manufacturing facility, the Company’s efforts to remediate those issues, and the Company’s forecasts for certain products in its Tissue Technologies segment. On March 28, 2025, the derivative lawsuit was voluntarily dismissed by the plaintiff. On April 1, 2025 the lawsuit was dismissed with prejudice.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May 13, 2025 and May 16, 2025, derivative lawsuits captioned </w:t>
      </w:r>
      <w:r>
        <w:rPr>
          <w:rFonts w:ascii="Times New Roman" w:cs="Times New Roman" w:eastAsia="Times New Roman" w:hAnsi="Times New Roman"/>
          <w:sz w:val="18"/>
          <w:szCs w:val="18"/>
          <w:i w:val="1"/>
          <w:iCs w:val="1"/>
          <w:color w:val="auto"/>
        </w:rPr>
        <w:t>Leverett v. Integra LifeSciences Holding Corp. et al,</w:t>
      </w:r>
      <w:r>
        <w:rPr>
          <w:rFonts w:ascii="Times New Roman" w:cs="Times New Roman" w:eastAsia="Times New Roman" w:hAnsi="Times New Roman"/>
          <w:sz w:val="18"/>
          <w:szCs w:val="18"/>
          <w:color w:val="auto"/>
        </w:rPr>
        <w:t xml:space="preserve"> No. 3:2025-cv-04214 (D.N.J.) and </w:t>
      </w:r>
      <w:r>
        <w:rPr>
          <w:rFonts w:ascii="Times New Roman" w:cs="Times New Roman" w:eastAsia="Times New Roman" w:hAnsi="Times New Roman"/>
          <w:sz w:val="18"/>
          <w:szCs w:val="18"/>
          <w:i w:val="1"/>
          <w:iCs w:val="1"/>
          <w:color w:val="auto"/>
        </w:rPr>
        <w:t xml:space="preserve">Simpkins v. Integra LifeSciences Holding Corp. et al, </w:t>
      </w:r>
      <w:r>
        <w:rPr>
          <w:rFonts w:ascii="Times New Roman" w:cs="Times New Roman" w:eastAsia="Times New Roman" w:hAnsi="Times New Roman"/>
          <w:sz w:val="18"/>
          <w:szCs w:val="18"/>
          <w:color w:val="auto"/>
        </w:rPr>
        <w:t>No. 3:2025-cv-04446 (D.N.J.) were filed in the United States District Court for the District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Jersey. The actions purport to assert derivative claims on behalf of the Company against its current Board of Directors and certain of its current or former officers and directors. The actions assert claims that the individual defendants breached their fiduciary duties and harmed the Company by making false and misleading statements and omissions relating to certain quality systems issues identified by the U.S. Food and Drug Administration (“FDA”) at the Company’s Boston, Massachusetts manufacturing facility, the Company’s efforts to remediate those issues, and the Company’s forecasts for certain products in its Tissue Technologies segment. The Company believes that it has strong defenses to the allegations in the lawsuits and intends to defend the matters vigorously.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contingent consideration during the six month period ended June 30, 2025 and June 30, 2024 to reflect the change in estimate, additions, payments, transfers and the time value of money during each period.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opening balances to the closing balances of these Level 3 measurements for the six months ended June 30, 2025 and June 30, 2024 is as follows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0" w:type="dxa"/>
            <w:vAlign w:val="bottom"/>
            <w:gridSpan w:val="10"/>
          </w:tcPr>
          <w:p>
            <w:pPr>
              <w:ind w:left="100"/>
              <w:spacing w:after="0"/>
              <w:rPr>
                <w:sz w:val="20"/>
                <w:szCs w:val="20"/>
                <w:color w:val="auto"/>
              </w:rPr>
            </w:pPr>
            <w:r>
              <w:rPr>
                <w:rFonts w:ascii="Times New Roman" w:cs="Times New Roman" w:eastAsia="Times New Roman" w:hAnsi="Times New Roman"/>
                <w:sz w:val="16"/>
                <w:szCs w:val="16"/>
                <w:b w:val="1"/>
                <w:bCs w:val="1"/>
                <w:color w:val="auto"/>
              </w:rPr>
              <w:t>Contingent Consideration Liability Related to Acquisition of:</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9"/>
              <w:spacing w:after="0" w:line="168" w:lineRule="exact"/>
              <w:rPr>
                <w:sz w:val="20"/>
                <w:szCs w:val="20"/>
                <w:color w:val="auto"/>
              </w:rPr>
            </w:pPr>
            <w:r>
              <w:rPr>
                <w:rFonts w:ascii="Times New Roman" w:cs="Times New Roman" w:eastAsia="Times New Roman" w:hAnsi="Times New Roman"/>
                <w:sz w:val="16"/>
                <w:szCs w:val="16"/>
                <w:b w:val="1"/>
                <w:bCs w:val="1"/>
                <w:color w:val="auto"/>
                <w:w w:val="98"/>
              </w:rPr>
              <w:t>Surgical</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Arkis </w:t>
            </w:r>
            <w:r>
              <w:rPr>
                <w:rFonts w:ascii="Times New Roman" w:cs="Times New Roman" w:eastAsia="Times New Roman" w:hAnsi="Times New Roman"/>
                <w:sz w:val="10"/>
                <w:szCs w:val="10"/>
                <w:b w:val="1"/>
                <w:bCs w:val="1"/>
                <w:color w:val="auto"/>
              </w:rPr>
              <w:t>(1)</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Derma Sciences</w:t>
            </w:r>
          </w:p>
        </w:tc>
        <w:tc>
          <w:tcPr>
            <w:tcW w:w="220" w:type="dxa"/>
            <w:vAlign w:val="bottom"/>
          </w:tcPr>
          <w:p>
            <w:pPr>
              <w:spacing w:after="0"/>
              <w:rPr>
                <w:sz w:val="16"/>
                <w:szCs w:val="16"/>
                <w:color w:val="auto"/>
              </w:rPr>
            </w:pPr>
          </w:p>
        </w:tc>
        <w:tc>
          <w:tcPr>
            <w:tcW w:w="11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ACell </w:t>
            </w:r>
            <w:r>
              <w:rPr>
                <w:rFonts w:ascii="Times New Roman" w:cs="Times New Roman" w:eastAsia="Times New Roman" w:hAnsi="Times New Roman"/>
                <w:sz w:val="10"/>
                <w:szCs w:val="10"/>
                <w:b w:val="1"/>
                <w:bCs w:val="1"/>
                <w:color w:val="auto"/>
              </w:rPr>
              <w:t>(2)</w:t>
            </w: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Innovations</w:t>
            </w:r>
          </w:p>
        </w:tc>
        <w:tc>
          <w:tcPr>
            <w:tcW w:w="260" w:type="dxa"/>
            <w:vAlign w:val="bottom"/>
          </w:tcPr>
          <w:p>
            <w:pPr>
              <w:spacing w:after="0"/>
              <w:rPr>
                <w:sz w:val="16"/>
                <w:szCs w:val="16"/>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vMerge w:val="restart"/>
          </w:tcPr>
          <w:p>
            <w:pPr>
              <w:jc w:val="right"/>
              <w:ind w:right="442"/>
              <w:spacing w:after="0"/>
              <w:rPr>
                <w:sz w:val="20"/>
                <w:szCs w:val="20"/>
                <w:color w:val="auto"/>
              </w:rPr>
            </w:pPr>
            <w:r>
              <w:rPr>
                <w:rFonts w:ascii="Times New Roman" w:cs="Times New Roman" w:eastAsia="Times New Roman" w:hAnsi="Times New Roman"/>
                <w:sz w:val="11"/>
                <w:szCs w:val="11"/>
                <w:b w:val="1"/>
                <w:bCs w:val="1"/>
                <w:color w:val="auto"/>
              </w:rPr>
              <w:t>(2)</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020" w:type="dxa"/>
            <w:vAlign w:val="bottom"/>
            <w:vMerge w:val="restart"/>
          </w:tcPr>
          <w:p>
            <w:pPr>
              <w:jc w:val="center"/>
              <w:ind w:right="19"/>
              <w:spacing w:after="0" w:line="135" w:lineRule="exact"/>
              <w:rPr>
                <w:sz w:val="20"/>
                <w:szCs w:val="20"/>
                <w:color w:val="auto"/>
              </w:rPr>
            </w:pPr>
            <w:r>
              <w:rPr>
                <w:rFonts w:ascii="Times New Roman" w:cs="Times New Roman" w:eastAsia="Times New Roman" w:hAnsi="Times New Roman"/>
                <w:sz w:val="15"/>
                <w:szCs w:val="15"/>
                <w:b w:val="1"/>
                <w:bCs w:val="1"/>
                <w:color w:val="auto"/>
              </w:rPr>
              <w:t>Associates</w:t>
            </w:r>
          </w:p>
        </w:tc>
        <w:tc>
          <w:tcPr>
            <w:tcW w:w="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(SIA), Inc. </w:t>
            </w:r>
            <w:r>
              <w:rPr>
                <w:rFonts w:ascii="Times New Roman" w:cs="Times New Roman" w:eastAsia="Times New Roman" w:hAnsi="Times New Roman"/>
                <w:sz w:val="10"/>
                <w:szCs w:val="10"/>
                <w:b w:val="1"/>
                <w:bCs w:val="1"/>
                <w:color w:val="auto"/>
              </w:rPr>
              <w:t>(2)</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12,968</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2,686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54,000</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69,657</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Payment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(23,075)</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contingent consideration liabilities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June 30, 2025</w:t>
            </w: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7,341</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1,235</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37,800</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46,379</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Short-Term - Accrued expenses and other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17,700</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21,279</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 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20,100</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25,100</w:t>
            </w:r>
          </w:p>
        </w:tc>
        <w:tc>
          <w:tcPr>
            <w:tcW w:w="0" w:type="dxa"/>
            <w:vAlign w:val="bottom"/>
          </w:tcPr>
          <w:p>
            <w:pPr>
              <w:spacing w:after="0"/>
              <w:rPr>
                <w:sz w:val="1"/>
                <w:szCs w:val="1"/>
                <w:color w:val="auto"/>
              </w:rPr>
            </w:pPr>
          </w:p>
        </w:tc>
      </w:tr>
      <w:tr>
        <w:trPr>
          <w:trHeight w:val="212"/>
        </w:trPr>
        <w:tc>
          <w:tcPr>
            <w:tcW w:w="5300" w:type="dxa"/>
            <w:vAlign w:val="bottom"/>
            <w:gridSpan w:val="2"/>
          </w:tcPr>
          <w:p>
            <w:pPr>
              <w:ind w:left="48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7,341</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1,235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37,800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46,379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0" w:type="dxa"/>
            <w:vAlign w:val="bottom"/>
            <w:gridSpan w:val="10"/>
          </w:tcPr>
          <w:p>
            <w:pPr>
              <w:ind w:left="100"/>
              <w:spacing w:after="0"/>
              <w:rPr>
                <w:sz w:val="20"/>
                <w:szCs w:val="20"/>
                <w:color w:val="auto"/>
              </w:rPr>
            </w:pPr>
            <w:r>
              <w:rPr>
                <w:rFonts w:ascii="Times New Roman" w:cs="Times New Roman" w:eastAsia="Times New Roman" w:hAnsi="Times New Roman"/>
                <w:sz w:val="16"/>
                <w:szCs w:val="16"/>
                <w:b w:val="1"/>
                <w:bCs w:val="1"/>
                <w:color w:val="auto"/>
              </w:rPr>
              <w:t>Contingent Consideration Liability Related to Acquisition of:</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9"/>
              <w:spacing w:after="0" w:line="168" w:lineRule="exact"/>
              <w:rPr>
                <w:sz w:val="20"/>
                <w:szCs w:val="20"/>
                <w:color w:val="auto"/>
              </w:rPr>
            </w:pPr>
            <w:r>
              <w:rPr>
                <w:rFonts w:ascii="Times New Roman" w:cs="Times New Roman" w:eastAsia="Times New Roman" w:hAnsi="Times New Roman"/>
                <w:sz w:val="16"/>
                <w:szCs w:val="16"/>
                <w:b w:val="1"/>
                <w:bCs w:val="1"/>
                <w:color w:val="auto"/>
                <w:w w:val="98"/>
              </w:rPr>
              <w:t>Surgical</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Arkis </w:t>
            </w:r>
            <w:r>
              <w:rPr>
                <w:rFonts w:ascii="Times New Roman" w:cs="Times New Roman" w:eastAsia="Times New Roman" w:hAnsi="Times New Roman"/>
                <w:sz w:val="10"/>
                <w:szCs w:val="10"/>
                <w:b w:val="1"/>
                <w:bCs w:val="1"/>
                <w:color w:val="auto"/>
              </w:rPr>
              <w:t>(1)</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Derma Sciences</w:t>
            </w:r>
          </w:p>
        </w:tc>
        <w:tc>
          <w:tcPr>
            <w:tcW w:w="22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ACell </w:t>
            </w:r>
            <w:r>
              <w:rPr>
                <w:rFonts w:ascii="Times New Roman" w:cs="Times New Roman" w:eastAsia="Times New Roman" w:hAnsi="Times New Roman"/>
                <w:sz w:val="10"/>
                <w:szCs w:val="10"/>
                <w:b w:val="1"/>
                <w:bCs w:val="1"/>
                <w:color w:val="auto"/>
              </w:rPr>
              <w:t>(2)</w:t>
            </w:r>
          </w:p>
        </w:tc>
        <w:tc>
          <w:tcPr>
            <w:tcW w:w="12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Innovations</w:t>
            </w:r>
          </w:p>
        </w:tc>
        <w:tc>
          <w:tcPr>
            <w:tcW w:w="260" w:type="dxa"/>
            <w:vAlign w:val="bottom"/>
          </w:tcPr>
          <w:p>
            <w:pPr>
              <w:spacing w:after="0"/>
              <w:rPr>
                <w:sz w:val="16"/>
                <w:szCs w:val="16"/>
                <w:color w:val="auto"/>
              </w:rPr>
            </w:pPr>
          </w:p>
        </w:tc>
        <w:tc>
          <w:tcPr>
            <w:tcW w:w="900" w:type="dxa"/>
            <w:vAlign w:val="bottom"/>
            <w:vMerge w:val="restart"/>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vMerge w:val="restart"/>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restart"/>
          </w:tcPr>
          <w:p>
            <w:pPr>
              <w:jc w:val="center"/>
              <w:ind w:right="19"/>
              <w:spacing w:after="0" w:line="135" w:lineRule="exact"/>
              <w:rPr>
                <w:sz w:val="20"/>
                <w:szCs w:val="20"/>
                <w:color w:val="auto"/>
              </w:rPr>
            </w:pPr>
            <w:r>
              <w:rPr>
                <w:rFonts w:ascii="Times New Roman" w:cs="Times New Roman" w:eastAsia="Times New Roman" w:hAnsi="Times New Roman"/>
                <w:sz w:val="15"/>
                <w:szCs w:val="15"/>
                <w:b w:val="1"/>
                <w:bCs w:val="1"/>
                <w:color w:val="auto"/>
              </w:rPr>
              <w:t>Associates</w:t>
            </w:r>
          </w:p>
        </w:tc>
        <w:tc>
          <w:tcPr>
            <w:tcW w:w="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(SIA), Inc. </w:t>
            </w:r>
            <w:r>
              <w:rPr>
                <w:rFonts w:ascii="Times New Roman" w:cs="Times New Roman" w:eastAsia="Times New Roman" w:hAnsi="Times New Roman"/>
                <w:sz w:val="10"/>
                <w:szCs w:val="10"/>
                <w:b w:val="1"/>
                <w:bCs w:val="1"/>
                <w:color w:val="auto"/>
              </w:rPr>
              <w:t>(2)</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2,557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68,700</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87,312</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Payment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(12,400)</w:t>
            </w:r>
          </w:p>
        </w:tc>
        <w:tc>
          <w:tcPr>
            <w:tcW w:w="0" w:type="dxa"/>
            <w:vAlign w:val="bottom"/>
          </w:tcPr>
          <w:p>
            <w:pPr>
              <w:spacing w:after="0"/>
              <w:rPr>
                <w:sz w:val="1"/>
                <w:szCs w:val="1"/>
                <w:color w:val="auto"/>
              </w:rPr>
            </w:pPr>
          </w:p>
        </w:tc>
      </w:tr>
      <w:tr>
        <w:trPr>
          <w:trHeight w:val="232"/>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contingent consideration liabilities</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1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14,821</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2,632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59,500</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77,253</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Short-Term - Accrued expenses and other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8,244</w:t>
            </w:r>
          </w:p>
        </w:tc>
        <w:tc>
          <w:tcPr>
            <w:tcW w:w="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19,200</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27,444</w:t>
            </w:r>
          </w:p>
        </w:tc>
        <w:tc>
          <w:tcPr>
            <w:tcW w:w="0" w:type="dxa"/>
            <w:vAlign w:val="bottom"/>
          </w:tcPr>
          <w:p>
            <w:pPr>
              <w:spacing w:after="0"/>
              <w:rPr>
                <w:sz w:val="1"/>
                <w:szCs w:val="1"/>
                <w:color w:val="auto"/>
              </w:rPr>
            </w:pPr>
          </w:p>
        </w:tc>
      </w:tr>
      <w:tr>
        <w:trPr>
          <w:trHeight w:val="232"/>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 Other liabilities</w:t>
            </w: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6,577</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2,632</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40,300</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49,809</w:t>
            </w:r>
          </w:p>
        </w:tc>
        <w:tc>
          <w:tcPr>
            <w:tcW w:w="0" w:type="dxa"/>
            <w:vAlign w:val="bottom"/>
          </w:tcPr>
          <w:p>
            <w:pPr>
              <w:spacing w:after="0"/>
              <w:rPr>
                <w:sz w:val="1"/>
                <w:szCs w:val="1"/>
                <w:color w:val="auto"/>
              </w:rPr>
            </w:pPr>
          </w:p>
        </w:tc>
      </w:tr>
      <w:tr>
        <w:trPr>
          <w:trHeight w:val="210"/>
        </w:trPr>
        <w:tc>
          <w:tcPr>
            <w:tcW w:w="5300" w:type="dxa"/>
            <w:vAlign w:val="bottom"/>
            <w:gridSpan w:val="2"/>
          </w:tcPr>
          <w:p>
            <w:pPr>
              <w:ind w:left="48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14,821</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2,632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59,500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77,253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Location in financial statements: Research and development</w:t>
      </w:r>
    </w:p>
    <w:p>
      <w:pPr>
        <w:spacing w:after="0" w:line="26" w:lineRule="exact"/>
        <w:rPr>
          <w:rFonts w:ascii="Times New Roman" w:cs="Times New Roman" w:eastAsia="Times New Roman" w:hAnsi="Times New Roman"/>
          <w:sz w:val="13"/>
          <w:szCs w:val="13"/>
          <w:color w:val="auto"/>
        </w:rPr>
      </w:pPr>
    </w:p>
    <w:p>
      <w:pPr>
        <w:ind w:left="180" w:hanging="172"/>
        <w:spacing w:after="0"/>
        <w:tabs>
          <w:tab w:leader="none" w:pos="1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Location in financial statements: Selling, general and administrative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Arkis BioSciences Inc.</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acquisition of Arkis BioSciences Inc. (“Arkis”),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In the first quarter of 2025, the Company paid out a development milestone related to design verification procedures for $5.0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Derma Sciences, Inc.</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assumed contingent consideration incurred by Derma Sciences, Inc. (“Derma Sciences”) related to its acquisitions of BioD, LLC and the intellectual property related to Medihoney® products. The Company accounted for the contingent liabilities by recording the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ACell, Inc.</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acquisition of ACell, the Company is required to make payments to the former shareholders of ACell up to $100 million in total for years 2022, 2023, and 2025 based on the achievement by the Company of certain revenue-based performance milestones. The Company estimated the fair value of the contingent consideration to be $23.9 million at the acquisition date. The 2022 and 2023 milestones were not achieved, leaving only one contingent milestone remaining. The Company used iterations of the Monte Carlo simulation to calculate the fair value of the contingent consideration that considered the possible outcomes of scenarios related to each specific milestone.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Surgical Innovations Associates, Inc.</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acquisition of Surgical Innovations Associates, Inc. (“SIA”), the Company is required to pay to the former shareholders of SIA up to $90.0 million for two separate payments, which are dependent on (1) achieving certain revenue-based performance milestones in 2023, 2024, and 2025 (up to $50.0 million in additional payments), as well as (2) the approval by the FDA of the pre-market approval ("PMA") application for DuraSorb for certain uses by certain timing targets (up to $40.0 million in additional payments). The Company estimated the fair value of the contingent consideration for the revenue based milestone to be $32.6 million at the acquisition date and $25.0 million for the PMA approval milestone at the acquisition date. In the second quarter of 2025, the Company paid out $18.1 million related to the 2024 performance year. Similarly, in the second quarter of 2024, the Company paid out $12.4 million related to the 2023 performance year. The Company used iterations of the Monte Carlo simulation to calculate the fair value of the contingent consideration for the revenue-based milestone that considered the possible outcomes of scenarios related to each specific milestone for the revenue based performance milestone. The Company used probabilities of achieving the conditions to calculate the fair value of the contingent consideration for the PMA approval milestone.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FASB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defines fair value as the price that would be received to sell an asset or paid to transfer a liability in an orderly transaction between market participants at the measurement date. When determining fair value, the Company considers the principal or most advantageous market in which it would transact and considers assumptions that market participants would use when pricing the asset or liability.</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Valuation techniques used to measure fair value should maximize the use of observable inputs and minimize the use of unobservable inputs. ASC 820 establishes a three-level hierarchy of the inputs (i.e., assumptions that market participants would use in pricing an asset or liability) used to measure fair value, giving the highest priority to quoted prices in active markets and the lowest priority to unobservable inputs in measuring fair value. The categorization within the valuation hierarchy is based on the lowest level of input that is significant to the entire fair value measurement. The three levels of the valuation hierarchy are defined as follows: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Level 1</w:t>
      </w:r>
      <w:r>
        <w:rPr>
          <w:rFonts w:ascii="Times New Roman" w:cs="Times New Roman" w:eastAsia="Times New Roman" w:hAnsi="Times New Roman"/>
          <w:sz w:val="18"/>
          <w:szCs w:val="18"/>
          <w:color w:val="auto"/>
        </w:rPr>
        <w:t>: Inputs to the valuation methodology are quoted prices in active markets for identical assets or liabilities.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Level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Inputs to the valuation methodology are other observable inputs, including quoted market prices for similar assets or liabilities in active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Level 3</w:t>
      </w:r>
      <w:r>
        <w:rPr>
          <w:rFonts w:ascii="Times New Roman" w:cs="Times New Roman" w:eastAsia="Times New Roman" w:hAnsi="Times New Roman"/>
          <w:sz w:val="18"/>
          <w:szCs w:val="18"/>
          <w:color w:val="auto"/>
        </w:rPr>
        <w:t>: Inputs to the valuation methodology are unobservable inputs that are supported by little or no market activity and are based on management’s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 of inputs market participants would use in pricing the asset or liability at the measurement date, including assumptions about risk.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investments in time deposits that are classified within Level 1 of the fair value hierarchy because they are valued using quoted market prices, as well as certain debt obligations that are classified within Level 1 of the fair value hierarchy because they are valued using quoted market prices. The investments in time deposits are classified as cash and cash equivalents and short-term investments on the consolidated balance sheets which is determined based on maturities at the time of purchase and re-evaluated at each balance sheet date.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also has investments in derivative instruments, which are comprised of interest rate swaps, cross currency swaps, net investment hedges, and forward foreign currency contracts that are classified within Level 2 of the fair value hierarchy because they are valued using analyses obtained from independent third-party valuation specialists based on market observable inputs. The fair values of these derivative contracts represent the estimated amounts the Company would receive or pay to terminate the contracts. Refer to </w:t>
      </w:r>
      <w:r>
        <w:rPr>
          <w:rFonts w:ascii="Times New Roman" w:cs="Times New Roman" w:eastAsia="Times New Roman" w:hAnsi="Times New Roman"/>
          <w:sz w:val="18"/>
          <w:szCs w:val="18"/>
          <w:i w:val="1"/>
          <w:iCs w:val="1"/>
          <w:color w:val="auto"/>
        </w:rPr>
        <w:t>Note 7. Derivative Instruments</w:t>
      </w:r>
      <w:r>
        <w:rPr>
          <w:rFonts w:ascii="Times New Roman" w:cs="Times New Roman" w:eastAsia="Times New Roman" w:hAnsi="Times New Roman"/>
          <w:sz w:val="18"/>
          <w:szCs w:val="18"/>
          <w:color w:val="auto"/>
        </w:rPr>
        <w:t xml:space="preserve"> for further discussion and information on these derivative contracts.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Company has contingent consideration liabilities that are classified within Level 3 of the fair value hierarchy because they are measured at fair value using significant unobservable inputs, including management’s forecast of future revenues for the acquired businesses as well as management’s estimates of the likelihood of achieving the other specified criteria. Refer to </w:t>
      </w:r>
      <w:r>
        <w:rPr>
          <w:rFonts w:ascii="Times New Roman" w:cs="Times New Roman" w:eastAsia="Times New Roman" w:hAnsi="Times New Roman"/>
          <w:sz w:val="18"/>
          <w:szCs w:val="18"/>
          <w:i w:val="1"/>
          <w:iCs w:val="1"/>
          <w:color w:val="auto"/>
        </w:rPr>
        <w:t>Note 16. Commitments and Contingencies</w:t>
      </w:r>
      <w:r>
        <w:rPr>
          <w:rFonts w:ascii="Times New Roman" w:cs="Times New Roman" w:eastAsia="Times New Roman" w:hAnsi="Times New Roman"/>
          <w:sz w:val="18"/>
          <w:szCs w:val="18"/>
          <w:color w:val="auto"/>
        </w:rPr>
        <w:t xml:space="preserve"> for additional information on these contingent consideration liabilities.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and recorded at fair value on a recurring basis as of June 30, 2025 and March 31, 2024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60" w:type="dxa"/>
            <w:vAlign w:val="bottom"/>
          </w:tcPr>
          <w:p>
            <w:pPr>
              <w:jc w:val="center"/>
              <w:ind w:left="8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0" w:type="dxa"/>
            <w:vAlign w:val="bottom"/>
          </w:tcPr>
          <w:p>
            <w:pPr>
              <w:spacing w:after="0"/>
              <w:rPr>
                <w:sz w:val="16"/>
                <w:szCs w:val="16"/>
                <w:color w:val="auto"/>
              </w:rPr>
            </w:pPr>
          </w:p>
        </w:tc>
        <w:tc>
          <w:tcPr>
            <w:tcW w:w="158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Pr>
          <w:p>
            <w:pPr>
              <w:spacing w:after="0"/>
              <w:rPr>
                <w:sz w:val="16"/>
                <w:szCs w:val="16"/>
                <w:color w:val="auto"/>
              </w:rPr>
            </w:pPr>
          </w:p>
        </w:tc>
        <w:tc>
          <w:tcPr>
            <w:tcW w:w="17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CCEEFF"/>
            </w:tcBorders>
            <w:vMerge w:val="continue"/>
          </w:tcPr>
          <w:p>
            <w:pPr>
              <w:spacing w:after="0"/>
              <w:rPr>
                <w:sz w:val="18"/>
                <w:szCs w:val="18"/>
                <w:color w:val="auto"/>
              </w:rPr>
            </w:pPr>
          </w:p>
        </w:tc>
        <w:tc>
          <w:tcPr>
            <w:tcW w:w="2260" w:type="dxa"/>
            <w:vAlign w:val="bottom"/>
            <w:tcBorders>
              <w:bottom w:val="single" w:sz="8" w:color="CCEEFF"/>
            </w:tcBorders>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60" w:type="dxa"/>
            <w:vAlign w:val="bottom"/>
          </w:tcPr>
          <w:p>
            <w:pPr>
              <w:jc w:val="center"/>
              <w:ind w:left="879"/>
              <w:spacing w:after="0"/>
              <w:rPr>
                <w:sz w:val="20"/>
                <w:szCs w:val="20"/>
                <w:color w:val="auto"/>
              </w:rPr>
            </w:pPr>
            <w:r>
              <w:rPr>
                <w:rFonts w:ascii="Times New Roman" w:cs="Times New Roman" w:eastAsia="Times New Roman" w:hAnsi="Times New Roman"/>
                <w:sz w:val="16"/>
                <w:szCs w:val="16"/>
                <w:color w:val="auto"/>
              </w:rPr>
              <w:t>Level 1</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217,914</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246,375</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2260" w:type="dxa"/>
            <w:vAlign w:val="bottom"/>
            <w:shd w:val="clear" w:color="auto" w:fill="CCEEFF"/>
          </w:tcPr>
          <w:p>
            <w:pPr>
              <w:jc w:val="center"/>
              <w:ind w:left="879"/>
              <w:spacing w:after="0"/>
              <w:rPr>
                <w:sz w:val="20"/>
                <w:szCs w:val="20"/>
                <w:color w:val="auto"/>
              </w:rPr>
            </w:pPr>
            <w:r>
              <w:rPr>
                <w:rFonts w:ascii="Times New Roman" w:cs="Times New Roman" w:eastAsia="Times New Roman" w:hAnsi="Times New Roman"/>
                <w:sz w:val="16"/>
                <w:szCs w:val="16"/>
                <w:color w:val="auto"/>
              </w:rPr>
              <w:t>Level 1</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35,694</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27,192</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260" w:type="dxa"/>
            <w:vAlign w:val="bottom"/>
          </w:tcPr>
          <w:p>
            <w:pPr>
              <w:jc w:val="center"/>
              <w:ind w:left="879"/>
              <w:spacing w:after="0"/>
              <w:rPr>
                <w:sz w:val="20"/>
                <w:szCs w:val="20"/>
                <w:color w:val="auto"/>
              </w:rPr>
            </w:pPr>
            <w:r>
              <w:rPr>
                <w:rFonts w:ascii="Times New Roman" w:cs="Times New Roman" w:eastAsia="Times New Roman" w:hAnsi="Times New Roman"/>
                <w:sz w:val="16"/>
                <w:szCs w:val="16"/>
                <w:color w:val="auto"/>
              </w:rPr>
              <w:t>Level 2</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35,051</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48,795</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2260" w:type="dxa"/>
            <w:vAlign w:val="bottom"/>
            <w:shd w:val="clear" w:color="auto" w:fill="CCEEFF"/>
          </w:tcPr>
          <w:p>
            <w:pPr>
              <w:jc w:val="center"/>
              <w:ind w:left="879"/>
              <w:spacing w:after="0"/>
              <w:rPr>
                <w:sz w:val="20"/>
                <w:szCs w:val="20"/>
                <w:color w:val="auto"/>
              </w:rPr>
            </w:pPr>
            <w:r>
              <w:rPr>
                <w:rFonts w:ascii="Times New Roman" w:cs="Times New Roman" w:eastAsia="Times New Roman" w:hAnsi="Times New Roman"/>
                <w:sz w:val="16"/>
                <w:szCs w:val="16"/>
                <w:color w:val="auto"/>
              </w:rPr>
              <w:t>Level 2</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 currency forward contracts (not designated as hedges)</w:t>
            </w:r>
          </w:p>
        </w:tc>
        <w:tc>
          <w:tcPr>
            <w:tcW w:w="2260" w:type="dxa"/>
            <w:vAlign w:val="bottom"/>
            <w:tcBorders>
              <w:bottom w:val="single" w:sz="8" w:color="CCEEFF"/>
            </w:tcBorders>
          </w:tcPr>
          <w:p>
            <w:pPr>
              <w:jc w:val="center"/>
              <w:ind w:left="879"/>
              <w:spacing w:after="0"/>
              <w:rPr>
                <w:sz w:val="20"/>
                <w:szCs w:val="20"/>
                <w:color w:val="auto"/>
              </w:rPr>
            </w:pPr>
            <w:r>
              <w:rPr>
                <w:rFonts w:ascii="Times New Roman" w:cs="Times New Roman" w:eastAsia="Times New Roman" w:hAnsi="Times New Roman"/>
                <w:sz w:val="16"/>
                <w:szCs w:val="16"/>
                <w:color w:val="auto"/>
              </w:rPr>
              <w:t>Level 2</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2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290,541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324,062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Cross currency rate swaps</w:t>
            </w:r>
          </w:p>
        </w:tc>
        <w:tc>
          <w:tcPr>
            <w:tcW w:w="2260" w:type="dxa"/>
            <w:vAlign w:val="bottom"/>
          </w:tcPr>
          <w:p>
            <w:pPr>
              <w:jc w:val="center"/>
              <w:ind w:left="879"/>
              <w:spacing w:after="0"/>
              <w:rPr>
                <w:sz w:val="20"/>
                <w:szCs w:val="20"/>
                <w:color w:val="auto"/>
              </w:rPr>
            </w:pPr>
            <w:r>
              <w:rPr>
                <w:rFonts w:ascii="Times New Roman" w:cs="Times New Roman" w:eastAsia="Times New Roman" w:hAnsi="Times New Roman"/>
                <w:sz w:val="16"/>
                <w:szCs w:val="16"/>
                <w:color w:val="auto"/>
              </w:rPr>
              <w:t>Level 2</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60,936</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hedges</w:t>
            </w:r>
          </w:p>
        </w:tc>
        <w:tc>
          <w:tcPr>
            <w:tcW w:w="2260" w:type="dxa"/>
            <w:vAlign w:val="bottom"/>
            <w:shd w:val="clear" w:color="auto" w:fill="CCEEFF"/>
          </w:tcPr>
          <w:p>
            <w:pPr>
              <w:jc w:val="center"/>
              <w:ind w:left="879"/>
              <w:spacing w:after="0"/>
              <w:rPr>
                <w:sz w:val="20"/>
                <w:szCs w:val="20"/>
                <w:color w:val="auto"/>
              </w:rPr>
            </w:pPr>
            <w:r>
              <w:rPr>
                <w:rFonts w:ascii="Times New Roman" w:cs="Times New Roman" w:eastAsia="Times New Roman" w:hAnsi="Times New Roman"/>
                <w:sz w:val="16"/>
                <w:szCs w:val="16"/>
                <w:color w:val="auto"/>
              </w:rPr>
              <w:t>Level 2</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96,154</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31,113</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2260" w:type="dxa"/>
            <w:vAlign w:val="bottom"/>
          </w:tcPr>
          <w:p>
            <w:pPr>
              <w:jc w:val="center"/>
              <w:ind w:left="879"/>
              <w:spacing w:after="0"/>
              <w:rPr>
                <w:sz w:val="20"/>
                <w:szCs w:val="20"/>
                <w:color w:val="auto"/>
              </w:rPr>
            </w:pPr>
            <w:r>
              <w:rPr>
                <w:rFonts w:ascii="Times New Roman" w:cs="Times New Roman" w:eastAsia="Times New Roman" w:hAnsi="Times New Roman"/>
                <w:sz w:val="16"/>
                <w:szCs w:val="16"/>
                <w:color w:val="auto"/>
              </w:rPr>
              <w:t>Level 2</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260" w:type="dxa"/>
            <w:vAlign w:val="bottom"/>
            <w:shd w:val="clear" w:color="auto" w:fill="CCEEFF"/>
          </w:tcPr>
          <w:p>
            <w:pPr>
              <w:jc w:val="center"/>
              <w:ind w:left="879"/>
              <w:spacing w:after="0"/>
              <w:rPr>
                <w:sz w:val="20"/>
                <w:szCs w:val="20"/>
                <w:color w:val="auto"/>
              </w:rPr>
            </w:pPr>
            <w:r>
              <w:rPr>
                <w:rFonts w:ascii="Times New Roman" w:cs="Times New Roman" w:eastAsia="Times New Roman" w:hAnsi="Times New Roman"/>
                <w:sz w:val="16"/>
                <w:szCs w:val="16"/>
                <w:color w:val="auto"/>
              </w:rPr>
              <w:t>Level 3</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46,379</w:t>
            </w: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69,657</w:t>
            </w:r>
          </w:p>
        </w:tc>
        <w:tc>
          <w:tcPr>
            <w:tcW w:w="0" w:type="dxa"/>
            <w:vAlign w:val="bottom"/>
          </w:tcPr>
          <w:p>
            <w:pPr>
              <w:spacing w:after="0"/>
              <w:rPr>
                <w:sz w:val="1"/>
                <w:szCs w:val="1"/>
                <w:color w:val="auto"/>
              </w:rPr>
            </w:pPr>
          </w:p>
        </w:tc>
      </w:tr>
      <w:tr>
        <w:trPr>
          <w:trHeight w:val="212"/>
        </w:trPr>
        <w:tc>
          <w:tcPr>
            <w:tcW w:w="5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226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203,469</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106,051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into or out of Level 3 during the three and six months ended June 30, 2025 and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remeasures the fair value of certain assets and liabilities, including property, plant and equipment, operating lease - right of use assets, and goodwill and other intangible assets, upon the occurrence of certain events. The amounts recognized were recorded to remeasure the carrying amount of assets to the assets’ fair values, which were generally estimated, based upon a market participant’s perspective, using Level 3 measurements, including values estimated using the income approach.</w:t>
      </w:r>
    </w:p>
    <w:p>
      <w:pPr>
        <w:spacing w:after="0" w:line="7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Other than the fair value estimates disclosed in </w:t>
      </w:r>
      <w:r>
        <w:rPr>
          <w:rFonts w:ascii="Times New Roman" w:cs="Times New Roman" w:eastAsia="Times New Roman" w:hAnsi="Times New Roman"/>
          <w:sz w:val="18"/>
          <w:szCs w:val="18"/>
          <w:i w:val="1"/>
          <w:iCs w:val="1"/>
          <w:color w:val="auto"/>
        </w:rPr>
        <w:t>Note 2. Acquisitions and Divestitures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5. Goodwill and Other Intangible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10. 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Related Party Leases</w:t>
      </w:r>
      <w:r>
        <w:rPr>
          <w:rFonts w:ascii="Times New Roman" w:cs="Times New Roman" w:eastAsia="Times New Roman" w:hAnsi="Times New Roman"/>
          <w:sz w:val="18"/>
          <w:szCs w:val="18"/>
          <w:color w:val="auto"/>
        </w:rPr>
        <w:t>, there were no non-recurring fair value measurements during the three and six months ended June 30, 2025 and 2024.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the Company’s financial condition and results of operations should be read in conjunction with our unaudited condensed consolidated financial statements and the related notes thereto appearing elsewhere in this Quarterly Report on Form 10-Q (this “Quarterly Report”) and our consolidated financial statements included in our Annual Report on Form 10-K for the year ended December 31, 2024.</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made statements in this Quarterly Report that constitute forward-looking statements within the meaning of Section 27A of the Securities Act of 1933, as amended and Section 21E of the Securities Exchange Act of 1934 (the “Exchange Act”). All statements other than statements of historical fact contained in this Quarterly Report, including, but not limited to, statements regarding our business strategy and plans, our growth and growth strategies, developments in the markets for our products and services, financial results, our planned product launches and effectiveness, our research and development strategy, regulatory approvals, our competitive strengths, objectives of management for future operations and current expectations or forecasts of future results, our expectations regarding the Boston facility and plans to operationalize the Company's manufacturing facility in Braintree, Massachusetts (“the Braintree facility”), our transition of the manufacture of SurgiMend® and PriMatrix® to the Braintree facility, our ability to obtain a pre-market approval (“PMA”) of SurgiMend PRS in implant-based breast reconstruction and to obtain a PMA for Durasorb® in 2026 for multiple indications for implant-based breast reconstruction, our expectations regarding the Compliance Master Plan (“the CMP”) implementation and engagement, our restructuring and cost-saving initiatives, our intellectual property rights, litigation and tax matters, governmental proceedings and investigations, mergers and acquisitions, divestitures, market acceptance of our products and services, accounting estimates, financing activities, ongoing contractual obligations and compliance with restrictive and financial covenants of our outstanding indebtedness, working capital adequacy, value of our investments, our effective tax rate, estimates regarding the impact of tariffs adopted or implemented by the U.S. or other countries on our business, financial condition and results of operations, our expected returns to shareholders, and our sales efforts, are forward-looking statements. In some cases, these forward-looking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statements may be identified by forward-looking words such as “believe,” “may,” “might,” “could,” “will,” “estimate,” “continue,” “anticipate,” “intend,” “seek,” “plan,” “expect,” “should,” “would” or the negative version of these words or other similar words and expressions in this Quarterly Report.</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about the Company and other matters that may cause our actual results, performance, or achievements to be materially different from any future results, performance, or achievements expressed or implied by the forward-looking statements. We believe these risks include but are not limited to those described under the headings “Risk Factors” and “Special Note Regarding Forward-Looking Statements” in our Annual Report on Form 10-K for the year ended December 31, 2024 and in this Quarterly Report, as such factors may be updated from time to time in our periodic filings with the Securities and Exchange Commission (the “SEC”), which are accessible on the SEC’s website at https://www.sec.gov. Such risks and uncertainties include, but are not limited, to the following: the ongoing and possible future effects of global challenges, including macroeconomic uncertainties, inflation, supply chain disruptions, trade regulation and tariffs, political instability, violent conflicts, and other macroeconomic disruptions and U.S. and global recession concerns, on the Company’s customers and on the Company’s business, financial condition, results of operations and cash flows; the Company's ability to execute its operating plan effectively; the Company’s ability to successfully integrate acquired businesses; the Company’s ability to achieve sales growth in a timely fashion; the Company’s ability to manufacture and ship sufficient quantities of its products to meet its customers’ demands; the ability of third-party suppliers to supply us with raw materials and finished products; the Company’s ability to manage its direct sales channels effectively; the sales performance of third-party distributors on whom the Company relies to generate revenue for certain products and geographic regions; the Company’s ability to access and maintain relationships with customers of acquired entities and businesses; physicians’ willingness to adopt and third-party payors’ willingness to provide or maintain reimbursement for the Company’s recently launched, planned and existing products; initiatives launched by the Company's competitors; downward pricing pressures from customers; the Company's ability to secure regulatory approval for products in development; the Company’s ability to remediate quality systems violations; difficulties or delays in obtaining and maintaining required regulatory approvals related to the transition of manufacturing SurgiMend and PriMatrix to the Braintree facility and obtain pre-market approval of SurgiMend PRS in implant-based breast reconstruction; the possibility that costs or difficulties related to building and the operationalization of the Braintree facility or the transition of manufacturing activities from the Company’s Boston facility to the Braintree facility will be greater than expected; fluctuations in hospitals’ spending for capital equipment; the Company’s ability to comply with regulations regarding products of human origin and products containing materials derived from animal source; the impact of changes in management or staff levels; the impact of goodwill and intangible asset impairment charges if future operating results of acquired businesses are significantly less than the results anticipated at the time of the acquisitions, the Company’s ability to leverage its existing selling organizations and administrative infrastructure; the Company’s ability to increase product sales and gross margins, and control both product and non-product costs and expenses; the amount and timing of divestiture, acquisition and integration-related costs; the geographic distribution of where the Company generates its taxable income; new U.S. and foreign government laws and regulations, and changes in existing laws, regulations and enforcement guidance, which affect areas of our operations including, but not limited to, those affecting the health care industry, including the EU Medical Devices Regulation (“EU MDR”); the scope, duration and effect of additional U.S. and international governmental, regulatory, fiscal, monetary and public health responses to public health crises; fluctuations in foreign currency exchange rates; the amount of our bank borrowings outstanding and other factors influencing liquidity; our ability to comply with the covenants under the agreements governing our indebtedness and the potential negative consequences caused by non-compliance; potential negative impacts resulting from environmental, social and governance matters; disruptions at the FDA, including due to a reduction in the FDA's and CMS' workforce and/or inadequate funding for the FDA or CMS; and the potential impact of our compliance with governmental regulations and accounting guidance.</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business, results of operations, financial condition, and/or cash flows. These forward-looking statements speak only as of the date of this Quarterly Report and we undertake no obligation to publicly update or revise any forward-looking statements, whether as a result of new information, future events or otherwise, except to the extent required by applicable law. You should carefully consider forward-looking statements and understand that such forward-looking statements are inherently subject to risks and uncertainties, some of which cannot be predicted or quantified, and involve a variety of risks and uncertainties.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Integra LifeSciences Holdings Corporation was founded in 1989 and is a leading global medical technology company innovating treatment pathways to advance patient outcomes and set new standards of surgical, neurologic, ear, nose, and throat (“ENT”) and tissue technologies. Our common stock trades on the Nasdaq Global Select Market under the symbol “IART.” We have developed numerous product lines from our technologies for applications ranging from burn and deep tissue wounds to the repair of dura mater in the brain, as well as nerves and tendons. We have expanded our base regenerative technology business to include ENT, surgical instruments, neurosurgical products and advanced wound care through global acquisitions and product development to meet the evolving needs of our customers and enhance patient care.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Integra products are sold in more than 120 countries through a direct sales force as well as distributors and wholesalers. We manufacture and sell medical technologies and products in two reportable business segments: Codman Specialty Surgical (“CSS”) and Tissue Technologies (“TT”). The CSS segment, which represents approximately 70% of our total revenue, consists of market-leading technologies and instrumentation used for a wide range of specialties, such as neurosurgery, neurocritical care and otolaryngology. We are the world leader in neurosurgery and one of the top three providers in the U.S. in instruments used in precision, specialty, and general surgical procedures. Our TT segment generates approximately 30% of our overall revenue and focuses on three main areas: complex wound surgery, surgical reconstruction, and peripheral nerve repair.</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key manufacturing and research facilities located in California, Maryland, Massachusetts, New Jersey, Ohio, Puerto Rico, Tennessee, Utah, France, Germany, Ireland, Israel and Switzerland. We source most of our handheld surgical instruments and dural sealant products through specialized third-party vendors.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strategies are focused around five pillars. Of these five pillars, three are core growth drivers: (1) innovating for outcomes, (2) growing internationally, and (3) broadening our impact on care pathways. Our execution of the core growth drivers is enabled by two additional pillars: (4) driving operational and customer excellence and (5) cultivating a high-performance culture. As outlined in greater detail below, we believe these five pillars will enable us to realize and advance our integrated growth strategy.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this end, our executive leadership team has established the following key priorities aligned to our five pillars: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Innovating for Outcomes</w:t>
      </w:r>
      <w:r>
        <w:rPr>
          <w:rFonts w:ascii="Times New Roman" w:cs="Times New Roman" w:eastAsia="Times New Roman" w:hAnsi="Times New Roman"/>
          <w:sz w:val="18"/>
          <w:szCs w:val="18"/>
          <w:color w:val="auto"/>
        </w:rPr>
        <w:t>. An important part of Integra’s growth strategy is introducing new products to strengthen and expand our portfolio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evidence to support regulatory approval and strong reimbursement of our product portfolio around the world, including new indications for existing technologies. In 2021, we filed a PMA application for a specific indication for SurgiMend in the use of post-mastectomy implant-based breast reconstruction (“IBBR”). We currently anticipate PMA approval following the completion of the construction, FDA approval and operationalization of our Braintree facility, which is expected in 2026. We are also pursuing a PMA for DuraSorb for indications in the use of IBBR. We completed enrollment for the DuraSorb U.S. investigational device exemption (“IDE”) clinical trial for two-stage breast reconstruction in 2023 and we continue to advance the PMA application. Currently, we hope to secure PMA approval for DuraSorb in 2026.</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we expanded our urinary bladder matrix platform with the U.S. launch of MicroMatrix® Flex, a dual-syringe system enabling the convenient mixing and precise delivery of MicroMatrix paste to provide convenient access to hard-to-reach spaces and to help prepare an even surface in challenging wound areas.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in 2024, we successfully re-launched our CereLink® intracranial pressure (“ICP”) monitor system. CereLink provides advanced continuous ICP monitoring when treating patients with traumatic brain injuries and offers enhanced accuracy, usability and advanced data presentation compared to other leading ICP monitoring systems.</w:t>
      </w:r>
    </w:p>
    <w:p>
      <w:pPr>
        <w:spacing w:after="0" w:line="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Growing Internationally. </w:t>
      </w:r>
      <w:r>
        <w:rPr>
          <w:rFonts w:ascii="Times New Roman" w:cs="Times New Roman" w:eastAsia="Times New Roman" w:hAnsi="Times New Roman"/>
          <w:sz w:val="18"/>
          <w:szCs w:val="18"/>
          <w:color w:val="auto"/>
        </w:rPr>
        <w:t>Over the years, we have significantly expanded our global footprint by investing in our commercial and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as well as introducing new products. As part of our In-China-For-China strategy, we continue to build out our assembly capabilities in our facility in Suzhou, China. Several new products were introduced in select international markets in 2023 and 2024, including MicroMatrix and Certas Plus® Programmable Valve, which were launched in Europe, and CUSA Clarity laparoscopic tip, which was launched in Australia, New Zealand, Japan, Canada, South Africa and Israel. In addition, DuraGen® Secure received approval in Japan, while DuraGen Plus, an absorbable and sutureless collagen onlay indicated as a dura substitute for the repair of dura mater, and Certas Plus were approved in China.</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Broadening Impact on Care Pathways</w:t>
      </w:r>
      <w:r>
        <w:rPr>
          <w:rFonts w:ascii="Times New Roman" w:cs="Times New Roman" w:eastAsia="Times New Roman" w:hAnsi="Times New Roman"/>
          <w:sz w:val="18"/>
          <w:szCs w:val="18"/>
          <w:color w:val="auto"/>
        </w:rPr>
        <w:t>. We seek ways to develop and acquire products and technologies that impact the lives of patients, starting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journey that a patient takes from diagnosis and treatment planning to surgery and postoperative care. We are well-established in acute care settings and continue to leverage that strong position to grow in this segment and shape treatment pathways into preoperative care and additional sites of care. In April 2024, we successfully completed the acquisition of Acclarent, Inc. (“Acclarent”). Acclarent is an innovator and market leader in ENT procedures and the acquisition of Acclarent has positioned Integra as one of the leading providers of ENT products and technologies. Furthermore, we believe that, owing to the ENT business being an anatomical adjacency to neurosurgery, the acquisition will allow Integra to deliver future innovation both within the ENT business and across our other CSS technology platforms.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Driving Operations and Customer Excellence. </w:t>
      </w:r>
      <w:r>
        <w:rPr>
          <w:rFonts w:ascii="Times New Roman" w:cs="Times New Roman" w:eastAsia="Times New Roman" w:hAnsi="Times New Roman"/>
          <w:sz w:val="18"/>
          <w:szCs w:val="18"/>
          <w:color w:val="auto"/>
        </w:rPr>
        <w:t>We have been steadily advancing our initiatives to build more responsive and scalable processes, enhance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reliability of our quality systems and supply chain, and drive productivity to further our supply and lower costs. We continue to invest in technologies, systems and processes to enhance the customer experience. We are also committed to our capacity expansion. We have progressed in the transfer from our Boston facility to our Braintree facility, as well as expanding capacity at our manufacturing facility in Plainsboro, New Jersey. We are implementing the CMP, a systematic and holistic approach to improving our quality management system across our manufacturing and supply network. The primary objectives of the CMP are to remediate quality system gaps, harmonize the quality management system and enhance the quality culture across the Company.</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Cultivating a High-Performance Culture. </w:t>
      </w:r>
      <w:r>
        <w:rPr>
          <w:rFonts w:ascii="Times New Roman" w:cs="Times New Roman" w:eastAsia="Times New Roman" w:hAnsi="Times New Roman"/>
          <w:sz w:val="18"/>
          <w:szCs w:val="18"/>
          <w:color w:val="auto"/>
        </w:rPr>
        <w:t>In seeking to sustain a culture of excellence and accountability, we focus on employee empowerment,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development and building an environment where all employees can contribute to their fullest potential. These efforts have been recognized through our inclusion in several best workplace lists globally. We continue to advance our broader organizational sustainability initiatives, and published our third annual environmental, social and governance (“ESG”) report in 2024. For more information on our ESG strategy, goals, performance, and achievements, please visit “Our Company—ESG Report” at https://www.integralife.com/esg-report. Information on our website is not incorporated by reference herein and is not part of this Quarterly Report on Form 10-Q.</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Product Introductions and Research and Development Updates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invest in collecting clinical evidence to support our existing products and new product launches, and to ensure that we obtain market access for broader and more cost-effective solutions.</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Neurosurgical Solutions, Surgical Instruments, and ENT Solutions. </w:t>
      </w:r>
      <w:r>
        <w:rPr>
          <w:rFonts w:ascii="Times New Roman" w:cs="Times New Roman" w:eastAsia="Times New Roman" w:hAnsi="Times New Roman"/>
          <w:sz w:val="18"/>
          <w:szCs w:val="18"/>
          <w:color w:val="auto"/>
        </w:rPr>
        <w:t>The CSS neurosurgical business consists of a broad portfolio of market-leading brands,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Codman®, DuraGen, DuraSeal®, CUSA®, CereLink, Mayfield®, Bactiseal®, and Certas Plus, which are used for the management of multiple disease states, including brain tumors, traumatic brain injury, hydrocephalus and other neurological conditions. The growth in this business in recent years has been fueled by geographic expansion and new product registrations in markets, such as China, Japan, and Europe, which we expect to continue in the near-to-long term. Because our electromechanical products and instruments address significant needs in surgical procedures and limit uncertainty for surgeons, we continue to invest in registrations, clearances, and approvals for new indications and next generation improvements to our market-leading products. We have several active programs focused on life cycle management and innovation for capital and disposable products in our portfolio. Our product development efforts are focused on core clinical applications in cerebrospinal fluid management, neuro-critical care monitoring, minimally invasive instruments and electrosurgery and ultrasonic medical technologies, as well as our ambition to transform the standard of care in neurosurgery with product advancements in minimally invasive surgery and the surgical management of intracerebral hemorrhage.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advance the early-stage technology platforms we acquired in 2019. Through the acquisition of Arkis Biosciences, Inc. (“Arkis”) we added a platform technology, CerebroFlo® external ventricular drainage (“EVD”), a catheter with Endexo® technology, a permanent additive which has shown to be effective in reducing platelet adhesion in-vitro, reducing thrombus accumulation in-vitro and in vivo, and reducing the clinical incidence of thrombus formation. The CerebroFlo EVD catheter has demonstrated an average of 99% less thrombus accumulation onto its surface, in vitro, compared to a market leading EVD catheter. Our work to combine our Bactiseal antimicrobial technology with the Endexo anti-occlusive technology continues to progress for both a silicone-based hydrocephalus and EVD product.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continue to advance our innovation from the Rebound Therapeutics Corporation (“Rebound Therapeutics”), which was acquired in 2019. Rebound Therapeutics specializes in a single-use medical device, known as the Aurora® Surgiscope, which is the only tubular retractor system designed for cranial surgery with an integrated access channel, camera and lighting. The 15mm x 60mm and 15mm x 80mm Aurora Surgiscope System received 510(k) clearance from the FDA in 2025.</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2024 we acquired Acclarent, expanding our capabilities in the U.S. ENT market. Acclarent pioneered the balloon sinuplasty market and has a broad portfolio including the RELIEVA SPINPLUS® Balloon Sinuplasty System. Acclarent also pioneered eustachian tube balloon dilation and currently markets the AERA® Eustachian Tube Dilation System, which received 510(k) clearance for expanded pediatric indications in 2023. In addition, Acclarent sells the TruDi® Navigation System, which includes a portfolio of navigated surgical instrumentation. In July 2025, we announced the inaugural enrollment of the first patient in the Acclarent AERA Pediatric Registry, a prospective, multi-center observational registry evaluating the real-world use of the AERA Eustachian Tube Balloon Dilation System in children, which marks the focused effort to measure the ongoing, real-world clinical performance of AERA in pediatric patients with obstructive Eustachian tube dysfunction. The registry is designed to capture both safety and efficacy outcomes for up to 300 pediatric patients who undergo Eustachian tube balloon dilation using AERA.</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Regenerative Technologies</w:t>
      </w:r>
      <w:r>
        <w:rPr>
          <w:rFonts w:ascii="Times New Roman" w:cs="Times New Roman" w:eastAsia="Times New Roman" w:hAnsi="Times New Roman"/>
          <w:sz w:val="18"/>
          <w:szCs w:val="18"/>
          <w:color w:val="auto"/>
        </w:rPr>
        <w:t>. We were the first company to receive FDA approval for regeneration of dermal tissue and are a world leader in regenerative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Our regenerative technology development program applies our expertise in bioengineering to a range of biomaterials including natural materials such as purified collagen, intact human or animal tissues, honey as well as resorbable synthetic polymers with our DuraSorb and DuraSeal product lines. These unique product designs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are used for neurosurgical and reconstructive surgical applications, as well as dermal regeneration, including the management of chronic and acute wounds, tendon and nerve repair. Our regenerative technology platform includes our legacy Integra® Dermal Regeneration Template (“IDRT”) products and complementary technologies that we have acquired. Our collagen manufacturing capability, combined with our history of innovation, provides us with strong platform technologies for multiple indications.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we filed a PMA application for a specific indication for SurgiMend for use in post-mastectomy IBBR and in 2024 received approvable pending GMP status from FDA, which approved and closed out the clinical portion of this PMA application. We anticipate PMA approval following successful closeout of the GMP deficiencies, pre-approval inspection, and operationalization of the Braintree facility, which is expected in 2026.</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we acquired SIA, which also submitted a PMA application for multiple indications for DuraSorb for use in IBBR. In 2023 we completed enrollment in the DuraSorb U.S. IDE clinical trial for two-stage breast reconstruction, and since then have completed treatment and follow up of all subjects as we continue to advance the PMA application. Currently, we hope to secure PMA approval for DuraSorb in 2026. By offering two distinct product solutions for multiple indications, we believe we have the opportunity to build a leading position in the IBBR market.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MicroMatrix Flex, used in the management of wounds with hard-to-reach geometries, such as deep wounds that present with tunneling or undermining, became commercially available in the U.S.</w:t>
      </w:r>
    </w:p>
    <w:p>
      <w:pPr>
        <w:spacing w:after="0" w:line="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2024, we also acquired the product rights for Durepair Dural Regeneration Matrix, which is expected to strengthen our dural repair product portfolio and will be manufactured at the Braintree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Union Medical Device Regulation Updates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work towards certifying our products under the EU MDR. In recent years, we received EU MDR certification in our CSS segment for Hakim Programmable Valves, Certas Plus with and without Bactiseal catheters, Surgical Patties and Strips, DuraSeal Dural, and DuraGen Suturable, as well as IDRT, BioPatch, MicroMatrix, and Cytal in our TT segment. Although we do not currently anticipate any disruption to our commercial activities in Europe related to EU MDR, we cannot provide assurance of our ability to timely comply with all applicable requirements of EU MDR and our failure to meet the applicable EU MDR requirements could adversely impact our business in the EU and other regions that tie their product registrations to the EU requirements.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19, 2024, the Company received a warning letter from the FDA (the “2024 Warning Letter”). The 2024 Warning Letter relates to quality system issues identified during FDA inspections at three of the Company’s facilities located in Mansfield, Massachusetts; Plainsboro, New Jersey; and Princeton, New Jersey. The 2024 Warning Letter did not identify any new observations that had not already been provided in the Form 483s previously issued to the Company by the FDA at the conclusion of its three inspections in June and August of 2024 (the “2024 Form 483s”). In the 2024 Form 483s, the FDA deemed certain of the Company's devices, including cranial perforators, disposable cottonoid patties and strips, and collagen-based products, to be out of compliance with respect to quality system regulations. At that time, the Company took a number of voluntary actions including the initiation of shipping holds for several products and a voluntary recall of the disposable patties and strips. The 2024 Warning Letter does not restrict the Company’s ability to manufacture or ship products, require recall of any products, nor restrict the Company’s ability to seek FDA 510(k) clearance of products. The 2024 Warning Letter states that premarket approval applications for Class III devices to which the quality system regulation violations are reasonably related will not be approved until the violations have been corrected. The Company has submitted several responses to the 2024 Form 483s issued to each of the three manufacturing facilities to the FDA and has submitted several updates to the 2024 Warning Letter in the first half of 2025.</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7, 2019, TEI Biosciences, Inc. (“TEI”), one of our wholly-owned subsidiaries, received a Warning Letter (the “2019 Warning Letter”), dated March 6, 2019, from the FDA. The 2019 Warning Letter was related to quality systems issues at TEI’s manufacturing facility located in Boston, Massachusetts (the “Boston facility”). The Boston facility manufactured extracellular bovine matrix products in our TT segment that were sold both in wound reconstruction and care and surgical reconstruction franchises, and in private label channels. The letter resulted from an inspection held at that facility in October and November 2018 and did not identify any new observations that were not already provided in the Form 483 that followed the inspection. We submitted our initial response to the 2019 Warning Letter on March 28, 2019 and provide regular progress reports to the FDA as to our corrective actions. On October 28, 2021, the FDA initiated an inspection of the facility and at the conclusion of the inspection, issued an FDA Form 483 on November 12, 2021 (the “2021 Form 483”). On March 1, 2023, the FDA commenced an inspection of the Boston facility and issued an FDA Form 483 at the conclusion of this inspection (the “2023 Form 483”). In May 2023, after consultation with the FDA, the Company initiated a voluntary global recall of all products manufactured at the Boston facility, including PriMatrix, SurgiMend, Revize™, and TissueMend™, distributed between March 1, 2018 and May 22, 2023. On July 19, 2023, TEI received a Warning Letter, dated July 17, 2023, from the FDA related to quality system issues at the Boston facility (the “2023 Warning Letter”). The 2023 Warning Letter did not identify any new observations that had not already been provided in the 2023 Form 483. The Company has submitted periodic responses to the FDA for both the 2023 Form 483 and the 2023 Warning Letter. We are committed to resolving the matters identified in the warning letters and Form 483s and are continuing significant efforts to remediate the observations.</w:t>
      </w:r>
    </w:p>
    <w:p>
      <w:pPr>
        <w:spacing w:after="0" w:line="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Although the warning letters do not restrict the Company’s ability to seek FDA 510(k) clearance of products, PMAs for Class III devices to which the quality system regulation violations are reasonably related will not be approved until the violations have been addressed. Following its assessment of the results of a third-party audit of the Boston facility, the Company announced in the second quarter of 2024 that it no longer plans to restart the manufacture of PriMatrix and SurgiMend at its Boston facility and will, instead, restart manufacturing of these products at its new tissue manufacturing facility in Braintree, Massachusetts. In addition, the Company also plans to manufacture Durepair Dural Regeneration Matrix at the Braintree facility. The Company anticipates the Braintree facility to be operational in 2026.</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give any assurances that the FDA will be satisfied with our response to the issues identified by the FDA in any of the foregoing Form 483s or warning letters or as to the expected date of the resolution of such issues. Until the issues cited by the FDA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Optimization and Integration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ongoing acquisition strategy and significant growth in recent years, we have undertaken cost-saving initiatives to consolidate manufacturing operations, distribution facilities and transfer activities,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both audits by regulatory agencies as well as our own reviews of the Company’s quality management system, we are in the process of implementing the CMP, a systematic and holistic approach to improving our quality management system across our manufacturing and supply network. The primary objectives of the CMP are to remediate quality system gaps, harmonize the quality management system and enhance the quality culture across the Company. The Company has completed baseline audits across all manufacturing facilities, conducted CMP training, and has made significant progress in its prioritized work streams.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loss for the three and six months ended June 30, 2025 was $(484.1) million and $(509.4) million, or $(6.31) and (6.65) per diluted share, as compared to net loss of $(12.4) million and $(15.7) million, or $(0.16) and $(0.20) per diluted share for the three and six months ended June 30, 2024. The decrease in net income for the three and six months ended June 30, 2025, was primarily driven by goodwill impairment charges of $511.4 million.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Charges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taxes includes the following special charges</w:t>
      </w:r>
      <w:r>
        <w:rPr>
          <w:rFonts w:ascii="Times New Roman" w:cs="Times New Roman" w:eastAsia="Times New Roman" w:hAnsi="Times New Roman"/>
          <w:sz w:val="18"/>
          <w:szCs w:val="18"/>
          <w:b w:val="1"/>
          <w:bCs w:val="1"/>
          <w:color w:val="auto"/>
        </w:rPr>
        <w: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8"/>
                <w:szCs w:val="18"/>
                <w:color w:val="auto"/>
              </w:rPr>
            </w:pPr>
          </w:p>
        </w:tc>
        <w:tc>
          <w:tcPr>
            <w:tcW w:w="264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divestiture and integration-related charges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23,390</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Structural optimization charges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9,535</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 medical device regulation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24,531</w:t>
            </w:r>
          </w:p>
        </w:tc>
      </w:tr>
      <w:tr>
        <w:trPr>
          <w:trHeight w:val="216"/>
        </w:trPr>
        <w:tc>
          <w:tcPr>
            <w:tcW w:w="52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Boston recall / Braintree transition</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23,742</w:t>
            </w:r>
          </w:p>
        </w:tc>
      </w:tr>
      <w:tr>
        <w:trPr>
          <w:trHeight w:val="217"/>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77,859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81,198</w:t>
            </w:r>
          </w:p>
        </w:tc>
      </w:tr>
    </w:tbl>
    <w:p>
      <w:pPr>
        <w:ind w:left="280" w:hanging="146"/>
        <w:spacing w:after="0" w:line="231" w:lineRule="auto"/>
        <w:tabs>
          <w:tab w:leader="none" w:pos="28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This primarily includes idle capacity charges, site transfer costs, quality remediation costs, right of use and fixed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-117475</wp:posOffset>
            </wp:positionV>
            <wp:extent cx="38061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reported above are reflected in the condensed consolidated statements of operations as follows:</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8"/>
                <w:szCs w:val="18"/>
                <w:color w:val="auto"/>
              </w:rPr>
            </w:pPr>
          </w:p>
        </w:tc>
        <w:tc>
          <w:tcPr>
            <w:tcW w:w="264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37,886</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11,427</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31,965</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35"/>
        </w:trPr>
        <w:tc>
          <w:tcPr>
            <w:tcW w:w="5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77,859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define special charges as items for which the amounts and/or timing of such expenses may vary significantly from period to period, depending upon our acquisition, divestiture, integration and restructuring activities; items for which the amounts are non-cash in nature; and items which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the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Margin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and gross margin on product revenues were as follows: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312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7"/>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Net Sales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Codman Specialty Surgical</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303,958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301,761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584,622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558,195</w:t>
            </w:r>
          </w:p>
        </w:tc>
        <w:tc>
          <w:tcPr>
            <w:tcW w:w="0" w:type="dxa"/>
            <w:vAlign w:val="bottom"/>
          </w:tcPr>
          <w:p>
            <w:pPr>
              <w:spacing w:after="0"/>
              <w:rPr>
                <w:sz w:val="1"/>
                <w:szCs w:val="1"/>
                <w:color w:val="auto"/>
              </w:rPr>
            </w:pPr>
          </w:p>
        </w:tc>
      </w:tr>
      <w:tr>
        <w:trPr>
          <w:trHeight w:val="213"/>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Tissue Technologies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111,647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116,414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213,636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228,852</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415,605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418,175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798,258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787,047</w:t>
            </w:r>
          </w:p>
        </w:tc>
        <w:tc>
          <w:tcPr>
            <w:tcW w:w="0" w:type="dxa"/>
            <w:vAlign w:val="bottom"/>
          </w:tcPr>
          <w:p>
            <w:pPr>
              <w:spacing w:after="0"/>
              <w:rPr>
                <w:sz w:val="1"/>
                <w:szCs w:val="1"/>
                <w:color w:val="auto"/>
              </w:rPr>
            </w:pPr>
          </w:p>
        </w:tc>
      </w:tr>
      <w:tr>
        <w:trPr>
          <w:trHeight w:val="213"/>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206,273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192,258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394,494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354,296</w:t>
            </w:r>
          </w:p>
        </w:tc>
        <w:tc>
          <w:tcPr>
            <w:tcW w:w="0" w:type="dxa"/>
            <w:vAlign w:val="bottom"/>
          </w:tcPr>
          <w:p>
            <w:pPr>
              <w:spacing w:after="0"/>
              <w:rPr>
                <w:sz w:val="1"/>
                <w:szCs w:val="1"/>
                <w:color w:val="auto"/>
              </w:rPr>
            </w:pPr>
          </w:p>
        </w:tc>
      </w:tr>
      <w:tr>
        <w:trPr>
          <w:trHeight w:val="234"/>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 on total revenues</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209,332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225,917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403,764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432,751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Gross margin as a percentage of total revenues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54.0 %</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4480"/>
        <w:spacing w:after="0" w:line="377" w:lineRule="auto"/>
        <w:rPr>
          <w:sz w:val="20"/>
          <w:szCs w:val="20"/>
          <w:color w:val="auto"/>
        </w:rPr>
      </w:pPr>
      <w:r>
        <w:rPr>
          <w:rFonts w:ascii="Times New Roman" w:cs="Times New Roman" w:eastAsia="Times New Roman" w:hAnsi="Times New Roman"/>
          <w:sz w:val="18"/>
          <w:szCs w:val="18"/>
          <w:b w:val="1"/>
          <w:bCs w:val="1"/>
          <w:color w:val="auto"/>
        </w:rPr>
        <w:t>Three Months Ended June 30, 2025 as Compared to Three Months Ended June 30, 2024 Revenues and Gross Margin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2025, total revenues decreased by $2.6 million to $415.6 million from $418.2 million for the same period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represents a low single digit decline compared to the same period in the prior year, primarily driven by impacts from quality and operational issues.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CSS segment, revenues were $304.0 million which represents an increase of $2.2 million, or 1% as compared to the prior-year period. Excluding the impact of foreign currency of $3.1 million, the decrease in revenue is primarily driven by the impact of quality and operational issues, offset by strong performance in CSF Management, specifically Certas Plus and Bactiseal.</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TT segment, revenues were $111.6 million which represents a decrease of $4.8 million, or 4% as compared to the prior-year period. This is primarily attributable to the impact of quality and operational issues and decreases in private label revenues. This is partially offset by growth in Integra Skin.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margin was $209.3 million for the three months ended June 30, 2025, a decrease of $16.6 million from $225.9 million for the same period in 2024. Gross margin as a percentage of revenues was 50.4% for the three months ended June 30, 2025 and 54.0% for the same period in 2024. For the three months ended June 30, 2025, gross margins were impacted by quality and operational issues, which affected both revenue and expenses, as well as higher manufacturing costs. For the three months ended June 30, 2024, gross margins were impacted by Boston impairment charges and Acclarent inventory step-up.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operating expenses as a percent of total revenues:</w:t>
      </w:r>
    </w:p>
    <w:p>
      <w:pPr>
        <w:spacing w:after="0" w:line="268"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r>
      <w:tr>
        <w:trPr>
          <w:trHeight w:val="21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46.7 %</w:t>
            </w:r>
          </w:p>
        </w:tc>
      </w:tr>
      <w:tr>
        <w:trPr>
          <w:trHeight w:val="21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1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4"/>
        </w:trPr>
        <w:tc>
          <w:tcPr>
            <w:tcW w:w="74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54.7 %</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which consist of research and development, selling, general and administrative, and amortization expenses, increased by $493.1 million, or 215.4%, to $722.0 million in the three months ended June 30, 2025, compared to $228.9 million in the same period in 2024, primarily driven by goodwill impairment booked in the current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2025 decreased by $2.8 million as compared to the same period in the prior year, primarily attributable to lower spend on EU MDR and other research and development projects.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for the three months ended June 30, 2025 decreased by $15.6 million as compared to the same period in the prior year, primarily driven by Acclarent acquisition costs incurred in prior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(which does not include amounts reported in cost of product revenues for technology-based intangible assets) for the three months ended June 30, 2025 was $3.8 million compared to $3.7 million for the same period in the prior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non-operating income and expense:</w:t>
      </w:r>
    </w:p>
    <w:p>
      <w:pPr>
        <w:spacing w:after="0" w:line="268"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5,058</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(18,651)</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r>
      <w:tr>
        <w:trPr>
          <w:trHeight w:val="207"/>
        </w:trPr>
        <w:tc>
          <w:tcPr>
            <w:tcW w:w="7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non-operating income and expense</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(12,156)</w:t>
            </w:r>
          </w:p>
        </w:tc>
      </w:tr>
      <w:tr>
        <w:trPr>
          <w:trHeight w:val="23"/>
        </w:trPr>
        <w:tc>
          <w:tcPr>
            <w:tcW w:w="7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for the three months ended June 30, 2025 decreased by $0.3 million as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June 30, 2025 increased by $2.4 million as compared to the same period in the prior year primarily due to higher borrowing rates, which includes the impacts of interest rate swaps that have expired and are no longer hedging interest expense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 net for the three months ended June 30, 2025 increased by $3.4 million compared to the same period in the prior year, primarily driven by foreign exchange impact.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72"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(530,952)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(15,185)</w:t>
            </w: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44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(46,879)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(2,783)</w:t>
            </w: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income tax rates for the three months ended June 30, 2025 and 2024 were 8.8% and 18.3%, respectively.</w:t>
      </w:r>
    </w:p>
    <w:p>
      <w:pPr>
        <w:spacing w:after="0" w:line="1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For the three months ended June 30, 2025, the Company’s effective tax rate was primarily driven by the goodwill impairment charge, as a portion of the charge is non-deductible for tax, as well as the inclusion of Global Intangible Low Taxed Income (“GILTI”) and additional taxes to meet the global minimum tax in certain foreign jurisdictions; offset by federal, state, and international tax benefits generated from operating losses in certain jurisdictions. For the three months ended June 30, 2024, the higher tax rate is primarily driven by lower book income.</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Additionally, changes to income tax laws and regulations, in any of the tax jurisdictions in which the Company operates, could impact the effective tax rate. Various governments, both U.S. and non-U.S., are increasingly focused on tax reform and revenue-raising legislation. On July 4, 2025, the One Big Beautiful Bill Act (“OBBBA”) was enacted in the U.S. The OBBBA includes a number of significant provisions, including the permanent extension of certain expiring provisions of the 2017 Tax Cuts and Jobs Act; as well as changes to the capitalization of research and development expenses, accelerated depreciation, and limitations on interest expense deductions. Further, legislation in foreign jurisdictions may be enacted, in continued response to the base erosion and profit-sharing project begun by the Organization for Economic Cooperation and Development (“OECD”).</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OECD released model rules related to a new 15% global minimum tax regime (“Pillar 2”). Several of the jurisdictions in which we operate have already adopted some form of the model rules, which could impact the amount of taxes that the Company pays during 2025 and future taxable periods. The rules are complex and provide for delays for implementing the tax during the early transition years, if certain conditions are met. At this time, the Company is projecting a $2.4 million expense related to Pillar 2 tax liability for the 2025 year. The Company will continue to analyze the new Pillar 2 laws and any related guidance to determine potential impacts. Such changes in U.S. and non-U.S. jurisdictions could have an adverse effect on the Company’s effective tax rate. The Company will continue to monitor legislative activity across its U.S. and non-U.S. jurisdictions.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The Company’s tax reserves are presented in the balance sheet within other liabilities, except for amounts relating to items that we expect to pay in the coming year, which would be classified as current income taxes payable.</w:t>
      </w:r>
    </w:p>
    <w:p>
      <w:pPr>
        <w:spacing w:after="0" w:line="179" w:lineRule="exact"/>
        <w:rPr>
          <w:sz w:val="20"/>
          <w:szCs w:val="20"/>
          <w:color w:val="auto"/>
        </w:rPr>
      </w:pPr>
    </w:p>
    <w:p>
      <w:pPr>
        <w:ind w:right="4900"/>
        <w:spacing w:after="0" w:line="378" w:lineRule="auto"/>
        <w:rPr>
          <w:sz w:val="20"/>
          <w:szCs w:val="20"/>
          <w:color w:val="auto"/>
        </w:rPr>
      </w:pPr>
      <w:r>
        <w:rPr>
          <w:rFonts w:ascii="Times New Roman" w:cs="Times New Roman" w:eastAsia="Times New Roman" w:hAnsi="Times New Roman"/>
          <w:sz w:val="18"/>
          <w:szCs w:val="18"/>
          <w:b w:val="1"/>
          <w:bCs w:val="1"/>
          <w:color w:val="auto"/>
        </w:rPr>
        <w:t>Six Months Ended June 30, 2025 as Compared to Six Months Ended June 30, 2024 Revenues and Gross Margin</w:t>
      </w: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total revenues increased by $11.2 million to $798.3 million from $787.0 million for the same period in 2024. This represents low single digit growth compared to the same period in the prior year, primarily driven by sales related to Acclarent, offset by impacts from quality and operational issues.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CSS segment, revenues were $584.6 million, an increase of $26.4 million, or 5% from the prior period. Excluding the impact of foreign currency of $1.1 million, the increase is primarily due to the timing of the Acclarent acquisition completed in the second quarter in the prior year, offset by the impact of quality and operational issues.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TT segment, revenues were $213.6 million, a decrease of $15.2 million, or 7% from the prior-year period, primarily attributable to the impact of quality and operational issues and decreases in private label revenues. This is partially offset by growth in Micromatrix, Cytal, and Integra Skin.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margin was $403.8 million for the six months ended June 30, 2025, a decrease of $29.0 million from $432.8 million for the same period in 2024. Gross margin as a percentage of total revenue decreased to 50.6% for the six months ended June 30, 2025 from 55.0% in the same period in 2024. For the six months ended June 30, 2025, gross margins were impacted by quality and operational issues, which affected both revenue and expenses, as well as higher manufacturing costs. For the six months ended June 30, 2024 gross margins were impacted by Boston impairment charges and Acclarent inventory step-up.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operating expenses as a percent of total revenues:</w:t>
      </w:r>
    </w:p>
    <w:p>
      <w:pPr>
        <w:spacing w:after="0" w:line="26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1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45.9 %</w:t>
            </w:r>
          </w:p>
        </w:tc>
      </w:tr>
      <w:tr>
        <w:trPr>
          <w:trHeight w:val="21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4"/>
        </w:trPr>
        <w:tc>
          <w:tcPr>
            <w:tcW w:w="74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54.9 %</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which consist of selling, general and administrative expenses, research and development expenses, and amortization expenses, increased by $500.1 million, or 115.8% to $931.9 million in the six months ended June 30, 2025, compared to $431.8 million in the same period in 2024, primarily driven by goodwill impairment booked in the current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2025 decreased by $5.0 million as compared to the same period, primarily attributable to lower spend on EU MDR and other research and development projects.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costs increased by $0.1 million as compared to the same period in the prior year.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(excluding amounts reported in cost of product revenues for technology-based intangible assets) for the six months ended June 30, 2025 was $7.5 million compared to $13.8 million for the same period in the prior year. The decrease is driven by the impairment of customer relationship intangible related to our Boston facility of $7.1 million, which was recorded in the first quarter of 2024.</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total annual amortization expense to be approximately $53.7 million for the remainder of 2025, $107.2 million in 2026, $106.2 million in 2027, $102.6 million in 2028, $97.3 million in 2029, $91.3 million in 2030 and $445.8 million thereafter.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non-operating income and expenses: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20" w:type="dxa"/>
            <w:vAlign w:val="bottom"/>
          </w:tcPr>
          <w:p>
            <w:pPr>
              <w:spacing w:after="0"/>
              <w:rPr>
                <w:sz w:val="18"/>
                <w:szCs w:val="18"/>
                <w:color w:val="auto"/>
              </w:rPr>
            </w:pPr>
          </w:p>
        </w:tc>
        <w:tc>
          <w:tcPr>
            <w:tcW w:w="13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10,098</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(32,275)</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and income, net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r>
      <w:tr>
        <w:trPr>
          <w:trHeight w:val="207"/>
        </w:trPr>
        <w:tc>
          <w:tcPr>
            <w:tcW w:w="7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non-operating expense</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(32,817)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(21,350)</w:t>
            </w:r>
          </w:p>
        </w:tc>
      </w:tr>
      <w:tr>
        <w:trPr>
          <w:trHeight w:val="23"/>
        </w:trPr>
        <w:tc>
          <w:tcPr>
            <w:tcW w:w="7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for the six months ended June 30, 2025 increased by $1.0 million as compared to the same period in the prior year due to increased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six months ended June 30, 2025 increased by $7.6 million as compared to the same period in the prior year primarily due to higher borrowing rates, which includes the impacts of interest rate swaps that have expired and are no longer hedging interest expense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and Income, net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 and income, net for the six months ended June 30, 2025, decreased by $2.9 million as compared to the same period in the prior year, primarily driven by foreign exchange impact.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(560,988)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(20,415)</w:t>
            </w: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44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(51,622)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(4,732)</w:t>
            </w: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23.2 %</w:t>
            </w:r>
          </w:p>
        </w:tc>
      </w:tr>
    </w:tbl>
    <w:p>
      <w:pPr>
        <w:spacing w:after="0" w:line="3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Company’s effective income tax rates for the six months ended June 30, 2025 and 2024 were 9.2% and 23.2%, respectively. For the six months ended June 30, 2025, the Company’s effective tax rate was primarily driven by the goodwill impairment charge, as a portion of the charge is non-deductible for tax, as well as the inclusion of GILTI and additional taxes to meet the global minimum tax in certain foreign jurisdictions; offset by federal, state, and international tax benefits generated from operating losses in certain foreign jurisdictions. For the six months ended June 30, 2024, the higher tax rate is primarily driven by lower book income and a $1.7 million shortfall from stock-based compensation.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PRODUCT REVENUES AND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attribute revenues to geographic areas based on the location of the customer. Total revenue by major geographic area consisted of the following:</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306,308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310,225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566,454</w:t>
            </w: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82,285</w:t>
            </w: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95,496</w:t>
            </w:r>
          </w:p>
        </w:tc>
      </w:tr>
      <w:tr>
        <w:trPr>
          <w:trHeight w:val="21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18,971</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21,310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42,812</w:t>
            </w:r>
          </w:p>
        </w:tc>
      </w:tr>
      <w:tr>
        <w:trPr>
          <w:trHeight w:val="234"/>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415,605</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418,175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798,258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787,047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domestic revenues for the three months ended June 30, 2025 was primarily the result of the impact of quality and operational issues. The increase in international revenues for the three months ended June 30, 2025 was the result of strong performance in CSF Management.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domestic revenues for the six months ended June 30, 2025 was primarily related to Acclarent, offset by the impact of quality and operational issues. The decrease in international revenues for the six months ended June 30, 2025 was also the result of the impact of quality and operational issues.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Working capital consists of total current assets less total current liabilities as presented in the consolidated balance sheets. The Company’s working capital as of June 30, 2025 and December 31, 2024 was $213.0 million and $159.6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Marketable Securities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cash and cash equivalents totaling approximately $217.9 million and $246.4 million at June 30, 2025 and December 31, 2024, respectively, which are valued based on Level 1 measurements in the fair value hierarchy. At June 30, 2025, our non-U.S. subsidiaries held approximately $180.0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Investments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short term investments, primarily consisting of time deposits, which are valued based on Level 1 measurements in the fair value hierarchy, totaling approximately $35.7 million at June 30, 2025 compared to $27.2 million at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7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56,157</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(376,163)</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264,928</w:t>
            </w: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fluctuations on cash</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w:t>
            </w: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or Used in Operating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cash flows for the six months ended June 30, 2025 decreased by $58.5 million compared to the same period in 2024. Within operating cash flows, net income less non-cash adjustments decreased for the six months ended June 30, 2025 by approximately $38.2 million as compared to the same period in 2024 due to the impact of quality and operational issues on revenue and associated costs.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assets and liabilities for the six months ended June 30, 2025, net of business acquisitions, decreased cash flows by $42.7 million, mainly attributable to increases in inventory and prepaid expenses and other current assets.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assets and liabilities for the six months ended June 30, 2024, net of business acquisitions, decreased cash flows by $22.4 million, mainly attributable to increases in prepaid and other current assets and inventory, and decreases in other non current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Uses of cash from investing activities for the six months ended June 30, 2025 were $49.1 million paid for capital expenditures to support improvement initiatives at a number of our manufacturing facilities, and other technology investments, as well as $8.5 million related to short term investments.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sources of cash from investing activities for the six months ended June 30, 2025.</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Uses of cash from investing activities during the six months ended June 30, 2024 were $282.0 million related to the Acclarent acquisition, $49.0 million related to short term investments, and $45.2 million paid for capital expenditures to support operations improvement initiatives at a number of our manufacturing facilities and other information technology investments.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sources of cash from investing activities during the six months ended June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Uses of cash from financing activities in the six months ended June 30, 2025 related to the repayments of $31.1 million under our Senior Credit Facility and Securitization Facility, as well as $16.5 million related to payments of Arkis and SIA contingent consideration. In addition, the Company paid $3.9 million in debt issuance costs and $2.4 million in cash taxes for net equity settlements.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Sources of cash from financing activities for the six months ended June 30, 2025 were $67.3 million of proceeds from borrowings of long term indebtedness and $1.0 million related to the proceeds from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Uses of cash from financing activities in the six months ended June 30, 2024 related to the repayments of $105.6 million under our Senior Credit Facility and Securitization Facility, $50.0 million related to the repurchase of treasury stock of under the share repurchase agreements, and $11.9 million related to payment of SIA contingent consideration. In addition, the Company had $3.2 million in cash taxes paid for net equity settlements.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Sources of cash from financing activities for the six months ended June 30, 2024 were $429.3 million of proceeds from borrowings of long-term indebtedness and $6.4 million related to the proceeds from the exercise of stock options.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and Macroeconomic Environment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2025, the U.S. government announced new tariffs on goods imported into the U.S. from dozens of countries, including China and the European Union member states. In response, governments have threatened or imposed reciprocal tariffs or taken other measures, and the United States is in the process of negotiating trade agreements with certain governments. Uncertainty remains with respect to trade policies and treaties between the U.S. and other countries and we continue to monitor and evaluate the situation. Tariffs could result in an increase in certain product costs or have adverse impacts on, among other things, demand for our products and supply chains. Particularly, the U.S. import tariffs and reciprocal measures by China, are expected to increase the Company’s cost of goods sold. The Company anticipates that some of its suppliers will incur incremental tariff-related costs, which may be passed on to the Company. Approximately half of our global revenue is generated from products manufactured in the United States. In China, which accounts for approximately 5 percent of our total revenue, roughly half of the products we sell are manufactured in the United States.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tariffs paid have been capitalized in inventory and will be recognized in our cost of goods sold as those products are sold. During the six months ended June 30, 2025, the Company paid approximately $5.4 million of tariffs on imported goods. Of this amount, $1.1 million was recognized in cost of goods sold in the consolidated statements of operations.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overall macroeconomic and geopolitical environment, including tariffs or changes in trade policies, slower economic growth or recession, market volatility and inflation, and uncertainty regarding all of the foregoing, pose risks that could impact our business, results of operations, financial condition and cash flows. The extent and duration of the tariffs and the resulting impact on general economic conditions and on the business are uncertain and are expected to be impacted by various factors, such as negotiations between the U.S. and affected countries, the responses of other countries or regions, exemptions or exclusions that already exist or may be granted, availability and cost of alternative sources of our products and materials, and our ability to offset the effects of any tariffs that might be imposed. For additional information on the risks that tariffs pose to the Company, please see </w:t>
      </w:r>
      <w:r>
        <w:rPr>
          <w:rFonts w:ascii="Times New Roman" w:cs="Times New Roman" w:eastAsia="Times New Roman" w:hAnsi="Times New Roman"/>
          <w:sz w:val="18"/>
          <w:szCs w:val="18"/>
          <w:i w:val="1"/>
          <w:iCs w:val="1"/>
          <w:color w:val="auto"/>
        </w:rPr>
        <w:t>Part II, Item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of this Quarterly Report on Form 10-Q and of the Quarterly Report on Form 10-Q for the quarter ended March 31, 2025 and</w:t>
      </w:r>
      <w:r>
        <w:rPr>
          <w:rFonts w:ascii="Times New Roman" w:cs="Times New Roman" w:eastAsia="Times New Roman" w:hAnsi="Times New Roman"/>
          <w:sz w:val="18"/>
          <w:szCs w:val="18"/>
          <w:i w:val="1"/>
          <w:iCs w:val="1"/>
          <w:color w:val="auto"/>
        </w:rPr>
        <w:t xml:space="preserve"> Part I, Item 1A. “Risk Factors” </w:t>
      </w:r>
      <w:r>
        <w:rPr>
          <w:rFonts w:ascii="Times New Roman" w:cs="Times New Roman" w:eastAsia="Times New Roman" w:hAnsi="Times New Roman"/>
          <w:sz w:val="18"/>
          <w:szCs w:val="18"/>
          <w:color w:val="auto"/>
        </w:rPr>
        <w:t>of our Annual Report on Form 10-K for the fiscal year ended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Convertible Senior Notes, Securitization and Related Hedging Activities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to the Notes to Unaudited Condensed Consolidated Financial Statements (Part I, Item 1 of this Quarterly Report) for a discussion of our Senior Credit Facility, 2025 Notes, and Securitization Facility and </w:t>
      </w:r>
      <w:r>
        <w:rPr>
          <w:rFonts w:ascii="Times New Roman" w:cs="Times New Roman" w:eastAsia="Times New Roman" w:hAnsi="Times New Roman"/>
          <w:sz w:val="18"/>
          <w:szCs w:val="18"/>
          <w:i w:val="1"/>
          <w:iCs w:val="1"/>
          <w:color w:val="auto"/>
        </w:rPr>
        <w:t>Note 7. Derivative Instruments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to the Notes to Unaudited Condensed Consolidated Financial Statements (Part I, Item 1 of this Quarterly Report) for discussion of our hedging activities.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Senior Credit Facility is subject to various financial and negative covenants and, at June 30, 2025, the Company was in compliance with all such covenants. Our Consolidated Total Leverage Ratio was 4.53, with the covenant requirement at 5.00 at the end of June 30, 2025. As outlined in the table in </w:t>
      </w:r>
      <w:r>
        <w:rPr>
          <w:rFonts w:ascii="Times New Roman" w:cs="Times New Roman" w:eastAsia="Times New Roman" w:hAnsi="Times New Roman"/>
          <w:sz w:val="18"/>
          <w:szCs w:val="18"/>
          <w:i w:val="1"/>
          <w:iCs w:val="1"/>
          <w:color w:val="auto"/>
        </w:rPr>
        <w:t xml:space="preserve">Note 6. Debt, </w:t>
      </w:r>
      <w:r>
        <w:rPr>
          <w:rFonts w:ascii="Times New Roman" w:cs="Times New Roman" w:eastAsia="Times New Roman" w:hAnsi="Times New Roman"/>
          <w:sz w:val="18"/>
          <w:szCs w:val="18"/>
          <w:color w:val="auto"/>
        </w:rPr>
        <w:t>the covenant requirement will drop from 5.00 to 4.75 for the fiscal quarter ended September 30, 2026.</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2025 Notes are scheduled to mature on August 15, 2025. We have sufficient capacity under the revolving credit facility of the Senior Credit Facility to repay the outstanding principal and accrued interest on the 2025 Notes upon maturity.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Plan</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11. Treasury Stock</w:t>
      </w:r>
      <w:r>
        <w:rPr>
          <w:rFonts w:ascii="Times New Roman" w:cs="Times New Roman" w:eastAsia="Times New Roman" w:hAnsi="Times New Roman"/>
          <w:sz w:val="18"/>
          <w:szCs w:val="18"/>
          <w:color w:val="auto"/>
        </w:rPr>
        <w:t>, to the Notes to Unaudited Condensed Consolidated Financial Statements (Part I, Item 1 of this Quarterly Report) for further details of our share repurchase programs.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the Board of Directors and will depend upon our financial condition, results of operations, cash flows and other factors deemed relevant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cash, cash equivalents, short term investments and available borrowings under the Senior Credit Facility are sufficient to finance our operations, capital expenditures and repayment of the 2025 Notes for the next twelve months and foreseeable future. Our future capital requirements will depend on many factors, including the growth of our business, the timing and introduction of new products and investments, strategic plans and acquisitions, and the potential impact of tariffs on our cost of goods sold and consumer demand for our products, among others. Additional sources of liquidity available to us include short term borrowings and the issuance of long-term debt and equity securities.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financing arrangements during the six months ended June 30, 2025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spacing w:after="0" w:line="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Our primary obligations include principal and interest payments on the revolving credit facility and term loan component of the Senior Credit Facility, Securitization Facility and 2025 Notes. See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to the Notes to Consolidated Financial Statements (Part I, Item 1 of this Quarterly Report) for details. The Company also leases some of our manufacturing facilities and office buildings which have required future minimum lease payments. See </w:t>
      </w:r>
      <w:r>
        <w:rPr>
          <w:rFonts w:ascii="Times New Roman" w:cs="Times New Roman" w:eastAsia="Times New Roman" w:hAnsi="Times New Roman"/>
          <w:sz w:val="18"/>
          <w:szCs w:val="18"/>
          <w:i w:val="1"/>
          <w:iCs w:val="1"/>
          <w:color w:val="auto"/>
        </w:rPr>
        <w:t>Note</w:t>
      </w:r>
    </w:p>
    <w:p>
      <w:pPr>
        <w:spacing w:after="0" w:line="1" w:lineRule="exact"/>
        <w:rPr>
          <w:sz w:val="20"/>
          <w:szCs w:val="20"/>
          <w:color w:val="auto"/>
        </w:rPr>
      </w:pPr>
    </w:p>
    <w:p>
      <w:pPr>
        <w:jc w:val="both"/>
        <w:ind w:firstLine="8"/>
        <w:spacing w:after="0" w:line="255" w:lineRule="auto"/>
        <w:tabs>
          <w:tab w:leader="none" w:pos="27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Leases and Related Party Leases</w:t>
      </w:r>
      <w:r>
        <w:rPr>
          <w:rFonts w:ascii="Times New Roman" w:cs="Times New Roman" w:eastAsia="Times New Roman" w:hAnsi="Times New Roman"/>
          <w:sz w:val="18"/>
          <w:szCs w:val="18"/>
          <w:color w:val="auto"/>
        </w:rPr>
        <w:t>, to the Notes to Consolidated Financial Statements (Part I, Item 1 of this Quarterly Report) for a schedule of our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lease payments. Amounts related to the Company’s other obligations, including employment agreements and purchase obligations were not material.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has contingent consideration obligations related to prior and current year acquisitions and future pension contribution obligations. See </w:t>
      </w:r>
      <w:r>
        <w:rPr>
          <w:rFonts w:ascii="Times New Roman" w:cs="Times New Roman" w:eastAsia="Times New Roman" w:hAnsi="Times New Roman"/>
          <w:sz w:val="18"/>
          <w:szCs w:val="18"/>
          <w:i w:val="1"/>
          <w:iCs w:val="1"/>
          <w:color w:val="auto"/>
        </w:rPr>
        <w:t>Note</w:t>
      </w:r>
    </w:p>
    <w:p>
      <w:pPr>
        <w:spacing w:after="0" w:line="29" w:lineRule="exact"/>
        <w:rPr>
          <w:sz w:val="20"/>
          <w:szCs w:val="20"/>
          <w:color w:val="auto"/>
        </w:rPr>
      </w:pPr>
    </w:p>
    <w:p>
      <w:pPr>
        <w:ind w:firstLine="8"/>
        <w:spacing w:after="0" w:line="260" w:lineRule="auto"/>
        <w:tabs>
          <w:tab w:leader="none" w:pos="193"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Retirement Plans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Note 16. Commitments and Contingencies</w:t>
      </w:r>
      <w:r>
        <w:rPr>
          <w:rFonts w:ascii="Times New Roman" w:cs="Times New Roman" w:eastAsia="Times New Roman" w:hAnsi="Times New Roman"/>
          <w:sz w:val="18"/>
          <w:szCs w:val="18"/>
          <w:color w:val="auto"/>
        </w:rPr>
        <w:t>, to the Notes to Consolidated Financial Statements (Part I, Item 1 of this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for details. The associated obligations are not fixed. The Company also has a liability for uncertain tax benefits including interest and penalties.</w:t>
      </w:r>
    </w:p>
    <w:p>
      <w:pPr>
        <w:spacing w:after="0" w:line="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12. Income Taxes</w:t>
      </w:r>
      <w:r>
        <w:rPr>
          <w:rFonts w:ascii="Times New Roman" w:cs="Times New Roman" w:eastAsia="Times New Roman" w:hAnsi="Times New Roman"/>
          <w:sz w:val="18"/>
          <w:szCs w:val="18"/>
          <w:color w:val="auto"/>
        </w:rPr>
        <w:t xml:space="preserve"> to the Notes to Consolidated Financial Statements (Part I, Item 1 of this Quarterly Report) for details. The Company cannot make a reliable estimate of the period in which the uncertain tax benefits may be realized.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based the discussion and analysis of our financial condition and results of operations upon our consolidated financial statements, which have been prepared in conformity with GAAP. The preparation of these financial statements requires us to make estimates and assumptions that affect the reported amount of assets and liabilities, the disclosure of contingent liabilities, and the reported amounts of revenues and expenses. The critical accounting estimates discussed in our Annual Report on Form 10-K for the fiscal year ended December 31, 2024 did not materially change in the six months ended June 30,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Information regarding new accounting pronouncements is included in </w:t>
      </w:r>
      <w:r>
        <w:rPr>
          <w:rFonts w:ascii="Times New Roman" w:cs="Times New Roman" w:eastAsia="Times New Roman" w:hAnsi="Times New Roman"/>
          <w:sz w:val="18"/>
          <w:szCs w:val="18"/>
          <w:i w:val="1"/>
          <w:iCs w:val="1"/>
          <w:color w:val="auto"/>
        </w:rPr>
        <w:t>Note 1. Basis of Presentation</w:t>
      </w:r>
      <w:r>
        <w:rPr>
          <w:rFonts w:ascii="Times New Roman" w:cs="Times New Roman" w:eastAsia="Times New Roman" w:hAnsi="Times New Roman"/>
          <w:sz w:val="18"/>
          <w:szCs w:val="18"/>
          <w:color w:val="auto"/>
        </w:rPr>
        <w:t>, to the Notes to Unaudited Condensed Consolidated Financial Statements (Part I, Item 1 of this Quarterly Report), and is applicable to the current period’s unaudited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and Other Rate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Israeli shekel,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w:t>
      </w:r>
      <w:r>
        <w:rPr>
          <w:rFonts w:ascii="Times New Roman" w:cs="Times New Roman" w:eastAsia="Times New Roman" w:hAnsi="Times New Roman"/>
          <w:sz w:val="18"/>
          <w:szCs w:val="18"/>
          <w:i w:val="1"/>
          <w:iCs w:val="1"/>
          <w:color w:val="auto"/>
        </w:rPr>
        <w:t>Note 7. Derivative Instruments</w:t>
      </w:r>
      <w:r>
        <w:rPr>
          <w:rFonts w:ascii="Times New Roman" w:cs="Times New Roman" w:eastAsia="Times New Roman" w:hAnsi="Times New Roman"/>
          <w:sz w:val="18"/>
          <w:szCs w:val="18"/>
          <w:color w:val="auto"/>
        </w:rPr>
        <w:t>, to the Notes to Unaudited Condensed Consolidated Financial Statements (Part I, Item 1 of this Quarterly Report) for further information.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discussed herein have not been materially affected by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We are exposed to the risk of interest rate fluctuations on the interest income earned on our cash and cash equivalents.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hypothetical 100 basis points increase or decrease in interest rates applicable to our cash and cash equivalents outstanding at June 30, 2025 would impact interest income by approximately $2.2 million on an annual basis. We are subject to foreign currency exchange risk with respect to cash balances maintained in foreign currencies.</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We are exposed to the risk of interest rate fluctuations on the interest income earned on our short-term investments. A hypothetical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basis points movement in interest rates applicable to our short-term investments outstanding at June 30, 2025 would increase or decrease interest income by approximately $0.4 million on an annual basis.</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Our interest rate risk relates primarily to U.S. dollar SOFR-indexed borrowings. We use interest rate swap derivative instruments to manage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earnings and cash flow exposure to changes in interest rates. These interest rate swaps fix the interest rate on a portion of our expected SOFR-indexed floating-rate borrowings. These interest rate swaps were designated as cash flow hedges as of June 30, 2025. The total notional amounts related to the Company's interest rate swaps were $900.0 million with $200.0 million effective as of June 30, 2025. Based on our outstanding borrowings at June 30, 2025, a 100 basis points change in interest rates would have impacted interest expense on the unhedged portion of the debt by $10.7 million on an annualized basis. See </w:t>
      </w:r>
      <w:r>
        <w:rPr>
          <w:rFonts w:ascii="Times New Roman" w:cs="Times New Roman" w:eastAsia="Times New Roman" w:hAnsi="Times New Roman"/>
          <w:sz w:val="18"/>
          <w:szCs w:val="18"/>
          <w:i w:val="1"/>
          <w:iCs w:val="1"/>
          <w:color w:val="auto"/>
        </w:rPr>
        <w:t>Note 7. Derivative Instruments</w:t>
      </w:r>
      <w:r>
        <w:rPr>
          <w:rFonts w:ascii="Times New Roman" w:cs="Times New Roman" w:eastAsia="Times New Roman" w:hAnsi="Times New Roman"/>
          <w:sz w:val="18"/>
          <w:szCs w:val="18"/>
          <w:color w:val="auto"/>
        </w:rPr>
        <w:t>, to the Notes to Unaudited Condensed Consolidated Financial Statements (Part I, Item 1 of this Quarterly Report) for further information regarding interest rate swaps.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June 30, 2025. Based upon this evaluation, our principal executive officer and principal financial officer concluded that our disclosure controls and procedures were effective as of June 30, 2025 to provide such reasonable assurance.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quarter ended June 30, 2025 that have materially affected, or are reasonably likely to materially affect, our internal control over financial reporting.</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response to business integration activities, we have and will continue to further align and streamline the design and operation of the financial control environment to be responsive to the changing business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Note 16. Commitments and Contingencies,</w:t>
      </w:r>
      <w:r>
        <w:rPr>
          <w:rFonts w:ascii="Times New Roman" w:cs="Times New Roman" w:eastAsia="Times New Roman" w:hAnsi="Times New Roman"/>
          <w:sz w:val="18"/>
          <w:szCs w:val="18"/>
          <w:color w:val="auto"/>
        </w:rPr>
        <w:t xml:space="preserve"> to the Notes to Unaudited Condensed Consolidated Financial Statements (Part I, Item 1 of this Quarterly Report) for further details on current legal proceedings.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 xml:space="preserve">There have been no material changes in our risk factors included in our Annual Report on Form 10-K for the fiscal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12529"/>
        </w:rPr>
        <w:t xml:space="preserve"> and our </w:t>
      </w:r>
      <w:r>
        <w:rPr>
          <w:rFonts w:ascii="Times New Roman" w:cs="Times New Roman" w:eastAsia="Times New Roman" w:hAnsi="Times New Roman"/>
          <w:sz w:val="18"/>
          <w:szCs w:val="18"/>
          <w:color w:val="000000"/>
        </w:rPr>
        <w:t>Quarterly Report on Form 10-Q for the quarter ended March 31, 2025, as previously filed with the SEC.</w:t>
      </w:r>
    </w:p>
    <w:p>
      <w:pPr>
        <w:spacing w:after="0" w:line="158" w:lineRule="exact"/>
        <w:rPr>
          <w:sz w:val="20"/>
          <w:szCs w:val="20"/>
          <w:color w:val="auto"/>
        </w:rPr>
      </w:pPr>
    </w:p>
    <w:p>
      <w:pPr>
        <w:ind w:right="4140"/>
        <w:spacing w:after="0" w:line="377"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Recent Sale of Unregistered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the Company’s directors or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9720" w:type="dxa"/>
            <w:vAlign w:val="bottom"/>
            <w:gridSpan w:val="24"/>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Amended and Restated Certificate of Incorporation of the Company dated February 16, 1993 (Incorporated by reference to Exhibit</w:t>
              </w:r>
            </w:hyperlink>
          </w:p>
        </w:tc>
      </w:tr>
      <w:tr>
        <w:trPr>
          <w:trHeight w:val="156"/>
        </w:trPr>
        <w:tc>
          <w:tcPr>
            <w:tcW w:w="1500" w:type="dxa"/>
            <w:vAlign w:val="bottom"/>
          </w:tcPr>
          <w:p>
            <w:pPr>
              <w:spacing w:after="0"/>
              <w:rPr>
                <w:sz w:val="13"/>
                <w:szCs w:val="13"/>
                <w:color w:val="auto"/>
              </w:rPr>
            </w:pPr>
          </w:p>
        </w:tc>
        <w:tc>
          <w:tcPr>
            <w:tcW w:w="94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1(a)</w:t>
              </w:r>
              <w:r>
                <w:rPr>
                  <w:rFonts w:ascii="Times New Roman" w:cs="Times New Roman" w:eastAsia="Times New Roman" w:hAnsi="Times New Roman"/>
                  <w:sz w:val="18"/>
                  <w:szCs w:val="18"/>
                  <w:color w:val="0000FF"/>
                </w:rPr>
                <w:t xml:space="preserve"> to the Company’s Annual Report on Form 10-K for the fiscal year ended December 31, 2005)</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8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9720" w:type="dxa"/>
            <w:vAlign w:val="bottom"/>
            <w:gridSpan w:val="24"/>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Certificate of Amendment to Amended and Restated Certificate of Incorporation of the Company dated May 22, 1998 (Incorporated</w:t>
              </w:r>
            </w:hyperlink>
          </w:p>
        </w:tc>
      </w:tr>
      <w:tr>
        <w:trPr>
          <w:trHeight w:val="155"/>
        </w:trPr>
        <w:tc>
          <w:tcPr>
            <w:tcW w:w="150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by reference to Exhibit 3.1(b) to the Company’s Annual Report on Form 10-K for the fiscal year ended December 31, 1998)</w:t>
              </w:r>
            </w:hyperlink>
          </w:p>
        </w:tc>
        <w:tc>
          <w:tcPr>
            <w:tcW w:w="5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3.1(c)</w:t>
            </w:r>
          </w:p>
        </w:tc>
        <w:tc>
          <w:tcPr>
            <w:tcW w:w="9720" w:type="dxa"/>
            <w:vAlign w:val="bottom"/>
            <w:gridSpan w:val="24"/>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Certificate of Amendment to Amended and Restated Certificate of Incorporation of the Company dated May 17, 1999 (Incorporated</w:t>
              </w:r>
            </w:hyperlink>
          </w:p>
        </w:tc>
      </w:tr>
      <w:tr>
        <w:trPr>
          <w:trHeight w:val="156"/>
        </w:trPr>
        <w:tc>
          <w:tcPr>
            <w:tcW w:w="150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by reference to Exhibit 3.1(c) to the Company’s Annual Report on Form 10-K for the fiscal year ended December 31, 2004)</w:t>
              </w:r>
            </w:hyperlink>
          </w:p>
        </w:tc>
        <w:tc>
          <w:tcPr>
            <w:tcW w:w="5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3.1(d)</w:t>
            </w:r>
          </w:p>
        </w:tc>
        <w:tc>
          <w:tcPr>
            <w:tcW w:w="9720" w:type="dxa"/>
            <w:vAlign w:val="bottom"/>
            <w:gridSpan w:val="24"/>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Certificate of Amendment to Amended and Restated Certificate of Incorporation of the Company dated December 21, 2016</w:t>
              </w:r>
            </w:hyperlink>
          </w:p>
        </w:tc>
      </w:tr>
      <w:tr>
        <w:trPr>
          <w:trHeight w:val="156"/>
        </w:trPr>
        <w:tc>
          <w:tcPr>
            <w:tcW w:w="150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(Incorporated by reference to Exhibit 3.1 to the Company’s Current Report on Form 8-K filed on December 22, 2016)</w:t>
              </w:r>
            </w:hyperlink>
          </w:p>
        </w:tc>
        <w:tc>
          <w:tcPr>
            <w:tcW w:w="420" w:type="dxa"/>
            <w:vAlign w:val="bottom"/>
            <w:tcBorders>
              <w:top w:val="single" w:sz="8" w:color="0000FF"/>
            </w:tcBorders>
            <w:gridSpan w:val="2"/>
          </w:tcPr>
          <w:p>
            <w:pPr>
              <w:spacing w:after="0"/>
              <w:rPr>
                <w:sz w:val="13"/>
                <w:szCs w:val="13"/>
                <w:color w:val="auto"/>
              </w:rPr>
            </w:pPr>
          </w:p>
        </w:tc>
        <w:tc>
          <w:tcPr>
            <w:tcW w:w="340" w:type="dxa"/>
            <w:vAlign w:val="bottom"/>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 (e)</w:t>
            </w:r>
          </w:p>
        </w:tc>
        <w:tc>
          <w:tcPr>
            <w:tcW w:w="86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Certificate of Amendment to the Amended and Restated Certificate of Incorporation of the Company dated May 9, 2024</w:t>
              </w:r>
            </w:hyperlink>
          </w:p>
        </w:tc>
        <w:tc>
          <w:tcPr>
            <w:tcW w:w="1040" w:type="dxa"/>
            <w:vAlign w:val="bottom"/>
            <w:gridSpan w:val="15"/>
          </w:tcPr>
          <w:p>
            <w:pPr>
              <w:spacing w:after="0"/>
              <w:rPr>
                <w:sz w:val="24"/>
                <w:szCs w:val="24"/>
                <w:color w:val="auto"/>
              </w:rPr>
            </w:pPr>
          </w:p>
        </w:tc>
      </w:tr>
      <w:tr>
        <w:trPr>
          <w:trHeight w:val="155"/>
        </w:trPr>
        <w:tc>
          <w:tcPr>
            <w:tcW w:w="1500" w:type="dxa"/>
            <w:vAlign w:val="bottom"/>
          </w:tcPr>
          <w:p>
            <w:pPr>
              <w:spacing w:after="0"/>
              <w:rPr>
                <w:sz w:val="13"/>
                <w:szCs w:val="13"/>
                <w:color w:val="auto"/>
              </w:rPr>
            </w:pPr>
          </w:p>
        </w:tc>
        <w:tc>
          <w:tcPr>
            <w:tcW w:w="9720" w:type="dxa"/>
            <w:vAlign w:val="bottom"/>
            <w:gridSpan w:val="24"/>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(Incorporated by reference to Exhibit 3.1(e) to the Company’s Quarterly Report on Form 10-Q for the quarter ended September 30,</w:t>
              </w:r>
            </w:hyperlink>
          </w:p>
        </w:tc>
      </w:tr>
      <w:tr>
        <w:trPr>
          <w:trHeight w:val="169"/>
        </w:trPr>
        <w:tc>
          <w:tcPr>
            <w:tcW w:w="1500" w:type="dxa"/>
            <w:vAlign w:val="bottom"/>
          </w:tcPr>
          <w:p>
            <w:pPr>
              <w:spacing w:after="0"/>
              <w:rPr>
                <w:sz w:val="14"/>
                <w:szCs w:val="14"/>
                <w:color w:val="auto"/>
              </w:rPr>
            </w:pPr>
          </w:p>
        </w:tc>
        <w:tc>
          <w:tcPr>
            <w:tcW w:w="42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w w:val="95"/>
              </w:rPr>
            </w:pPr>
            <w:hyperlink r:id="rId83">
              <w:r>
                <w:rPr>
                  <w:rFonts w:ascii="Times New Roman" w:cs="Times New Roman" w:eastAsia="Times New Roman" w:hAnsi="Times New Roman"/>
                  <w:sz w:val="18"/>
                  <w:szCs w:val="18"/>
                  <w:color w:val="0000FF"/>
                  <w:w w:val="95"/>
                </w:rPr>
                <w:t>2024</w:t>
              </w:r>
              <w:r>
                <w:rPr>
                  <w:rFonts w:ascii="Times New Roman" w:cs="Times New Roman" w:eastAsia="Times New Roman" w:hAnsi="Times New Roman"/>
                  <w:sz w:val="18"/>
                  <w:szCs w:val="18"/>
                  <w:color w:val="000000"/>
                  <w:w w:val="95"/>
                </w:rPr>
                <w:t>)</w:t>
              </w:r>
            </w:hyperlink>
          </w:p>
        </w:tc>
        <w:tc>
          <w:tcPr>
            <w:tcW w:w="960" w:type="dxa"/>
            <w:vAlign w:val="bottom"/>
            <w:tcBorders>
              <w:top w:val="single" w:sz="8" w:color="0000FF"/>
            </w:tcBorders>
          </w:tcPr>
          <w:p>
            <w:pPr>
              <w:spacing w:after="0"/>
              <w:rPr>
                <w:sz w:val="14"/>
                <w:szCs w:val="14"/>
                <w:color w:val="auto"/>
              </w:rPr>
            </w:pPr>
          </w:p>
        </w:tc>
        <w:tc>
          <w:tcPr>
            <w:tcW w:w="58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720" w:type="dxa"/>
            <w:vAlign w:val="bottom"/>
            <w:gridSpan w:val="24"/>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Third Amended and Restated Bylaws of Integra LifeSciences Holdings Corporation, effective as of February 21, 2023 (Incorporated</w:t>
              </w:r>
            </w:hyperlink>
          </w:p>
        </w:tc>
      </w:tr>
      <w:tr>
        <w:trPr>
          <w:trHeight w:val="155"/>
        </w:trPr>
        <w:tc>
          <w:tcPr>
            <w:tcW w:w="1500" w:type="dxa"/>
            <w:vAlign w:val="bottom"/>
          </w:tcPr>
          <w:p>
            <w:pPr>
              <w:spacing w:after="0"/>
              <w:rPr>
                <w:sz w:val="13"/>
                <w:szCs w:val="13"/>
                <w:color w:val="auto"/>
              </w:rPr>
            </w:pPr>
          </w:p>
        </w:tc>
        <w:tc>
          <w:tcPr>
            <w:tcW w:w="95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by reference to Exhibit 3.3 to the Company’s Annual Report on Form 10-K for the fiscal year ended December 31, 2022 filed on</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926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February 22, 2023)</w:t>
              </w:r>
            </w:hyperlink>
          </w:p>
        </w:tc>
        <w:tc>
          <w:tcPr>
            <w:tcW w:w="3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20" w:type="dxa"/>
            <w:vAlign w:val="bottom"/>
            <w:gridSpan w:val="24"/>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Amendment No. 2 to the Integra LifeSciences Holdings Corporation Fifth Amended and Restated 2003 Equity Incentive Plan</w:t>
              </w:r>
            </w:hyperlink>
          </w:p>
        </w:tc>
      </w:tr>
      <w:tr>
        <w:trPr>
          <w:trHeight w:val="156"/>
        </w:trPr>
        <w:tc>
          <w:tcPr>
            <w:tcW w:w="150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(Incorporated by reference to Exhibit 10.1 to the Company’s Current Report on Form 8-K filed on May 13, 2025)</w:t>
              </w:r>
            </w:hyperlink>
          </w:p>
        </w:tc>
        <w:tc>
          <w:tcPr>
            <w:tcW w:w="15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720" w:type="dxa"/>
            <w:vAlign w:val="bottom"/>
            <w:gridSpan w:val="24"/>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Amendment No. 1, dated June 6, 2025, to that Seventh Amended and Restated Credit Agreement, among Integra LifeSciences</w:t>
              </w:r>
            </w:hyperlink>
          </w:p>
        </w:tc>
      </w:tr>
      <w:tr>
        <w:trPr>
          <w:trHeight w:val="156"/>
        </w:trPr>
        <w:tc>
          <w:tcPr>
            <w:tcW w:w="150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Holdings Corporation, the lenders party thereto, Bank of America, N.A., as Administrative Agent, Swing Line Lender and L/C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964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Issuer, Citibank N.A., JPMorgan Chase Bank, N.A., Morgan Stanley MUFG Loan Partners, LLC, PNC Bank, N.A., Truist Bank and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500" w:type="dxa"/>
            <w:vAlign w:val="bottom"/>
          </w:tcPr>
          <w:p>
            <w:pPr>
              <w:spacing w:after="0"/>
              <w:rPr>
                <w:sz w:val="13"/>
                <w:szCs w:val="13"/>
                <w:color w:val="auto"/>
              </w:rPr>
            </w:pPr>
          </w:p>
        </w:tc>
        <w:tc>
          <w:tcPr>
            <w:tcW w:w="9680" w:type="dxa"/>
            <w:vAlign w:val="bottom"/>
            <w:gridSpan w:val="22"/>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Wells Fargo Bank, N.A., as Co-Syndication Agents, and The Bank of Nova Scotia, BMO Harris Bank N.A., BNP Paribas, Capital</w:t>
              </w:r>
            </w:hyperlink>
          </w:p>
        </w:tc>
        <w:tc>
          <w:tcPr>
            <w:tcW w:w="40" w:type="dxa"/>
            <w:vAlign w:val="bottom"/>
            <w:gridSpan w:val="2"/>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One, National Association, Citizens Bank, N.A., DNB Bank ASA, New York Branch, Santander Bank, N.A. and TD Bank, N.A., as</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9660" w:type="dxa"/>
            <w:vAlign w:val="bottom"/>
            <w:gridSpan w:val="21"/>
          </w:tcPr>
          <w:p>
            <w:pPr>
              <w:spacing w:after="0" w:line="16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Co-Documentation Agents (Incorporated by reference to Exhibit 4.1 to the Company’s Current Report on Form 8-K filed on June 9,</w:t>
              </w:r>
            </w:hyperlink>
          </w:p>
        </w:tc>
        <w:tc>
          <w:tcPr>
            <w:tcW w:w="60" w:type="dxa"/>
            <w:vAlign w:val="bottom"/>
            <w:gridSpan w:val="3"/>
          </w:tcPr>
          <w:p>
            <w:pPr>
              <w:spacing w:after="0"/>
              <w:rPr>
                <w:sz w:val="14"/>
                <w:szCs w:val="14"/>
                <w:color w:val="auto"/>
              </w:rPr>
            </w:pPr>
          </w:p>
        </w:tc>
      </w:tr>
      <w:tr>
        <w:trPr>
          <w:trHeight w:val="155"/>
        </w:trPr>
        <w:tc>
          <w:tcPr>
            <w:tcW w:w="150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86">
              <w:r>
                <w:rPr>
                  <w:rFonts w:ascii="Times New Roman" w:cs="Times New Roman" w:eastAsia="Times New Roman" w:hAnsi="Times New Roman"/>
                  <w:sz w:val="18"/>
                  <w:szCs w:val="18"/>
                  <w:color w:val="0000FF"/>
                  <w:w w:val="95"/>
                </w:rPr>
                <w:t>2025)</w:t>
              </w:r>
            </w:hyperlink>
          </w:p>
        </w:tc>
        <w:tc>
          <w:tcPr>
            <w:tcW w:w="960" w:type="dxa"/>
            <w:vAlign w:val="bottom"/>
            <w:tcBorders>
              <w:top w:val="single" w:sz="8" w:color="0000FF"/>
            </w:tcBorders>
          </w:tcPr>
          <w:p>
            <w:pPr>
              <w:spacing w:after="0"/>
              <w:rPr>
                <w:sz w:val="13"/>
                <w:szCs w:val="13"/>
                <w:color w:val="auto"/>
              </w:rPr>
            </w:pPr>
          </w:p>
        </w:tc>
        <w:tc>
          <w:tcPr>
            <w:tcW w:w="5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r>
      <w:tr>
        <w:trPr>
          <w:trHeight w:val="31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4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280" w:type="dxa"/>
            <w:vAlign w:val="bottom"/>
            <w:gridSpan w:val="18"/>
          </w:tcPr>
          <w:p>
            <w:pPr>
              <w:spacing w:after="0"/>
              <w:rPr>
                <w:sz w:val="24"/>
                <w:szCs w:val="24"/>
                <w:color w:val="auto"/>
              </w:rPr>
            </w:pPr>
          </w:p>
        </w:tc>
      </w:tr>
      <w:tr>
        <w:trPr>
          <w:trHeight w:val="31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r>
      <w:tr>
        <w:trPr>
          <w:trHeight w:val="31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4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906 of the Sarbanes-Oxley Act of 2002</w:t>
            </w:r>
          </w:p>
        </w:tc>
        <w:tc>
          <w:tcPr>
            <w:tcW w:w="40" w:type="dxa"/>
            <w:vAlign w:val="bottom"/>
            <w:tcBorders>
              <w:top w:val="single" w:sz="8" w:color="0000FF"/>
            </w:tcBorders>
          </w:tcPr>
          <w:p>
            <w:pPr>
              <w:spacing w:after="0"/>
              <w:rPr>
                <w:sz w:val="24"/>
                <w:szCs w:val="24"/>
                <w:color w:val="auto"/>
              </w:rPr>
            </w:pPr>
          </w:p>
        </w:tc>
        <w:tc>
          <w:tcPr>
            <w:tcW w:w="2280" w:type="dxa"/>
            <w:vAlign w:val="bottom"/>
            <w:gridSpan w:val="18"/>
          </w:tcPr>
          <w:p>
            <w:pPr>
              <w:spacing w:after="0"/>
              <w:rPr>
                <w:sz w:val="24"/>
                <w:szCs w:val="24"/>
                <w:color w:val="auto"/>
              </w:rPr>
            </w:pPr>
          </w:p>
        </w:tc>
      </w:tr>
      <w:tr>
        <w:trPr>
          <w:trHeight w:val="30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500" w:type="dxa"/>
            <w:vAlign w:val="bottom"/>
          </w:tcPr>
          <w:p>
            <w:pPr>
              <w:spacing w:after="0"/>
              <w:rPr>
                <w:sz w:val="20"/>
                <w:szCs w:val="20"/>
                <w:color w:val="auto"/>
              </w:rPr>
            </w:pP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4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3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3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03" w:lineRule="exact"/>
        <w:rPr>
          <w:sz w:val="20"/>
          <w:szCs w:val="20"/>
          <w:color w:val="auto"/>
        </w:rPr>
      </w:pPr>
    </w:p>
    <w:p>
      <w:pPr>
        <w:ind w:left="1520" w:hanging="1494"/>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00" w:hanging="634"/>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this document is filed as an exhibit herewith.</w:t>
      </w:r>
    </w:p>
    <w:p>
      <w:pPr>
        <w:spacing w:after="0" w:line="23" w:lineRule="exact"/>
        <w:rPr>
          <w:sz w:val="20"/>
          <w:szCs w:val="20"/>
          <w:color w:val="auto"/>
        </w:rPr>
      </w:pPr>
    </w:p>
    <w:p>
      <w:pPr>
        <w:ind w:left="700" w:hanging="634"/>
        <w:spacing w:after="0" w:line="219"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of Integra LifeSciences Holdings Corporation Quarterly Report on Form 10-Q for the quarter ended June 30, 2025 filed on July 31, 2025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31, 2025</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Mojdeh Poul</w:t>
            </w:r>
          </w:p>
        </w:tc>
      </w:tr>
      <w:tr>
        <w:trPr>
          <w:trHeight w:val="218"/>
        </w:trPr>
        <w:tc>
          <w:tcPr>
            <w:tcW w:w="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Mojdeh Poul</w:t>
            </w:r>
          </w:p>
        </w:tc>
      </w:tr>
      <w:tr>
        <w:trPr>
          <w:trHeight w:val="229"/>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31, 2025</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Lea Knight</w:t>
            </w:r>
          </w:p>
        </w:tc>
      </w:tr>
      <w:tr>
        <w:trPr>
          <w:trHeight w:val="218"/>
        </w:trPr>
        <w:tc>
          <w:tcPr>
            <w:tcW w:w="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 Knight</w:t>
            </w:r>
          </w:p>
        </w:tc>
      </w:tr>
      <w:tr>
        <w:trPr>
          <w:trHeight w:val="229"/>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0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31, 2025</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A. Mosebrook</w:t>
            </w:r>
          </w:p>
        </w:tc>
      </w:tr>
      <w:tr>
        <w:trPr>
          <w:trHeight w:val="218"/>
        </w:trPr>
        <w:tc>
          <w:tcPr>
            <w:tcW w:w="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Jeffrey A. Mosebrook</w:t>
            </w:r>
          </w:p>
        </w:tc>
      </w:tr>
      <w:tr>
        <w:trPr>
          <w:trHeight w:val="230"/>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w:t>
            </w:r>
          </w:p>
        </w:tc>
      </w:t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Mojdeh Poul, certify that:</w:t>
      </w:r>
    </w:p>
    <w:p>
      <w:pPr>
        <w:spacing w:after="0" w:line="11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7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31, 2025</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Mojdeh Poul</w:t>
            </w:r>
          </w:p>
        </w:tc>
      </w:tr>
      <w:tr>
        <w:trPr>
          <w:trHeight w:val="216"/>
        </w:trPr>
        <w:tc>
          <w:tcPr>
            <w:tcW w:w="6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Mojdeh Poul</w:t>
            </w:r>
          </w:p>
        </w:tc>
      </w:tr>
      <w:tr>
        <w:trPr>
          <w:trHeight w:val="236"/>
        </w:trPr>
        <w:tc>
          <w:tcPr>
            <w:tcW w:w="6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Lea Knight, certify that:</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July 31, 2025</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Lea Knight</w:t>
            </w:r>
          </w:p>
        </w:tc>
      </w:tr>
      <w:tr>
        <w:trPr>
          <w:trHeight w:val="216"/>
        </w:trPr>
        <w:tc>
          <w:tcPr>
            <w:tcW w:w="6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 Knight</w:t>
            </w:r>
          </w:p>
        </w:tc>
      </w:tr>
      <w:tr>
        <w:trPr>
          <w:trHeight w:val="236"/>
        </w:trPr>
        <w:tc>
          <w:tcPr>
            <w:tcW w:w="6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Integra LifeSciences Holdings Corporation (the “Company”) on Form 10-Q for the quarter ended June 30, 2025 as filed with the Securities Exchange Commission on the date hereof (the “Report”), I, Mojdeh Poul, President and Chief Executive Officer of the Company, hereby certify, pursuant to 18 U.S.C. §1350, as adopted pursuant to §906 of the Sarbanes-Oxley Act of 2002, that to the best of my knowledge:</w:t>
      </w:r>
    </w:p>
    <w:p>
      <w:pPr>
        <w:spacing w:after="0" w:line="203"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July 31, 2025</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Mojdeh Poul</w:t>
            </w:r>
          </w:p>
        </w:tc>
      </w:tr>
      <w:tr>
        <w:trPr>
          <w:trHeight w:val="216"/>
        </w:trPr>
        <w:tc>
          <w:tcPr>
            <w:tcW w:w="5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Mojdeh Poul</w:t>
            </w:r>
          </w:p>
        </w:tc>
      </w:tr>
      <w:tr>
        <w:trPr>
          <w:trHeight w:val="236"/>
        </w:trPr>
        <w:tc>
          <w:tcPr>
            <w:tcW w:w="5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Integra LifeSciences Holdings Corporation (the “Company”) on Form 10-Q for the quarter ended June 30, 2025 as filed with the Securities Exchange Commission on the date hereof (the “Report”), I, Lea Knight, Executive Vice President and Chief Financial Officer of the Company, hereby certify, pursuant to 18 U.S.C. §1350, as adopted pursuant to §906 of the Sarbanes-Oxley Act of 2002, that to the best of my knowledge:</w:t>
      </w:r>
    </w:p>
    <w:p>
      <w:pPr>
        <w:spacing w:after="0" w:line="207"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July 31, 2025</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Lea Knight</w:t>
            </w:r>
          </w:p>
        </w:tc>
      </w:tr>
      <w:tr>
        <w:trPr>
          <w:trHeight w:val="216"/>
        </w:trPr>
        <w:tc>
          <w:tcPr>
            <w:tcW w:w="5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 Knight</w:t>
            </w:r>
          </w:p>
        </w:tc>
      </w:tr>
      <w:tr>
        <w:trPr>
          <w:trHeight w:val="236"/>
        </w:trPr>
        <w:tc>
          <w:tcPr>
            <w:tcW w:w="5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Roman"/>
      <w:start w:val="1"/>
    </w:lvl>
    <w:lvl w:ilvl="1">
      <w:lvlJc w:val="left"/>
      <w:lvlText w:val="%2."/>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decimal"/>
      <w:start w:val="9"/>
    </w:lvl>
  </w:abstractNum>
  <w:abstractNum w:abstractNumId="12">
    <w:nsid w:val="6B68079A"/>
    <w:multiLevelType w:val="hybridMultilevel"/>
    <w:lvl w:ilvl="0">
      <w:lvlJc w:val="left"/>
      <w:lvlText w:val="%1"/>
      <w:numFmt w:val="decimal"/>
      <w:start w:val="104"/>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79" Type="http://schemas.openxmlformats.org/officeDocument/2006/relationships/hyperlink" Target="https://www.sec.gov/Archives/edgar/data/917520/000091752006000066/ex3-1aform10k031406.txt" TargetMode="External"/><Relationship Id="rId80" Type="http://schemas.openxmlformats.org/officeDocument/2006/relationships/hyperlink" Target="https://www.sec.gov/Archives/edgar/data/917520/0000889812-99-001063.txt" TargetMode="External"/><Relationship Id="rId81" Type="http://schemas.openxmlformats.org/officeDocument/2006/relationships/hyperlink" Target="https://www.sec.gov/Archives/edgar/data/917520/000095012305003217/y06769exv3w1wc.txt" TargetMode="External"/><Relationship Id="rId82" Type="http://schemas.openxmlformats.org/officeDocument/2006/relationships/hyperlink" Target="https://www.sec.gov/Archives/edgar/data/917520/000091752016000107/ex_3x1xfileddecember22x2016.htm" TargetMode="External"/><Relationship Id="rId83" Type="http://schemas.openxmlformats.org/officeDocument/2006/relationships/hyperlink" Target="https://www.sec.gov/Archives/edgar/data/917520/000091752024000108/iart-20240930xexx31e.htm" TargetMode="External"/><Relationship Id="rId84" Type="http://schemas.openxmlformats.org/officeDocument/2006/relationships/hyperlink" Target="https://www.sec.gov/Archives/edgar/data/917520/000091752023000015/iart-20221231xexx33.htm" TargetMode="External"/><Relationship Id="rId85" Type="http://schemas.openxmlformats.org/officeDocument/2006/relationships/hyperlink" Target="https://www.sec.gov/Archives/edgar/data/917520/000091752025000052/exhibit101_amendmentno2toe.htm" TargetMode="External"/><Relationship Id="rId86" Type="http://schemas.openxmlformats.org/officeDocument/2006/relationships/hyperlink" Target="https://www.sec.gov/Archives/edgar/data/917520/000091752025000060/exhibit41amendmentno1sev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2025-07-31T15:17:47Z</dcterms:created>
  <dcterms:modified xsi:type="dcterms:W3CDTF">2025-07-31T15:17:47Z</dcterms:modified>
</cp:coreProperties>
</file>