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February 26, 2026</w:t>
      </w:r>
    </w:p>
    <w:p>
      <w:pPr>
        <w:spacing w:after="0" w:line="20" w:lineRule="exact"/>
        <w:rPr>
          <w:sz w:val="24"/>
          <w:szCs w:val="24"/>
          <w:color w:val="auto"/>
        </w:rPr>
      </w:pPr>
    </w:p>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796925</wp:posOffset>
            </wp:positionH>
            <wp:positionV relativeFrom="paragraph">
              <wp:posOffset>65405</wp:posOffset>
            </wp:positionV>
            <wp:extent cx="55803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99695</wp:posOffset>
            </wp:positionV>
            <wp:extent cx="55803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116205</wp:posOffset>
            </wp:positionV>
            <wp:extent cx="11696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123190</wp:posOffset>
            </wp:positionV>
            <wp:extent cx="11696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4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INTEGRA LIFESCIENCES HOLDINGS CORPORATION</w:t>
      </w:r>
    </w:p>
    <w:p>
      <w:pPr>
        <w:spacing w:after="0" w:line="3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121920</wp:posOffset>
            </wp:positionV>
            <wp:extent cx="11696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99" w:lineRule="exact"/>
        <w:rPr>
          <w:sz w:val="24"/>
          <w:szCs w:val="24"/>
          <w:color w:val="auto"/>
        </w:rPr>
      </w:pPr>
    </w:p>
    <w:tbl>
      <w:tblPr>
        <w:tblLayout w:type="fixed"/>
        <w:tblInd w:w="2720" w:type="dxa"/>
        <w:tblCellMar>
          <w:top w:w="0" w:type="dxa"/>
          <w:left w:w="0" w:type="dxa"/>
          <w:bottom w:w="0" w:type="dxa"/>
          <w:right w:w="0" w:type="dxa"/>
        </w:tblCellMar>
      </w:tblPr>
      <w:tr>
        <w:trPr>
          <w:trHeight w:val="155"/>
        </w:trPr>
        <w:tc>
          <w:tcPr>
            <w:tcW w:w="3060" w:type="dxa"/>
            <w:vAlign w:val="bottom"/>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700" w:type="dxa"/>
            <w:vAlign w:val="bottom"/>
          </w:tcPr>
          <w:p>
            <w:pPr>
              <w:jc w:val="center"/>
              <w:ind w:left="1500"/>
              <w:spacing w:after="0"/>
              <w:rPr>
                <w:sz w:val="20"/>
                <w:szCs w:val="20"/>
                <w:color w:val="auto"/>
              </w:rPr>
            </w:pPr>
            <w:r>
              <w:rPr>
                <w:rFonts w:ascii="Times New Roman" w:cs="Times New Roman" w:eastAsia="Times New Roman" w:hAnsi="Times New Roman"/>
                <w:sz w:val="13"/>
                <w:szCs w:val="13"/>
                <w:b w:val="1"/>
                <w:bCs w:val="1"/>
                <w:color w:val="auto"/>
                <w:w w:val="98"/>
              </w:rPr>
              <w:t>51-0317849</w:t>
            </w:r>
          </w:p>
        </w:tc>
      </w:tr>
      <w:tr>
        <w:trPr>
          <w:trHeight w:val="118"/>
        </w:trPr>
        <w:tc>
          <w:tcPr>
            <w:tcW w:w="3060" w:type="dxa"/>
            <w:vAlign w:val="bottom"/>
          </w:tcPr>
          <w:p>
            <w:pPr>
              <w:jc w:val="center"/>
              <w:ind w:right="1500"/>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700" w:type="dxa"/>
            <w:vAlign w:val="bottom"/>
          </w:tcPr>
          <w:p>
            <w:pPr>
              <w:jc w:val="center"/>
              <w:ind w:left="1500"/>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3060" w:type="dxa"/>
            <w:vAlign w:val="bottom"/>
          </w:tcPr>
          <w:p>
            <w:pPr>
              <w:jc w:val="center"/>
              <w:ind w:right="150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700" w:type="dxa"/>
            <w:vAlign w:val="bottom"/>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7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1100 Campus Road</w:t>
      </w:r>
    </w:p>
    <w:p>
      <w:pPr>
        <w:spacing w:after="0" w:line="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Princeton, New Jersey 08540</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(609) 275-0500</w:t>
      </w:r>
    </w:p>
    <w:p>
      <w:pPr>
        <w:spacing w:after="0" w:line="1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114300</wp:posOffset>
            </wp:positionV>
            <wp:extent cx="11696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Michael Hutchinson, Esq.</w:t>
      </w:r>
    </w:p>
    <w:p>
      <w:pPr>
        <w:spacing w:after="0" w:line="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1100 Campus Road</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Princeton, New Jersey 08540</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(609) 936-4650</w:t>
      </w:r>
    </w:p>
    <w:p>
      <w:pPr>
        <w:spacing w:after="0" w:line="1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114300</wp:posOffset>
            </wp:positionV>
            <wp:extent cx="11696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4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10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Catherine M. Clarkin, Esq.</w:t>
      </w:r>
    </w:p>
    <w:p>
      <w:pPr>
        <w:spacing w:after="0" w:line="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Sullivan &amp; Cromwell LLP</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125 Broad Street</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New York, New York 10004</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(212) 558-4000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133985</wp:posOffset>
            </wp:positionV>
            <wp:extent cx="11696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7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71" w:lineRule="exact"/>
        <w:rPr>
          <w:sz w:val="24"/>
          <w:szCs w:val="24"/>
          <w:color w:val="auto"/>
        </w:rPr>
      </w:pPr>
    </w:p>
    <w:p>
      <w:pPr>
        <w:ind w:left="126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27" w:lineRule="exact"/>
        <w:rPr>
          <w:sz w:val="24"/>
          <w:szCs w:val="24"/>
          <w:color w:val="auto"/>
        </w:rPr>
      </w:pPr>
    </w:p>
    <w:p>
      <w:pPr>
        <w:ind w:left="1260" w:right="199"/>
        <w:spacing w:after="0" w:line="17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13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59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71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21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1260" w:right="159"/>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6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5"/>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6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12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1" w:lineRule="exact"/>
        <w:rPr>
          <w:sz w:val="24"/>
          <w:szCs w:val="24"/>
          <w:color w:val="auto"/>
        </w:rPr>
      </w:pPr>
    </w:p>
    <w:p>
      <w:pPr>
        <w:ind w:left="1260" w:right="41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796925</wp:posOffset>
            </wp:positionH>
            <wp:positionV relativeFrom="paragraph">
              <wp:posOffset>59690</wp:posOffset>
            </wp:positionV>
            <wp:extent cx="55803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93980</wp:posOffset>
            </wp:positionV>
            <wp:extent cx="55803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140970</wp:posOffset>
            </wp:positionV>
            <wp:extent cx="1101090" cy="417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10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179705</wp:posOffset>
            </wp:positionV>
            <wp:extent cx="116967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60" w:right="139"/>
        <w:spacing w:after="0" w:line="294" w:lineRule="auto"/>
        <w:rPr>
          <w:sz w:val="20"/>
          <w:szCs w:val="20"/>
          <w:color w:val="auto"/>
        </w:rPr>
      </w:pPr>
      <w:r>
        <w:rPr>
          <w:rFonts w:ascii="Times New Roman" w:cs="Times New Roman" w:eastAsia="Times New Roman" w:hAnsi="Times New Roman"/>
          <w:sz w:val="14"/>
          <w:szCs w:val="14"/>
          <w:color w:val="auto"/>
        </w:rPr>
        <w:t>We may offer and sell the securities identified above from time to time in one or more offerings. This prospectus provides you with a general description of the securities.</w:t>
      </w:r>
    </w:p>
    <w:p>
      <w:pPr>
        <w:spacing w:after="0" w:line="123" w:lineRule="exact"/>
        <w:rPr>
          <w:sz w:val="20"/>
          <w:szCs w:val="20"/>
          <w:color w:val="auto"/>
        </w:rPr>
      </w:pPr>
    </w:p>
    <w:p>
      <w:pPr>
        <w:ind w:left="1260" w:right="139"/>
        <w:spacing w:after="0" w:line="266"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In addition, selling security holders to be named in a prospectus supplement may offer and sell from time to time the securities described in this prospectus in such amounts as set forth in such prospectus supplement.</w:t>
      </w:r>
    </w:p>
    <w:p>
      <w:pPr>
        <w:spacing w:after="0" w:line="142" w:lineRule="exact"/>
        <w:rPr>
          <w:sz w:val="20"/>
          <w:szCs w:val="20"/>
          <w:color w:val="auto"/>
        </w:rPr>
      </w:pPr>
    </w:p>
    <w:p>
      <w:pPr>
        <w:ind w:left="1260" w:right="139"/>
        <w:spacing w:after="0" w:line="264"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42" w:lineRule="exact"/>
        <w:rPr>
          <w:sz w:val="20"/>
          <w:szCs w:val="20"/>
          <w:color w:val="auto"/>
        </w:rPr>
      </w:pPr>
    </w:p>
    <w:p>
      <w:pPr>
        <w:ind w:left="1260" w:right="159"/>
        <w:spacing w:after="0" w:line="270"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ON PAGE 7 OF THIS PROSPECTUS, ANY SIMILAR SECTION CONTAINED IN ANY APPLICABLE PROSPECTUS SUPPLEMENT AND CERTAIN OF OUR FILINGS WITH THE SECURITIES AND EXCHANGE COMMISSION INCORPORATED BY REFERENCE INTO THIS PROSPECTUS CONCERNING FACTORS YOU SHOULD CONSIDER BEFORE INVESTING IN OUR SECURITIES.</w:t>
      </w:r>
    </w:p>
    <w:p>
      <w:pPr>
        <w:spacing w:after="0" w:line="139" w:lineRule="exact"/>
        <w:rPr>
          <w:sz w:val="20"/>
          <w:szCs w:val="20"/>
          <w:color w:val="auto"/>
        </w:rPr>
      </w:pPr>
    </w:p>
    <w:p>
      <w:pPr>
        <w:ind w:left="1260" w:right="199"/>
        <w:spacing w:after="0" w:line="266"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“IART.” On February 25, 2026, the last reported sale price of our common stock on The Nasdaq Global Select Market was $11.59 per share. We have not yet determined whether the other securities that may be offered by this prospectus will be listed on any exchange, interdealer quotation system or over-the-counter market. If we decide to list or seek a quotation for any other securities, the prospectus supplement relating to those securities will disclose the exchange or market on which those securities will be listed or quoted.</w:t>
      </w:r>
    </w:p>
    <w:p>
      <w:pPr>
        <w:spacing w:after="0" w:line="140" w:lineRule="exact"/>
        <w:rPr>
          <w:sz w:val="20"/>
          <w:szCs w:val="20"/>
          <w:color w:val="auto"/>
        </w:rPr>
      </w:pPr>
    </w:p>
    <w:p>
      <w:pPr>
        <w:ind w:left="1260" w:right="139"/>
        <w:spacing w:after="0" w:line="29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161290</wp:posOffset>
            </wp:positionV>
            <wp:extent cx="116967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40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The date of this prospectus is February 26, 2026.</w:t>
      </w:r>
    </w:p>
    <w:p>
      <w:pPr>
        <w:sectPr>
          <w:pgSz w:w="11900" w:h="16838" w:orient="portrait"/>
          <w:cols w:equalWidth="0" w:num="1">
            <w:col w:w="10159"/>
          </w:cols>
          <w:pgMar w:left="300" w:top="39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380" w:type="dxa"/>
            <w:vAlign w:val="bottom"/>
          </w:tcPr>
          <w:p>
            <w:pPr>
              <w:spacing w:after="0"/>
              <w:rPr>
                <w:sz w:val="16"/>
                <w:szCs w:val="16"/>
                <w:color w:val="auto"/>
              </w:rPr>
            </w:pPr>
          </w:p>
        </w:tc>
      </w:tr>
      <w:tr>
        <w:trPr>
          <w:trHeight w:val="335"/>
        </w:trPr>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52"/>
        </w:trPr>
        <w:tc>
          <w:tcPr>
            <w:tcW w:w="5360" w:type="dxa"/>
            <w:vAlign w:val="bottom"/>
            <w:tcBorders>
              <w:bottom w:val="single" w:sz="8" w:color="0000EE"/>
            </w:tcBorders>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WHERE YOU CAN FIND MORE INFORMATION; INCORPORATION BY REFERENCE</w:t>
            </w: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w:t>
            </w:r>
          </w:p>
        </w:tc>
      </w:tr>
      <w:tr>
        <w:trPr>
          <w:trHeight w:val="152"/>
        </w:trPr>
        <w:tc>
          <w:tcPr>
            <w:tcW w:w="536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w:t>
            </w:r>
          </w:p>
        </w:tc>
      </w:tr>
      <w:tr>
        <w:trPr>
          <w:trHeight w:val="152"/>
        </w:trPr>
        <w:tc>
          <w:tcPr>
            <w:tcW w:w="4240" w:type="dxa"/>
            <w:vAlign w:val="bottom"/>
            <w:tcBorders>
              <w:top w:val="single" w:sz="8" w:color="0000EE"/>
            </w:tcBorders>
            <w:gridSpan w:val="12"/>
          </w:tcPr>
          <w:p>
            <w:pPr>
              <w:spacing w:after="0" w:line="153" w:lineRule="exact"/>
              <w:rPr>
                <w:sz w:val="20"/>
                <w:szCs w:val="20"/>
                <w:color w:val="auto"/>
              </w:rPr>
            </w:pPr>
            <w:r>
              <w:rPr>
                <w:rFonts w:ascii="Times New Roman" w:cs="Times New Roman" w:eastAsia="Times New Roman" w:hAnsi="Times New Roman"/>
                <w:sz w:val="14"/>
                <w:szCs w:val="14"/>
                <w:color w:val="0000EE"/>
              </w:rPr>
              <w:t>THE COMPANY</w:t>
            </w:r>
          </w:p>
        </w:tc>
        <w:tc>
          <w:tcPr>
            <w:tcW w:w="1120" w:type="dxa"/>
            <w:vAlign w:val="bottom"/>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r>
      <w:tr>
        <w:trPr>
          <w:trHeight w:val="152"/>
        </w:trPr>
        <w:tc>
          <w:tcPr>
            <w:tcW w:w="1000" w:type="dxa"/>
            <w:vAlign w:val="bottom"/>
            <w:tcBorders>
              <w:top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EE"/>
                <w:w w:val="99"/>
              </w:rPr>
              <w:t>RISK FACTORS</w:t>
            </w:r>
          </w:p>
        </w:tc>
        <w:tc>
          <w:tcPr>
            <w:tcW w:w="4360" w:type="dxa"/>
            <w:vAlign w:val="bottom"/>
            <w:gridSpan w:val="10"/>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52"/>
        </w:trPr>
        <w:tc>
          <w:tcPr>
            <w:tcW w:w="126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EE"/>
              </w:rPr>
              <w:t>USE OF PROCEEDS</w:t>
            </w:r>
          </w:p>
        </w:tc>
        <w:tc>
          <w:tcPr>
            <w:tcW w:w="4100" w:type="dxa"/>
            <w:vAlign w:val="bottom"/>
            <w:gridSpan w:val="8"/>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r>
      <w:tr>
        <w:trPr>
          <w:trHeight w:val="152"/>
        </w:trPr>
        <w:tc>
          <w:tcPr>
            <w:tcW w:w="2280" w:type="dxa"/>
            <w:vAlign w:val="bottom"/>
            <w:tcBorders>
              <w:bottom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3080" w:type="dxa"/>
            <w:vAlign w:val="bottom"/>
            <w:gridSpan w:val="4"/>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w:t>
            </w:r>
          </w:p>
        </w:tc>
      </w:tr>
      <w:tr>
        <w:trPr>
          <w:trHeight w:val="152"/>
        </w:trPr>
        <w:tc>
          <w:tcPr>
            <w:tcW w:w="536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52"/>
        </w:trPr>
        <w:tc>
          <w:tcPr>
            <w:tcW w:w="536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DESCRIPTION OF OTHER SECURITIES</w:t>
            </w: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21</w:t>
            </w:r>
          </w:p>
        </w:tc>
      </w:tr>
      <w:tr>
        <w:trPr>
          <w:trHeight w:val="152"/>
        </w:trPr>
        <w:tc>
          <w:tcPr>
            <w:tcW w:w="2500" w:type="dxa"/>
            <w:vAlign w:val="bottom"/>
            <w:tcBorders>
              <w:top w:val="single" w:sz="8" w:color="0000EE"/>
            </w:tcBorders>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SELLING SECURITY HOLDERS</w:t>
            </w:r>
          </w:p>
        </w:tc>
        <w:tc>
          <w:tcPr>
            <w:tcW w:w="2860" w:type="dxa"/>
            <w:vAlign w:val="bottom"/>
            <w:gridSpan w:val="2"/>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22</w:t>
            </w:r>
          </w:p>
        </w:tc>
      </w:tr>
      <w:tr>
        <w:trPr>
          <w:trHeight w:val="152"/>
        </w:trPr>
        <w:tc>
          <w:tcPr>
            <w:tcW w:w="2020" w:type="dxa"/>
            <w:vAlign w:val="bottom"/>
            <w:tcBorders>
              <w:top w:val="single" w:sz="8" w:color="0000EE"/>
            </w:tcBorders>
            <w:gridSpan w:val="8"/>
          </w:tcPr>
          <w:p>
            <w:pPr>
              <w:spacing w:after="0" w:line="153" w:lineRule="exact"/>
              <w:rPr>
                <w:sz w:val="20"/>
                <w:szCs w:val="20"/>
                <w:color w:val="auto"/>
              </w:rPr>
            </w:pPr>
            <w:r>
              <w:rPr>
                <w:rFonts w:ascii="Times New Roman" w:cs="Times New Roman" w:eastAsia="Times New Roman" w:hAnsi="Times New Roman"/>
                <w:sz w:val="14"/>
                <w:szCs w:val="14"/>
                <w:color w:val="0000EE"/>
              </w:rPr>
              <w:t>PLAN OF DISTRIBUTION</w:t>
            </w:r>
          </w:p>
        </w:tc>
        <w:tc>
          <w:tcPr>
            <w:tcW w:w="3340" w:type="dxa"/>
            <w:vAlign w:val="bottom"/>
            <w:gridSpan w:val="5"/>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w:t>
            </w:r>
          </w:p>
        </w:tc>
      </w:tr>
      <w:tr>
        <w:trPr>
          <w:trHeight w:val="152"/>
        </w:trPr>
        <w:tc>
          <w:tcPr>
            <w:tcW w:w="1160" w:type="dxa"/>
            <w:vAlign w:val="bottom"/>
            <w:tcBorders>
              <w:top w:val="single" w:sz="8" w:color="0000EE"/>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tcBorders>
            <w:gridSpan w:val="2"/>
          </w:tcPr>
          <w:p>
            <w:pPr>
              <w:spacing w:after="0"/>
              <w:rPr>
                <w:sz w:val="13"/>
                <w:szCs w:val="13"/>
                <w:color w:val="auto"/>
              </w:rPr>
            </w:pPr>
          </w:p>
        </w:tc>
        <w:tc>
          <w:tcPr>
            <w:tcW w:w="3740" w:type="dxa"/>
            <w:vAlign w:val="bottom"/>
            <w:gridSpan w:val="7"/>
          </w:tcPr>
          <w:p>
            <w:pPr>
              <w:spacing w:after="0"/>
              <w:rPr>
                <w:sz w:val="13"/>
                <w:szCs w:val="13"/>
                <w:color w:val="auto"/>
              </w:rPr>
            </w:pP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w:t>
            </w:r>
          </w:p>
        </w:tc>
      </w:tr>
      <w:tr>
        <w:trPr>
          <w:trHeight w:val="152"/>
        </w:trPr>
        <w:tc>
          <w:tcPr>
            <w:tcW w:w="5360" w:type="dxa"/>
            <w:vAlign w:val="bottom"/>
            <w:gridSpan w:val="13"/>
          </w:tcPr>
          <w:p>
            <w:pPr>
              <w:spacing w:after="0" w:line="153" w:lineRule="exact"/>
              <w:rPr>
                <w:sz w:val="20"/>
                <w:szCs w:val="20"/>
                <w:color w:val="auto"/>
              </w:rPr>
            </w:pPr>
            <w:r>
              <w:rPr>
                <w:rFonts w:ascii="Times New Roman" w:cs="Times New Roman" w:eastAsia="Times New Roman" w:hAnsi="Times New Roman"/>
                <w:sz w:val="14"/>
                <w:szCs w:val="14"/>
                <w:color w:val="0000EE"/>
              </w:rPr>
              <w:t>EXPERTS</w:t>
            </w:r>
          </w:p>
        </w:tc>
        <w:tc>
          <w:tcPr>
            <w:tcW w:w="3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26</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1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6" w:lineRule="exact"/>
        <w:rPr>
          <w:sz w:val="20"/>
          <w:szCs w:val="20"/>
          <w:color w:val="auto"/>
        </w:rPr>
      </w:pPr>
    </w:p>
    <w:p>
      <w:pPr>
        <w:ind w:left="1260" w:right="159"/>
        <w:spacing w:after="0" w:line="260"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or the SEC, as a “well-known seasoned issuer” as defined in Rule 405 under the Securities Act of 1933, as amended, which we refer to as the “Securities Act”, using a “shelf” registration process. By using a shelf registration statement, we or any selling security holder to be named in a prospectus supplement may, from time to time, sell any combination of the securities described in this prospectus in one or more offerings. This prospectus provides you with a general description of the securities we or any selling security holder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supplements, as applicable,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47" w:lineRule="exact"/>
        <w:rPr>
          <w:sz w:val="20"/>
          <w:szCs w:val="20"/>
          <w:color w:val="auto"/>
        </w:rPr>
      </w:pPr>
    </w:p>
    <w:p>
      <w:pPr>
        <w:ind w:left="1260" w:right="139"/>
        <w:spacing w:after="0" w:line="260" w:lineRule="auto"/>
        <w:rPr>
          <w:sz w:val="20"/>
          <w:szCs w:val="20"/>
          <w:color w:val="auto"/>
        </w:rPr>
      </w:pPr>
      <w:r>
        <w:rPr>
          <w:rFonts w:ascii="Times New Roman" w:cs="Times New Roman" w:eastAsia="Times New Roman" w:hAnsi="Times New Roman"/>
          <w:sz w:val="14"/>
          <w:szCs w:val="14"/>
          <w:b w:val="1"/>
          <w:bCs w:val="1"/>
          <w:color w:val="auto"/>
        </w:rPr>
        <w:t>Neither we nor any selling security holder has authorized any dealer, agent or other person to give any information or to make any representation other than those contained or incorporated by reference in this prospectus, and any applicable prospectus supplement or free writing prospectus. You must not rely upon any information or representation not contained or incorporated by reference in this prospectus or an applicable prospectus supplement or free writing prospectus. This prospectus and the applicable prospectus supplement or free writing prospectus, if any, do not constitute an offer to sell or the solicitation of an offer to buy any securities other than the registered securities to which they relate, nor do this prospectus and the applicable prospectus supplement or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applicable prospectus supplement or free writing prospectus, if any, is accurate on any date subsequent to the date set forth on the front of such document or that any information we have incorporated by reference is correct on any date subsequent to the date of the document incorporated by reference, even though this prospectus and any applicable prospectus supplement or free writing prospectus is delivered or securities are sold on a later date.</w:t>
      </w:r>
    </w:p>
    <w:p>
      <w:pPr>
        <w:spacing w:after="0" w:line="151" w:lineRule="exact"/>
        <w:rPr>
          <w:sz w:val="20"/>
          <w:szCs w:val="20"/>
          <w:color w:val="auto"/>
        </w:rPr>
      </w:pPr>
    </w:p>
    <w:p>
      <w:pPr>
        <w:ind w:left="1260" w:right="239"/>
        <w:spacing w:after="0" w:line="262" w:lineRule="auto"/>
        <w:rPr>
          <w:sz w:val="20"/>
          <w:szCs w:val="20"/>
          <w:color w:val="auto"/>
        </w:rPr>
      </w:pPr>
      <w:r>
        <w:rPr>
          <w:rFonts w:ascii="Times New Roman" w:cs="Times New Roman" w:eastAsia="Times New Roman" w:hAnsi="Times New Roman"/>
          <w:sz w:val="14"/>
          <w:szCs w:val="14"/>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45" w:lineRule="exact"/>
        <w:rPr>
          <w:sz w:val="20"/>
          <w:szCs w:val="20"/>
          <w:color w:val="auto"/>
        </w:rPr>
      </w:pPr>
    </w:p>
    <w:p>
      <w:pPr>
        <w:ind w:left="1260" w:right="539"/>
        <w:spacing w:after="0" w:line="294" w:lineRule="auto"/>
        <w:rPr>
          <w:sz w:val="20"/>
          <w:szCs w:val="20"/>
          <w:color w:val="auto"/>
        </w:rPr>
      </w:pPr>
      <w:r>
        <w:rPr>
          <w:rFonts w:ascii="Times New Roman" w:cs="Times New Roman" w:eastAsia="Times New Roman" w:hAnsi="Times New Roman"/>
          <w:sz w:val="14"/>
          <w:szCs w:val="14"/>
          <w:color w:val="auto"/>
        </w:rPr>
        <w:t>When we refer to “Integra,” “we,” “our,” “us” and the “Company” in this prospectus, we mean Integra LifeSciences Holdings Corporation and its subsidiaries, unless otherwise specified. When we refer to “you,” we mean the holders of the applicable series of securities.</w:t>
      </w:r>
    </w:p>
    <w:p>
      <w:pPr>
        <w:spacing w:after="0" w:line="6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9" w:lineRule="exact"/>
        <w:rPr>
          <w:sz w:val="20"/>
          <w:szCs w:val="20"/>
          <w:color w:val="auto"/>
        </w:rPr>
      </w:pPr>
    </w:p>
    <w:p>
      <w:pPr>
        <w:ind w:left="1260" w:right="219"/>
        <w:spacing w:after="0" w:line="294"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The address of the SEC’s website is http://www.sec.gov.</w:t>
      </w:r>
    </w:p>
    <w:p>
      <w:pPr>
        <w:spacing w:after="0" w:line="121" w:lineRule="exact"/>
        <w:rPr>
          <w:sz w:val="20"/>
          <w:szCs w:val="20"/>
          <w:color w:val="auto"/>
        </w:rPr>
      </w:pPr>
    </w:p>
    <w:p>
      <w:pPr>
        <w:ind w:left="1260" w:right="159"/>
        <w:spacing w:after="0" w:line="270" w:lineRule="auto"/>
        <w:rPr>
          <w:sz w:val="20"/>
          <w:szCs w:val="20"/>
          <w:color w:val="auto"/>
        </w:rPr>
      </w:pPr>
      <w:r>
        <w:rPr>
          <w:rFonts w:ascii="Times New Roman" w:cs="Times New Roman" w:eastAsia="Times New Roman" w:hAnsi="Times New Roman"/>
          <w:sz w:val="14"/>
          <w:szCs w:val="14"/>
          <w:color w:val="auto"/>
        </w:rPr>
        <w:t xml:space="preserve">We also make available, free of charge, on or through our Internet website at </w:t>
      </w:r>
      <w:r>
        <w:rPr>
          <w:rFonts w:ascii="Times New Roman" w:cs="Times New Roman" w:eastAsia="Times New Roman" w:hAnsi="Times New Roman"/>
          <w:sz w:val="14"/>
          <w:szCs w:val="14"/>
          <w:i w:val="1"/>
          <w:iCs w:val="1"/>
          <w:color w:val="auto"/>
        </w:rPr>
        <w:t>www.integralife.com</w:t>
      </w:r>
      <w:r>
        <w:rPr>
          <w:rFonts w:ascii="Times New Roman" w:cs="Times New Roman" w:eastAsia="Times New Roman" w:hAnsi="Times New Roman"/>
          <w:sz w:val="14"/>
          <w:szCs w:val="14"/>
          <w:color w:val="auto"/>
        </w:rPr>
        <w:t xml:space="preserve"> all of the documents that we file with or furnish to the SEC as soon as reasonably practicable after we electronically file such material with the SEC. Information contained on our website is not incorporated by reference into this prospectus, and you should not consider information contained on our website as part of this prospectus or any prospectus supplement unless specifically so designated and filed with the SEC.</w:t>
      </w:r>
    </w:p>
    <w:p>
      <w:pPr>
        <w:spacing w:after="0" w:line="139" w:lineRule="exact"/>
        <w:rPr>
          <w:sz w:val="20"/>
          <w:szCs w:val="20"/>
          <w:color w:val="auto"/>
        </w:rPr>
      </w:pPr>
    </w:p>
    <w:p>
      <w:pPr>
        <w:ind w:left="1260" w:right="179"/>
        <w:spacing w:after="0" w:line="263"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S-3 relating to the securities covered by this prospectus. This prospectus and any prospectus supplement that we issue are part of such registration statement and do not contain all the information in the registration statement. You will find additional information about us in the registration statement. Any statement made in this prospectus and any accompanying prospectus supplement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review a copy of the registration statement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99" w:lineRule="exact"/>
        <w:rPr>
          <w:sz w:val="20"/>
          <w:szCs w:val="20"/>
          <w:color w:val="auto"/>
        </w:rPr>
      </w:pPr>
    </w:p>
    <w:p>
      <w:pPr>
        <w:ind w:left="1260" w:right="139"/>
        <w:spacing w:after="0" w:line="266"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42" w:lineRule="exact"/>
        <w:rPr>
          <w:sz w:val="20"/>
          <w:szCs w:val="20"/>
          <w:color w:val="auto"/>
        </w:rPr>
      </w:pPr>
    </w:p>
    <w:p>
      <w:pPr>
        <w:ind w:left="1260" w:right="159"/>
        <w:spacing w:after="0" w:line="264"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44" w:lineRule="exact"/>
        <w:rPr>
          <w:sz w:val="20"/>
          <w:szCs w:val="20"/>
          <w:color w:val="auto"/>
        </w:rPr>
      </w:pPr>
    </w:p>
    <w:p>
      <w:pPr>
        <w:ind w:left="1260" w:right="279"/>
        <w:spacing w:after="0" w:line="29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47" w:lineRule="exact"/>
        <w:rPr>
          <w:sz w:val="20"/>
          <w:szCs w:val="20"/>
          <w:color w:val="auto"/>
        </w:rPr>
      </w:pPr>
    </w:p>
    <w:p>
      <w:pPr>
        <w:ind w:left="2020" w:hanging="339"/>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108" w:lineRule="exact"/>
        <w:rPr>
          <w:rFonts w:ascii="Times New Roman" w:cs="Times New Roman" w:eastAsia="Times New Roman" w:hAnsi="Times New Roman"/>
          <w:sz w:val="14"/>
          <w:szCs w:val="14"/>
          <w:color w:val="auto"/>
        </w:rPr>
      </w:pPr>
    </w:p>
    <w:p>
      <w:pPr>
        <w:ind w:left="2020" w:right="179" w:hanging="339"/>
        <w:spacing w:after="0" w:line="294"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2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2024 from our Definitive Proxy Statement on </w:t>
      </w:r>
      <w:hyperlink r:id="rId27">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4, 2025; and</w:t>
      </w:r>
    </w:p>
    <w:p>
      <w:pPr>
        <w:spacing w:after="0" w:line="47" w:lineRule="exact"/>
        <w:rPr>
          <w:rFonts w:ascii="Times New Roman" w:cs="Times New Roman" w:eastAsia="Times New Roman" w:hAnsi="Times New Roman"/>
          <w:sz w:val="14"/>
          <w:szCs w:val="14"/>
          <w:color w:val="auto"/>
        </w:rPr>
      </w:pPr>
    </w:p>
    <w:p>
      <w:pPr>
        <w:jc w:val="both"/>
        <w:ind w:left="2020" w:right="359" w:hanging="339"/>
        <w:spacing w:after="0" w:line="275"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Current Report on </w:t>
      </w:r>
      <w:hyperlink r:id="rId28">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November 4, 2013 and any amendment or report filed with the SEC for the purpose of updating the description, including </w:t>
      </w:r>
      <w:hyperlink r:id="rId29">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Annual Report on </w:t>
      </w:r>
      <w:hyperlink r:id="rId2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82"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79"/>
        <w:spacing w:after="0" w:line="275"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36" w:lineRule="exact"/>
        <w:rPr>
          <w:sz w:val="20"/>
          <w:szCs w:val="20"/>
          <w:color w:val="auto"/>
        </w:rPr>
      </w:pPr>
    </w:p>
    <w:p>
      <w:pPr>
        <w:ind w:left="1260" w:right="439"/>
        <w:spacing w:after="0" w:line="269"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(other than exhibits, unless they are specifically incorporated by reference in the documents) by contacting: Integra LifeSciences Holdings Corporation, Chief Legal Officer, at 1100 Campus Road, Princeton, New Jersey 08540. In addition, copies of any or all of the documents incorporated herein by reference may be accessed at our website at www.</w:t>
      </w:r>
      <w:r>
        <w:rPr>
          <w:rFonts w:ascii="Times New Roman" w:cs="Times New Roman" w:eastAsia="Times New Roman" w:hAnsi="Times New Roman"/>
          <w:sz w:val="14"/>
          <w:szCs w:val="14"/>
          <w:i w:val="1"/>
          <w:iCs w:val="1"/>
          <w:color w:val="auto"/>
        </w:rPr>
        <w:t>integralife</w:t>
      </w:r>
      <w:r>
        <w:rPr>
          <w:rFonts w:ascii="Times New Roman" w:cs="Times New Roman" w:eastAsia="Times New Roman" w:hAnsi="Times New Roman"/>
          <w:sz w:val="14"/>
          <w:szCs w:val="14"/>
          <w:color w:val="auto"/>
        </w:rPr>
        <w:t>.com. The information on such website is specifically not incorporated by reference and is not a part of this prospectus.</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6" w:lineRule="exact"/>
        <w:rPr>
          <w:sz w:val="20"/>
          <w:szCs w:val="20"/>
          <w:color w:val="auto"/>
        </w:rPr>
      </w:pPr>
    </w:p>
    <w:p>
      <w:pPr>
        <w:ind w:left="1260" w:right="719"/>
        <w:spacing w:after="0" w:line="275"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contain “forward-looking statements” within the meaning of Section 27A of the Securities Act and Section 21E of the Exchange Act. These forward-looking statements are subject to a number of risks, uncertainties and assumptions about us including, among other things:</w:t>
      </w:r>
    </w:p>
    <w:p>
      <w:pPr>
        <w:spacing w:after="0" w:line="60" w:lineRule="exact"/>
        <w:rPr>
          <w:sz w:val="20"/>
          <w:szCs w:val="20"/>
          <w:color w:val="auto"/>
        </w:rPr>
      </w:pPr>
    </w:p>
    <w:p>
      <w:pPr>
        <w:ind w:left="2020" w:right="139" w:hanging="339"/>
        <w:spacing w:after="0" w:line="266"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and possible future effects of global challenges, including macroeconomic uncertainties, such as heightened trade barriers and related restrictions (including tariffs and related countermeasures), import or export licensing requirements, armed conflict and acts of terrorism, geopolitical tension and instability, supply chain disruptions, interest rate and foreign currency rate fluctuations, volatility in the capital markets, other economic disruptions and U.S. and global recession concerns, on our customers and suppliers, and on our business, financial condition, results of operations and cash flows;</w:t>
      </w:r>
    </w:p>
    <w:p>
      <w:pPr>
        <w:spacing w:after="0" w:line="66"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and estimates concerning future financial performance, financing plans and the impact of competition;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in our business;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demand for our products, including capital equipment;</w:t>
      </w:r>
    </w:p>
    <w:p>
      <w:pPr>
        <w:spacing w:after="0" w:line="108" w:lineRule="exact"/>
        <w:rPr>
          <w:rFonts w:ascii="Times New Roman" w:cs="Times New Roman" w:eastAsia="Times New Roman" w:hAnsi="Times New Roman"/>
          <w:sz w:val="14"/>
          <w:szCs w:val="14"/>
          <w:color w:val="auto"/>
        </w:rPr>
      </w:pPr>
    </w:p>
    <w:p>
      <w:pPr>
        <w:ind w:left="2020" w:right="41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substantial regulation related to quality standards applicable to our manufacturing and quality processes could have an adverse effect on our business, financial condition, or results of operations;</w:t>
      </w:r>
    </w:p>
    <w:p>
      <w:pPr>
        <w:spacing w:after="0" w:line="47" w:lineRule="exact"/>
        <w:rPr>
          <w:rFonts w:ascii="Times New Roman" w:cs="Times New Roman" w:eastAsia="Times New Roman" w:hAnsi="Times New Roman"/>
          <w:sz w:val="14"/>
          <w:szCs w:val="14"/>
          <w:color w:val="auto"/>
        </w:rPr>
      </w:pPr>
    </w:p>
    <w:p>
      <w:pPr>
        <w:ind w:left="2020" w:right="219" w:hanging="339"/>
        <w:spacing w:after="0" w:line="275"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remediate all matters identified in the United States Food and Drug Administration (the “FDA”) observations and warning letters that we received or may receive and resume the manufacture and sale of certain of our products identified in such observations and warning letters;</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and deliver products in sufficient quantities to meet sales demands;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concerning our ongoing restructuring, integration and manufacturing transfer and expansion activities;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and future regulations affecting our business, and enforcement of those regulations;</w:t>
      </w:r>
    </w:p>
    <w:p>
      <w:pPr>
        <w:spacing w:after="0" w:line="108" w:lineRule="exact"/>
        <w:rPr>
          <w:rFonts w:ascii="Times New Roman" w:cs="Times New Roman" w:eastAsia="Times New Roman" w:hAnsi="Times New Roman"/>
          <w:sz w:val="14"/>
          <w:szCs w:val="14"/>
          <w:color w:val="auto"/>
        </w:rPr>
      </w:pPr>
    </w:p>
    <w:p>
      <w:pPr>
        <w:ind w:left="2020" w:right="25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and possible future effects of supply chain constraints, including the availability of critical raw materials and components, as well as cost inflation in materials, packaging and transportation;</w:t>
      </w:r>
    </w:p>
    <w:p>
      <w:pPr>
        <w:spacing w:after="0" w:line="47" w:lineRule="exact"/>
        <w:rPr>
          <w:rFonts w:ascii="Times New Roman" w:cs="Times New Roman" w:eastAsia="Times New Roman" w:hAnsi="Times New Roman"/>
          <w:sz w:val="14"/>
          <w:szCs w:val="14"/>
          <w:color w:val="auto"/>
        </w:rPr>
      </w:pPr>
    </w:p>
    <w:p>
      <w:pPr>
        <w:ind w:left="2020" w:right="87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debt and equity financing, or to refinance our existing outstanding indebtedness, to fund capital expenditures, working capital requirements and acquisitions;</w:t>
      </w:r>
    </w:p>
    <w:p>
      <w:pPr>
        <w:spacing w:after="0" w:line="47" w:lineRule="exact"/>
        <w:rPr>
          <w:rFonts w:ascii="Times New Roman" w:cs="Times New Roman" w:eastAsia="Times New Roman" w:hAnsi="Times New Roman"/>
          <w:sz w:val="14"/>
          <w:szCs w:val="14"/>
          <w:color w:val="auto"/>
        </w:rPr>
      </w:pPr>
    </w:p>
    <w:p>
      <w:pPr>
        <w:ind w:left="2020" w:right="59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initiatives launched by our competitors;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including trade secrets;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acquisitions, integrate operations post-acquisition and maintain relationships with customers of acquired entities;</w:t>
      </w:r>
    </w:p>
    <w:p>
      <w:pPr>
        <w:spacing w:after="0" w:line="108" w:lineRule="exact"/>
        <w:rPr>
          <w:rFonts w:ascii="Times New Roman" w:cs="Times New Roman" w:eastAsia="Times New Roman" w:hAnsi="Times New Roman"/>
          <w:sz w:val="14"/>
          <w:szCs w:val="14"/>
          <w:color w:val="auto"/>
        </w:rPr>
      </w:pPr>
    </w:p>
    <w:p>
      <w:pPr>
        <w:ind w:left="2020" w:right="33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ongoing organizational and strategic changes, including our ability to attract, motivate and retain key employees and maintain engagement and efficiency in remote work environments;</w:t>
      </w:r>
    </w:p>
    <w:p>
      <w:pPr>
        <w:spacing w:after="0" w:line="47" w:lineRule="exact"/>
        <w:rPr>
          <w:rFonts w:ascii="Times New Roman" w:cs="Times New Roman" w:eastAsia="Times New Roman" w:hAnsi="Times New Roman"/>
          <w:sz w:val="14"/>
          <w:szCs w:val="14"/>
          <w:color w:val="auto"/>
        </w:rPr>
      </w:pPr>
    </w:p>
    <w:p>
      <w:pPr>
        <w:ind w:left="2020" w:right="539" w:hanging="339"/>
        <w:spacing w:after="0" w:line="294"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relating to our financial condition or results of operations, including the impact of interest rate and foreign currency exchange fluctuations;</w:t>
      </w:r>
    </w:p>
    <w:p>
      <w:pPr>
        <w:spacing w:after="0" w:line="6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right="479" w:hanging="339"/>
        <w:spacing w:after="0" w:line="294"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future public health crises, including the timing, scope and effect of U.S. and international governmental, regulatory, fiscal, monetary and public health responses to such crises; and</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described in the section entitled “Risk Factors” in this report.</w:t>
      </w:r>
    </w:p>
    <w:p>
      <w:pPr>
        <w:spacing w:after="0" w:line="184" w:lineRule="exact"/>
        <w:rPr>
          <w:sz w:val="20"/>
          <w:szCs w:val="20"/>
          <w:color w:val="auto"/>
        </w:rPr>
      </w:pPr>
    </w:p>
    <w:p>
      <w:pPr>
        <w:ind w:left="1260" w:right="159"/>
        <w:spacing w:after="0" w:line="263" w:lineRule="auto"/>
        <w:rPr>
          <w:sz w:val="20"/>
          <w:szCs w:val="20"/>
          <w:color w:val="auto"/>
        </w:rPr>
      </w:pPr>
      <w:r>
        <w:rPr>
          <w:rFonts w:ascii="Times New Roman" w:cs="Times New Roman" w:eastAsia="Times New Roman" w:hAnsi="Times New Roman"/>
          <w:sz w:val="14"/>
          <w:szCs w:val="14"/>
          <w:color w:val="auto"/>
        </w:rPr>
        <w:t>You can identify these forward-looking statements by forward-looking words such as “believe,” “may,” “could,” “might,” “will,” “estimate,” “continue,” “anticipate,” “intend,” “seek,” “plan,” “expect,” “should,” “would,” “expect,” “target,” “pursue,” “forecast,” “hope” and similar expressions in this prospectus and the documents incorporated by reference into this prospectus. We undertake no obligation to publicly update or revise any forward-looking statements, whether as a result of new information, future events or otherwise. In light of these risks and uncertainties, the forward-looking events and circumstances discussed in this prospectus and the documents incorporated by reference into this prospectus may not occur and actual results could differ materially from those anticipated or implied in the forward-looking statements. We wish to caution readers not to place undue reliance on any such forward-looking statements, which speak only as of the date made.</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86" w:lineRule="exact"/>
        <w:rPr>
          <w:sz w:val="20"/>
          <w:szCs w:val="20"/>
          <w:color w:val="auto"/>
        </w:rPr>
      </w:pPr>
    </w:p>
    <w:p>
      <w:pPr>
        <w:jc w:val="both"/>
        <w:ind w:left="1260" w:right="139"/>
        <w:spacing w:after="0" w:line="275" w:lineRule="auto"/>
        <w:rPr>
          <w:sz w:val="20"/>
          <w:szCs w:val="20"/>
          <w:color w:val="auto"/>
        </w:rPr>
      </w:pPr>
      <w:r>
        <w:rPr>
          <w:rFonts w:ascii="Times New Roman" w:cs="Times New Roman" w:eastAsia="Times New Roman" w:hAnsi="Times New Roman"/>
          <w:sz w:val="14"/>
          <w:szCs w:val="14"/>
          <w:color w:val="auto"/>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 to deliver transformative care. Our common stock trades on the Nasdaq Global Select Market (“Nasdaq”) under the symbol “IART.”</w:t>
      </w:r>
    </w:p>
    <w:p>
      <w:pPr>
        <w:spacing w:after="0" w:line="136" w:lineRule="exact"/>
        <w:rPr>
          <w:sz w:val="20"/>
          <w:szCs w:val="20"/>
          <w:color w:val="auto"/>
        </w:rPr>
      </w:pPr>
    </w:p>
    <w:p>
      <w:pPr>
        <w:ind w:left="1260" w:right="119"/>
        <w:spacing w:after="0" w:line="265" w:lineRule="auto"/>
        <w:rPr>
          <w:sz w:val="20"/>
          <w:szCs w:val="20"/>
          <w:color w:val="auto"/>
        </w:rPr>
      </w:pPr>
      <w:r>
        <w:rPr>
          <w:rFonts w:ascii="Times New Roman" w:cs="Times New Roman" w:eastAsia="Times New Roman" w:hAnsi="Times New Roman"/>
          <w:sz w:val="14"/>
          <w:szCs w:val="14"/>
          <w:color w:val="auto"/>
        </w:rPr>
        <w:t>We manufacture and sell medical technologies and products in two reportable business segments: Codman Specialty Surgical (“CSS”) and Tissue Technologies (“TT”). The CSS segment, which represents approximately 70% of our total revenue, consists of market-leading technologies and instrumentation used for a wide range of specialties, such as neurosurgery, neurocritical care, and otolaryngology, commonly referred to as ear, nose, and throat (“ENT”). We are the world leader in neurosurgery and one of the top three providers in the U.S. in instruments used in precision, specialty, and general surgical procedures. Our TT segment generates about 30% of our overall revenue and focuses on wound reconstruction and care and private label.</w:t>
      </w:r>
    </w:p>
    <w:p>
      <w:pPr>
        <w:spacing w:after="0" w:line="317" w:lineRule="exact"/>
        <w:rPr>
          <w:sz w:val="20"/>
          <w:szCs w:val="20"/>
          <w:color w:val="auto"/>
        </w:rPr>
      </w:pPr>
    </w:p>
    <w:p>
      <w:pPr>
        <w:ind w:left="1260" w:right="299"/>
        <w:spacing w:after="0" w:line="266" w:lineRule="auto"/>
        <w:rPr>
          <w:sz w:val="20"/>
          <w:szCs w:val="20"/>
          <w:color w:val="auto"/>
        </w:rPr>
      </w:pPr>
      <w:r>
        <w:rPr>
          <w:rFonts w:ascii="Times New Roman" w:cs="Times New Roman" w:eastAsia="Times New Roman" w:hAnsi="Times New Roman"/>
          <w:sz w:val="14"/>
          <w:szCs w:val="14"/>
          <w:color w:val="auto"/>
        </w:rPr>
        <w:t>We were the first company to receive an FDA claim for regeneration of dermal tissue and are a world leader in regenerative technology. We have developed numerous product lines from this technology for applications ranging from burn and deep tissue wounds to the repair of dura mater in the brain, as well as nerves and tendons. We have expanded our base regenerative technology business to include neurosurgical products, ENT, surgical instruments and advanced wound care through global acquisitions and product development to meet the evolving needs of our customers and enhance patient care.</w:t>
      </w:r>
    </w:p>
    <w:p>
      <w:pPr>
        <w:spacing w:after="0" w:line="142" w:lineRule="exact"/>
        <w:rPr>
          <w:sz w:val="20"/>
          <w:szCs w:val="20"/>
          <w:color w:val="auto"/>
        </w:rPr>
      </w:pPr>
    </w:p>
    <w:p>
      <w:pPr>
        <w:ind w:left="1260" w:right="279"/>
        <w:spacing w:after="0" w:line="275" w:lineRule="auto"/>
        <w:rPr>
          <w:sz w:val="20"/>
          <w:szCs w:val="20"/>
          <w:color w:val="auto"/>
        </w:rPr>
      </w:pPr>
      <w:r>
        <w:rPr>
          <w:rFonts w:ascii="Times New Roman" w:cs="Times New Roman" w:eastAsia="Times New Roman" w:hAnsi="Times New Roman"/>
          <w:sz w:val="14"/>
          <w:szCs w:val="14"/>
          <w:color w:val="auto"/>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spacing w:after="0" w:line="136" w:lineRule="exact"/>
        <w:rPr>
          <w:sz w:val="20"/>
          <w:szCs w:val="20"/>
          <w:color w:val="auto"/>
        </w:rPr>
      </w:pPr>
    </w:p>
    <w:p>
      <w:pPr>
        <w:jc w:val="both"/>
        <w:ind w:left="1260" w:right="339"/>
        <w:spacing w:after="0" w:line="275" w:lineRule="auto"/>
        <w:rPr>
          <w:sz w:val="20"/>
          <w:szCs w:val="20"/>
          <w:color w:val="auto"/>
        </w:rPr>
      </w:pPr>
      <w:r>
        <w:rPr>
          <w:rFonts w:ascii="Times New Roman" w:cs="Times New Roman" w:eastAsia="Times New Roman" w:hAnsi="Times New Roman"/>
          <w:sz w:val="14"/>
          <w:szCs w:val="14"/>
          <w:color w:val="auto"/>
        </w:rPr>
        <w:t>We filed our amended and restated certificate of incorporation with the Secretary of State of Delaware on February 16, 1993, as amended on May 22, 1998, May 17, 1999, December 21, 2016, and May 9, 2024. Our principal executive offices are located at 1100 Campus Road, Princeton, New Jersey 08540, and our telephone number is (609) 275-0500.</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6" w:lineRule="exact"/>
        <w:rPr>
          <w:sz w:val="20"/>
          <w:szCs w:val="20"/>
          <w:color w:val="auto"/>
        </w:rPr>
      </w:pPr>
    </w:p>
    <w:p>
      <w:pPr>
        <w:ind w:left="1260" w:right="239"/>
        <w:spacing w:after="0" w:line="264"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6" w:lineRule="exact"/>
        <w:rPr>
          <w:sz w:val="20"/>
          <w:szCs w:val="20"/>
          <w:color w:val="auto"/>
        </w:rPr>
      </w:pPr>
    </w:p>
    <w:p>
      <w:pPr>
        <w:ind w:left="1260" w:right="139"/>
        <w:spacing w:after="0" w:line="275" w:lineRule="auto"/>
        <w:rPr>
          <w:sz w:val="20"/>
          <w:szCs w:val="20"/>
          <w:color w:val="auto"/>
        </w:rPr>
      </w:pPr>
      <w:r>
        <w:rPr>
          <w:rFonts w:ascii="Times New Roman" w:cs="Times New Roman" w:eastAsia="Times New Roman" w:hAnsi="Times New Roman"/>
          <w:sz w:val="14"/>
          <w:szCs w:val="14"/>
          <w:color w:val="auto"/>
        </w:rPr>
        <w:t>We intend to use the net proceeds from the sales of securities for general corporate purposes, unless we state otherwise in a prospectus supplement. If we decide to use the net proceeds from a particular offering of securities for a specific purpose, we will describe that purpose in the applicable prospectus supplement.</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6" w:lineRule="exact"/>
        <w:rPr>
          <w:sz w:val="20"/>
          <w:szCs w:val="20"/>
          <w:color w:val="auto"/>
        </w:rPr>
      </w:pPr>
    </w:p>
    <w:p>
      <w:pPr>
        <w:ind w:left="1260" w:right="199"/>
        <w:spacing w:after="0" w:line="264" w:lineRule="auto"/>
        <w:rPr>
          <w:sz w:val="20"/>
          <w:szCs w:val="20"/>
          <w:color w:val="auto"/>
        </w:rPr>
      </w:pPr>
      <w:r>
        <w:rPr>
          <w:rFonts w:ascii="Times New Roman" w:cs="Times New Roman" w:eastAsia="Times New Roman" w:hAnsi="Times New Roman"/>
          <w:sz w:val="14"/>
          <w:szCs w:val="14"/>
          <w:color w:val="auto"/>
        </w:rPr>
        <w:t>This section summarizes certain information regarding our capital stock. The following description is only a summary and does not purport to be complete and is qualified in its entirety by reference to our Amended and Restated Certificate of Incorporation, as amended (our “certificate of incorporation”), and our Third Amended and Restated Bylaws (our “bylaws”), each of which is incorporated by reference as an exhibit to the registration statement of which this prospectus forms a part. For additional information, please read our certificate of incorporation, our bylaws, and the applicable provisions of the General Corporation Law of the State of Delaware (the “DGCL”). See “Where You Can Find More Information” and “Incorporation of Certain Information by Reference.”</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 Matters</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Authorized Shares</w:t>
      </w:r>
    </w:p>
    <w:p>
      <w:pPr>
        <w:spacing w:after="0" w:line="99" w:lineRule="exact"/>
        <w:rPr>
          <w:sz w:val="20"/>
          <w:szCs w:val="20"/>
          <w:color w:val="auto"/>
        </w:rPr>
      </w:pPr>
    </w:p>
    <w:p>
      <w:pPr>
        <w:ind w:left="1260" w:right="179"/>
        <w:spacing w:after="0" w:line="275" w:lineRule="auto"/>
        <w:rPr>
          <w:sz w:val="20"/>
          <w:szCs w:val="20"/>
          <w:color w:val="auto"/>
        </w:rPr>
      </w:pPr>
      <w:r>
        <w:rPr>
          <w:rFonts w:ascii="Times New Roman" w:cs="Times New Roman" w:eastAsia="Times New Roman" w:hAnsi="Times New Roman"/>
          <w:sz w:val="14"/>
          <w:szCs w:val="14"/>
          <w:color w:val="auto"/>
        </w:rPr>
        <w:t>The Company’s authorized capital stock consists of 255,000,000 shares of stock, of which 240,000,000 shares are designated as common stock, par value $0.01 per share, and 15,000,000 shares are designated as preferred stock, no par value. As of December 31, 2025, there were 77,886,634 shares of common stock issued, 14,398,724 shares were designated as treasury stock, and no shares of preferred stock outstanding.</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9" w:lineRule="exact"/>
        <w:rPr>
          <w:sz w:val="20"/>
          <w:szCs w:val="20"/>
          <w:color w:val="auto"/>
        </w:rPr>
      </w:pPr>
    </w:p>
    <w:p>
      <w:pPr>
        <w:ind w:left="1260" w:right="159"/>
        <w:spacing w:after="0" w:line="266" w:lineRule="auto"/>
        <w:rPr>
          <w:sz w:val="20"/>
          <w:szCs w:val="20"/>
          <w:color w:val="auto"/>
        </w:rPr>
      </w:pPr>
      <w:r>
        <w:rPr>
          <w:rFonts w:ascii="Times New Roman" w:cs="Times New Roman" w:eastAsia="Times New Roman" w:hAnsi="Times New Roman"/>
          <w:sz w:val="14"/>
          <w:szCs w:val="14"/>
          <w:color w:val="auto"/>
        </w:rPr>
        <w:t>We have not paid any cash dividends on our common stock since our formation. 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99" w:lineRule="exact"/>
        <w:rPr>
          <w:sz w:val="20"/>
          <w:szCs w:val="20"/>
          <w:color w:val="auto"/>
        </w:rPr>
      </w:pPr>
    </w:p>
    <w:p>
      <w:pPr>
        <w:ind w:left="1260" w:right="219"/>
        <w:spacing w:after="0" w:line="266" w:lineRule="auto"/>
        <w:rPr>
          <w:sz w:val="20"/>
          <w:szCs w:val="20"/>
          <w:color w:val="auto"/>
        </w:rPr>
      </w:pPr>
      <w:r>
        <w:rPr>
          <w:rFonts w:ascii="Times New Roman" w:cs="Times New Roman" w:eastAsia="Times New Roman" w:hAnsi="Times New Roman"/>
          <w:sz w:val="14"/>
          <w:szCs w:val="14"/>
          <w:color w:val="auto"/>
        </w:rPr>
        <w:t>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Preemptive or Similar Rights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Our common stock is not entitled to preemptive rights and is not subject to conversion or redemption.</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Right to Receive Liquidation Distributions</w:t>
      </w:r>
    </w:p>
    <w:p>
      <w:pPr>
        <w:spacing w:after="0" w:line="99" w:lineRule="exact"/>
        <w:rPr>
          <w:sz w:val="20"/>
          <w:szCs w:val="20"/>
          <w:color w:val="auto"/>
        </w:rPr>
      </w:pPr>
    </w:p>
    <w:p>
      <w:pPr>
        <w:ind w:left="1260" w:right="219"/>
        <w:spacing w:after="0" w:line="275" w:lineRule="auto"/>
        <w:rPr>
          <w:sz w:val="20"/>
          <w:szCs w:val="20"/>
          <w:color w:val="auto"/>
        </w:rPr>
      </w:pPr>
      <w:r>
        <w:rPr>
          <w:rFonts w:ascii="Times New Roman" w:cs="Times New Roman" w:eastAsia="Times New Roman" w:hAnsi="Times New Roman"/>
          <w:sz w:val="14"/>
          <w:szCs w:val="14"/>
          <w:color w:val="auto"/>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Stock Exchange</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“IART”.</w:t>
      </w:r>
    </w:p>
    <w:p>
      <w:pPr>
        <w:spacing w:after="0" w:line="1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99" w:lineRule="exact"/>
        <w:rPr>
          <w:sz w:val="20"/>
          <w:szCs w:val="20"/>
          <w:color w:val="auto"/>
        </w:rPr>
      </w:pPr>
    </w:p>
    <w:p>
      <w:pPr>
        <w:ind w:left="1260" w:right="399"/>
        <w:spacing w:after="0" w:line="275" w:lineRule="auto"/>
        <w:rPr>
          <w:sz w:val="20"/>
          <w:szCs w:val="20"/>
          <w:color w:val="auto"/>
        </w:rPr>
      </w:pPr>
      <w:r>
        <w:rPr>
          <w:rFonts w:ascii="Times New Roman" w:cs="Times New Roman" w:eastAsia="Times New Roman" w:hAnsi="Times New Roman"/>
          <w:sz w:val="14"/>
          <w:szCs w:val="14"/>
          <w:color w:val="auto"/>
        </w:rPr>
        <w:t>The Company’s Board of Directors has the authority to issue up to 15,000,000 shares of Preferred Stock from time to time in one or more series and with such rights and preferences as determined by the Board with respect to each series. The issuance of preferred stock could have the effect of decreasing the market price of our common stock and could adversely affect the voting and other rights of holders of common stock.</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Statutory Business Combination Provision</w:t>
      </w:r>
    </w:p>
    <w:p>
      <w:pPr>
        <w:spacing w:after="0" w:line="99" w:lineRule="exact"/>
        <w:rPr>
          <w:sz w:val="20"/>
          <w:szCs w:val="20"/>
          <w:color w:val="auto"/>
        </w:rPr>
      </w:pPr>
    </w:p>
    <w:p>
      <w:pPr>
        <w:ind w:left="1260" w:right="399"/>
        <w:spacing w:after="0" w:line="269" w:lineRule="auto"/>
        <w:rPr>
          <w:sz w:val="20"/>
          <w:szCs w:val="20"/>
          <w:color w:val="auto"/>
        </w:rPr>
      </w:pPr>
      <w:r>
        <w:rPr>
          <w:rFonts w:ascii="Times New Roman" w:cs="Times New Roman" w:eastAsia="Times New Roman" w:hAnsi="Times New Roman"/>
          <w:sz w:val="14"/>
          <w:szCs w:val="14"/>
          <w:color w:val="auto"/>
        </w:rPr>
        <w:t>As a Delaware corporation, we are subject to Section 203 of the DGCL. In general, Section 203 of the DGCL prevents an “interested stockholder,” which is defined generally as a person owning 15% or more of a Delaware corporation’s outstanding voting stock or any affiliate or associate of that person, from engaging in a broad range of “business combinations” with the corporation for three years following the date that person became an interested stockholder unless:</w:t>
      </w:r>
    </w:p>
    <w:p>
      <w:pPr>
        <w:spacing w:after="0" w:line="64" w:lineRule="exact"/>
        <w:rPr>
          <w:sz w:val="20"/>
          <w:szCs w:val="20"/>
          <w:color w:val="auto"/>
        </w:rPr>
      </w:pPr>
    </w:p>
    <w:p>
      <w:pPr>
        <w:ind w:left="2020" w:right="139" w:hanging="339"/>
        <w:spacing w:after="0" w:line="294"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that person became an interested stockholder, the board of directors of the corporation approved the transaction in which that person became an interested stockholder or approved the business combination;</w:t>
      </w:r>
    </w:p>
    <w:p>
      <w:pPr>
        <w:spacing w:after="0" w:line="47" w:lineRule="exact"/>
        <w:rPr>
          <w:rFonts w:ascii="Times New Roman" w:cs="Times New Roman" w:eastAsia="Times New Roman" w:hAnsi="Times New Roman"/>
          <w:sz w:val="14"/>
          <w:szCs w:val="14"/>
          <w:color w:val="auto"/>
        </w:rPr>
      </w:pPr>
    </w:p>
    <w:p>
      <w:pPr>
        <w:ind w:left="2020" w:right="319" w:hanging="339"/>
        <w:spacing w:after="0" w:line="269"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completion of the transaction that resulted in that person’s becoming an interested stockholder, that person owned at least 85% of the voting stock of the corporation outstanding at the time the transaction commenced, other than stock held by (1) directors who are also officers of the corporation or (2) any employee stock plan that does not provide employees with the right to determine confidentially whether shares held subject to the plan will be tendered in a tender or exchange offer; or</w:t>
      </w:r>
    </w:p>
    <w:p>
      <w:pPr>
        <w:spacing w:after="0" w:line="64" w:lineRule="exact"/>
        <w:rPr>
          <w:rFonts w:ascii="Times New Roman" w:cs="Times New Roman" w:eastAsia="Times New Roman" w:hAnsi="Times New Roman"/>
          <w:sz w:val="14"/>
          <w:szCs w:val="14"/>
          <w:color w:val="auto"/>
        </w:rPr>
      </w:pPr>
    </w:p>
    <w:p>
      <w:pPr>
        <w:ind w:left="2020" w:right="439" w:hanging="339"/>
        <w:spacing w:after="0" w:line="275"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transaction in which that person became an interested stockholder, both the board of directors of the corporation and the holders of at least two-thirds of the outstanding voting stock of the corporation not owned by that person approve the business combination.</w:t>
      </w:r>
    </w:p>
    <w:p>
      <w:pPr>
        <w:spacing w:after="0" w:line="136" w:lineRule="exact"/>
        <w:rPr>
          <w:sz w:val="20"/>
          <w:szCs w:val="20"/>
          <w:color w:val="auto"/>
        </w:rPr>
      </w:pPr>
    </w:p>
    <w:p>
      <w:pPr>
        <w:ind w:left="1260" w:right="339"/>
        <w:spacing w:after="0" w:line="264" w:lineRule="auto"/>
        <w:rPr>
          <w:sz w:val="20"/>
          <w:szCs w:val="20"/>
          <w:color w:val="auto"/>
        </w:rPr>
      </w:pPr>
      <w:r>
        <w:rPr>
          <w:rFonts w:ascii="Times New Roman" w:cs="Times New Roman" w:eastAsia="Times New Roman" w:hAnsi="Times New Roman"/>
          <w:sz w:val="14"/>
          <w:szCs w:val="14"/>
          <w:color w:val="auto"/>
        </w:rPr>
        <w:t>Under Section 203 of the DGCL,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a majority of the directors who were directors prior to any person’s becoming an interested stockholder during the previous three years, or were recommended for election or elected to succeed those directors by a majority of those directors, approve or do not oppose that extraordinary transaction.</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our Bylaws</w:t>
      </w:r>
    </w:p>
    <w:p>
      <w:pPr>
        <w:spacing w:after="0" w:line="99" w:lineRule="exact"/>
        <w:rPr>
          <w:sz w:val="20"/>
          <w:szCs w:val="20"/>
          <w:color w:val="auto"/>
        </w:rPr>
      </w:pPr>
    </w:p>
    <w:p>
      <w:pPr>
        <w:ind w:left="1260" w:right="379"/>
        <w:spacing w:after="0" w:line="275" w:lineRule="auto"/>
        <w:rPr>
          <w:sz w:val="20"/>
          <w:szCs w:val="20"/>
          <w:color w:val="auto"/>
        </w:rPr>
      </w:pPr>
      <w:r>
        <w:rPr>
          <w:rFonts w:ascii="Times New Roman" w:cs="Times New Roman" w:eastAsia="Times New Roman" w:hAnsi="Times New Roman"/>
          <w:sz w:val="14"/>
          <w:szCs w:val="14"/>
          <w:color w:val="auto"/>
        </w:rPr>
        <w:t>Some of the provisions of our certificate of incorporation and bylaws discussed below may have the effect, either alone or in combination with the provisions of our certificate of incorporation discussed above and Section 203 of the DGCL, of making more difficult or discouraging a tender offer, proxy contest, merger or other takeover attempt that our board of directors opposes but that a stockholder might consider to be in its best interest.</w:t>
      </w:r>
    </w:p>
    <w:p>
      <w:pPr>
        <w:spacing w:after="0" w:line="134" w:lineRule="exact"/>
        <w:rPr>
          <w:sz w:val="20"/>
          <w:szCs w:val="20"/>
          <w:color w:val="auto"/>
        </w:rPr>
      </w:pPr>
    </w:p>
    <w:p>
      <w:pPr>
        <w:ind w:left="1260" w:right="199"/>
        <w:spacing w:after="0" w:line="297" w:lineRule="auto"/>
        <w:rPr>
          <w:sz w:val="20"/>
          <w:szCs w:val="20"/>
          <w:color w:val="auto"/>
        </w:rPr>
      </w:pPr>
      <w:r>
        <w:rPr>
          <w:rFonts w:ascii="Times New Roman" w:cs="Times New Roman" w:eastAsia="Times New Roman" w:hAnsi="Times New Roman"/>
          <w:sz w:val="14"/>
          <w:szCs w:val="14"/>
          <w:i w:val="1"/>
          <w:iCs w:val="1"/>
          <w:color w:val="auto"/>
        </w:rPr>
        <w:t>Special Meetings of Stockholders</w:t>
      </w:r>
      <w:r>
        <w:rPr>
          <w:rFonts w:ascii="Times New Roman" w:cs="Times New Roman" w:eastAsia="Times New Roman" w:hAnsi="Times New Roman"/>
          <w:sz w:val="14"/>
          <w:szCs w:val="14"/>
          <w:color w:val="auto"/>
        </w:rPr>
        <w:t>. Our bylaws provide that a special meeting of our stockholders may only be called by (i) the chairman of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(ii) the president or (iii) our board of directors.</w:t>
      </w:r>
    </w:p>
    <w:p>
      <w:pPr>
        <w:spacing w:after="0" w:line="118" w:lineRule="exact"/>
        <w:rPr>
          <w:sz w:val="20"/>
          <w:szCs w:val="20"/>
          <w:color w:val="auto"/>
        </w:rPr>
      </w:pPr>
    </w:p>
    <w:p>
      <w:pPr>
        <w:jc w:val="both"/>
        <w:ind w:left="1260" w:right="259"/>
        <w:spacing w:after="0" w:line="270" w:lineRule="auto"/>
        <w:rPr>
          <w:sz w:val="20"/>
          <w:szCs w:val="20"/>
          <w:color w:val="auto"/>
        </w:rPr>
      </w:pPr>
      <w:r>
        <w:rPr>
          <w:rFonts w:ascii="Times New Roman" w:cs="Times New Roman" w:eastAsia="Times New Roman" w:hAnsi="Times New Roman"/>
          <w:sz w:val="14"/>
          <w:szCs w:val="14"/>
          <w:i w:val="1"/>
          <w:iCs w:val="1"/>
          <w:color w:val="auto"/>
        </w:rPr>
        <w:t>Stockholder Action by Written Consent</w:t>
      </w:r>
      <w:r>
        <w:rPr>
          <w:rFonts w:ascii="Times New Roman" w:cs="Times New Roman" w:eastAsia="Times New Roman" w:hAnsi="Times New Roman"/>
          <w:sz w:val="14"/>
          <w:szCs w:val="14"/>
          <w:color w:val="auto"/>
        </w:rPr>
        <w:t>. Our stockholders may act by written consent without a meeting, subject to the requirements in our bylaws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setting a record date for the written consent. Any stockholder seeking to have the stockholders authorize or take corporate action must request that our Board of Directors fix a record date. Such notice must include the same information required for a stockholder proposal and be submitted to our Board of Directors as described in our bylaws.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4"/>
          <w:szCs w:val="14"/>
          <w:i w:val="1"/>
          <w:iCs w:val="1"/>
          <w:color w:val="auto"/>
        </w:rPr>
        <w:t>Vacancies on the Board of Directors</w:t>
      </w:r>
      <w:r>
        <w:rPr>
          <w:rFonts w:ascii="Times New Roman" w:cs="Times New Roman" w:eastAsia="Times New Roman" w:hAnsi="Times New Roman"/>
          <w:sz w:val="14"/>
          <w:szCs w:val="14"/>
          <w:color w:val="auto"/>
        </w:rPr>
        <w:t>. Our certificate of incorporation provides that the number of directors will be fixed exclusively by, and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or decreased exclusively by, our board of directors from time to time, but will not be less than three nor more than thirteen. Our bylaws provide that vacancies on the board of directors arising through death, resignation, retirement or removal shall be filled only by a majority of the directors then in office whether or not the remaining directors constitute a quorum. These provisions will prevent our stockholders from removing incumbent directors without cause and filling the resulting vacancies with their own nominees.</w:t>
      </w:r>
    </w:p>
    <w:p>
      <w:pPr>
        <w:spacing w:after="0" w:line="144" w:lineRule="exact"/>
        <w:rPr>
          <w:sz w:val="20"/>
          <w:szCs w:val="20"/>
          <w:color w:val="auto"/>
        </w:rPr>
      </w:pPr>
    </w:p>
    <w:p>
      <w:pPr>
        <w:ind w:left="1260" w:right="119"/>
        <w:spacing w:after="0" w:line="264" w:lineRule="auto"/>
        <w:rPr>
          <w:sz w:val="20"/>
          <w:szCs w:val="20"/>
          <w:color w:val="auto"/>
        </w:rPr>
      </w:pPr>
      <w:r>
        <w:rPr>
          <w:rFonts w:ascii="Times New Roman" w:cs="Times New Roman" w:eastAsia="Times New Roman" w:hAnsi="Times New Roman"/>
          <w:sz w:val="14"/>
          <w:szCs w:val="14"/>
          <w:color w:val="auto"/>
        </w:rPr>
        <w:t>Our certificate of incorporation provides that the number of directors will be fixed exclusively by, and may be increased or decreased exclusively by, our board of directors from time to time, but will not be less than three nor more than thirteen. Our certificate of incorporation provides that directors may be removed only by the Delaware Chancery Court under Section 225(c) of the DGCL or for cause (as such term is defined in our certificate of incorporation) as determined by a vote of at least 80% of the voting power of our outstanding voting stock. A vacancy on our board of directors may be filled by a vote of a majority of the directors in office, and a director appointed to fill a vacancy serves for the remainder of the term of the class of directors in which the vacancy occurred.</w:t>
      </w:r>
    </w:p>
    <w:p>
      <w:pPr>
        <w:spacing w:after="0" w:line="142" w:lineRule="exact"/>
        <w:rPr>
          <w:sz w:val="20"/>
          <w:szCs w:val="20"/>
          <w:color w:val="auto"/>
        </w:rPr>
      </w:pPr>
    </w:p>
    <w:p>
      <w:pPr>
        <w:ind w:left="1260" w:right="139"/>
        <w:spacing w:after="0" w:line="262" w:lineRule="auto"/>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r>
        <w:rPr>
          <w:rFonts w:ascii="Times New Roman" w:cs="Times New Roman" w:eastAsia="Times New Roman" w:hAnsi="Times New Roman"/>
          <w:sz w:val="14"/>
          <w:szCs w:val="14"/>
          <w:color w:val="auto"/>
        </w:rPr>
        <w:t>. Our bylaws contain provisions requiring that advance notice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to us of any business to be brought by a stockholder before an annual meeting of stockholders and providing for certain procedures to be followed by stockholders in nominating persons for election to our board of directors. Generally, the advance notice provisions provide that the stockholder must give written notice to our Secretary not less than 90 days nor more than 120 days prior to the anniversary date of the immediately preceding annual meeting, except that in the event that the annual meeting is called for a date that is more than 30 days before or more than 60 days after such anniversary date, notice by the stockholder to be timely must be so delivered not later than the 90th day prior to the date of such annual meeting (or, if later, then the 10th day following the day on which public disclosure of the date of such annual meeting was first made). The notice must set forth specific information regarding that stockholder and that business or director nominee, as described in our bylaws.</w:t>
      </w:r>
    </w:p>
    <w:p>
      <w:pPr>
        <w:spacing w:after="0" w:line="145" w:lineRule="exact"/>
        <w:rPr>
          <w:sz w:val="20"/>
          <w:szCs w:val="20"/>
          <w:color w:val="auto"/>
        </w:rPr>
      </w:pPr>
    </w:p>
    <w:p>
      <w:pPr>
        <w:ind w:left="1260" w:right="259"/>
        <w:spacing w:after="0" w:line="266" w:lineRule="auto"/>
        <w:rPr>
          <w:sz w:val="20"/>
          <w:szCs w:val="20"/>
          <w:color w:val="auto"/>
        </w:rPr>
      </w:pPr>
      <w:r>
        <w:rPr>
          <w:rFonts w:ascii="Times New Roman" w:cs="Times New Roman" w:eastAsia="Times New Roman" w:hAnsi="Times New Roman"/>
          <w:sz w:val="14"/>
          <w:szCs w:val="14"/>
          <w:i w:val="1"/>
          <w:iCs w:val="1"/>
          <w:color w:val="auto"/>
        </w:rPr>
        <w:t>Amendment of Certain Provisions of the Certificate of Incorporation and Bylaws</w:t>
      </w:r>
      <w:r>
        <w:rPr>
          <w:rFonts w:ascii="Times New Roman" w:cs="Times New Roman" w:eastAsia="Times New Roman" w:hAnsi="Times New Roman"/>
          <w:sz w:val="14"/>
          <w:szCs w:val="14"/>
          <w:color w:val="auto"/>
        </w:rPr>
        <w:t>. Under the DGCL, the stockholders of a corporation have the right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adopt, 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 Our certificate of incorporation and bylaws also confer on our board of directors the power to adopt, amend or repeal our amended and restated bylaws with the affirmative vote of a majority of the directors then in office.</w:t>
      </w:r>
    </w:p>
    <w:p>
      <w:pPr>
        <w:spacing w:after="0" w:line="142" w:lineRule="exact"/>
        <w:rPr>
          <w:sz w:val="20"/>
          <w:szCs w:val="20"/>
          <w:color w:val="auto"/>
        </w:rPr>
      </w:pPr>
    </w:p>
    <w:p>
      <w:pPr>
        <w:ind w:left="1260" w:right="159"/>
        <w:spacing w:after="0" w:line="263" w:lineRule="auto"/>
        <w:rPr>
          <w:sz w:val="20"/>
          <w:szCs w:val="20"/>
          <w:color w:val="auto"/>
        </w:rPr>
      </w:pPr>
      <w:r>
        <w:rPr>
          <w:rFonts w:ascii="Times New Roman" w:cs="Times New Roman" w:eastAsia="Times New Roman" w:hAnsi="Times New Roman"/>
          <w:sz w:val="14"/>
          <w:szCs w:val="14"/>
          <w:i w:val="1"/>
          <w:iCs w:val="1"/>
          <w:color w:val="auto"/>
        </w:rPr>
        <w:t>Forum Selection</w:t>
      </w:r>
      <w:r>
        <w:rPr>
          <w:rFonts w:ascii="Times New Roman" w:cs="Times New Roman" w:eastAsia="Times New Roman" w:hAnsi="Times New Roman"/>
          <w:sz w:val="14"/>
          <w:szCs w:val="14"/>
          <w:color w:val="auto"/>
        </w:rPr>
        <w:t>. Our bylaws provide, unless we consent in writing to the selection of an alternative forum, that the sole and exclusive forum for (a)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action or proceeding brought on our behalf, (b) any action asserting a claim of breach of a fiduciary duty owed by any of our directors, officers or other employees to us or our stockholders, (c) any action asserting a claim against us or any of our directors, officers or other employees arising pursuant to any provision of the DGCL, our certificate of incorporation or our bylaws (in each case, as they may be amended from time to time) or (d) any action asserting a claim against us or any of our directors, officers or other employees governed by the internal affairs doctrine, will be a state court located within the State of Delaware (or, if no state court located within the State of Delaware has jurisdiction, the federal district court for the District of Delaware). Any person that purchases or otherwise acquires an interest in our stock will be deemed to have notice of and agree to comply with the foregoing provisions.</w:t>
      </w:r>
    </w:p>
    <w:p>
      <w:pPr>
        <w:spacing w:after="0" w:line="318" w:lineRule="exact"/>
        <w:rPr>
          <w:sz w:val="20"/>
          <w:szCs w:val="20"/>
          <w:color w:val="auto"/>
        </w:rPr>
      </w:pPr>
    </w:p>
    <w:p>
      <w:pPr>
        <w:ind w:left="1260" w:right="159"/>
        <w:spacing w:after="0" w:line="267" w:lineRule="auto"/>
        <w:rPr>
          <w:sz w:val="20"/>
          <w:szCs w:val="20"/>
          <w:color w:val="auto"/>
        </w:rPr>
      </w:pPr>
      <w:r>
        <w:rPr>
          <w:rFonts w:ascii="Times New Roman" w:cs="Times New Roman" w:eastAsia="Times New Roman" w:hAnsi="Times New Roman"/>
          <w:sz w:val="14"/>
          <w:szCs w:val="14"/>
          <w:color w:val="auto"/>
        </w:rPr>
        <w:t>Our bylaws provide that a state court of the State of Delaware (or, if no state court located within the State of Delaware has jurisdiction, the federal district court for the District of Delaware) shall be the sole and exclusive forum for: (i) any derivative action or proceeding brought on behalf of Integra;</w:t>
      </w:r>
    </w:p>
    <w:p>
      <w:pPr>
        <w:ind w:left="5580" w:right="759" w:hanging="4330"/>
        <w:spacing w:after="0" w:line="345" w:lineRule="auto"/>
        <w:tabs>
          <w:tab w:leader="none" w:pos="146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director or officer of Integra to Integra or the stockholders; (iii) any 11</w:t>
      </w:r>
    </w:p>
    <w:p>
      <w:pPr>
        <w:sectPr>
          <w:pgSz w:w="11900" w:h="16838" w:orient="portrait"/>
          <w:cols w:equalWidth="0" w:num="1">
            <w:col w:w="10159"/>
          </w:cols>
          <w:pgMar w:left="300" w:top="39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spacing w:after="0" w:line="262" w:lineRule="auto"/>
        <w:rPr>
          <w:sz w:val="20"/>
          <w:szCs w:val="20"/>
          <w:color w:val="auto"/>
        </w:rPr>
      </w:pPr>
      <w:r>
        <w:rPr>
          <w:rFonts w:ascii="Times New Roman" w:cs="Times New Roman" w:eastAsia="Times New Roman" w:hAnsi="Times New Roman"/>
          <w:sz w:val="14"/>
          <w:szCs w:val="14"/>
          <w:color w:val="auto"/>
        </w:rPr>
        <w:t>action asserting a claim against Integra arising pursuant to any provision of the DGCL, our certificate of incorporation or our bylaws (as each may be amended, from time to time); or (iv) any other action asserting a claim against Integra or any director or officer of Integra that is governed by or subject to the internal affairs doctrine for choice of law purposes. However, the forum selection provision does not apply to any claims, actions or proceedings arising under the Securities Act of 1933, as amended, which we refer to as the “Securities Act,” or the Exchange Act.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Any person or entity purchasing or otherwise acquiring any interest in shares of our stock will be deemed to have notice of and consented to the exclusive forum provisions in our bylaws.</w:t>
      </w:r>
    </w:p>
    <w:p>
      <w:pPr>
        <w:spacing w:after="0" w:line="143" w:lineRule="exact"/>
        <w:rPr>
          <w:sz w:val="20"/>
          <w:szCs w:val="20"/>
          <w:color w:val="auto"/>
        </w:rPr>
      </w:pPr>
    </w:p>
    <w:p>
      <w:pPr>
        <w:ind w:left="1260" w:right="139"/>
        <w:spacing w:after="0" w:line="263" w:lineRule="auto"/>
        <w:rPr>
          <w:sz w:val="20"/>
          <w:szCs w:val="20"/>
          <w:color w:val="auto"/>
        </w:rPr>
      </w:pPr>
      <w:r>
        <w:rPr>
          <w:rFonts w:ascii="Times New Roman" w:cs="Times New Roman" w:eastAsia="Times New Roman" w:hAnsi="Times New Roman"/>
          <w:sz w:val="14"/>
          <w:szCs w:val="14"/>
          <w:i w:val="1"/>
          <w:iCs w:val="1"/>
          <w:color w:val="auto"/>
        </w:rPr>
        <w:t>Preferred Stock</w:t>
      </w:r>
      <w:r>
        <w:rPr>
          <w:rFonts w:ascii="Times New Roman" w:cs="Times New Roman" w:eastAsia="Times New Roman" w:hAnsi="Times New Roman"/>
          <w:sz w:val="14"/>
          <w:szCs w:val="14"/>
          <w:color w:val="auto"/>
        </w:rPr>
        <w:t>. As discussed above under “General Matters—Preferred Stock,” our certificate of incorporation authorizes our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the approval of our stockholders, to provide for the issuance of all or any shares of our preferred stock in one or more series and to determine the designation, powers, preferences and relative, participating, optional or other special rights, and the qualifications, limitations or restrictions applicable to any of those rights, including dividend rights, voting rights, conversion or exchange rights, terms of redemption and liquidation preferences, of each series. The issuance of shares of our preferred stock, or the issuance of rights to purchase shares of preferred stock, could be used to discourage an unsolicited acquisition proposal. In addition, under some circumstances, the issuance of preferred stock could adversely affect the voting power of our common stockholders.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6" w:lineRule="exact"/>
        <w:rPr>
          <w:sz w:val="20"/>
          <w:szCs w:val="20"/>
          <w:color w:val="auto"/>
        </w:rPr>
      </w:pPr>
    </w:p>
    <w:p>
      <w:pPr>
        <w:ind w:left="1260" w:right="219"/>
        <w:spacing w:after="0" w:line="26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0" w:lineRule="exact"/>
        <w:rPr>
          <w:sz w:val="20"/>
          <w:szCs w:val="20"/>
          <w:color w:val="auto"/>
        </w:rPr>
      </w:pPr>
    </w:p>
    <w:p>
      <w:pPr>
        <w:jc w:val="both"/>
        <w:ind w:left="1260" w:right="339"/>
        <w:spacing w:after="0" w:line="275"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36" w:lineRule="exact"/>
        <w:rPr>
          <w:sz w:val="20"/>
          <w:szCs w:val="20"/>
          <w:color w:val="auto"/>
        </w:rPr>
      </w:pPr>
    </w:p>
    <w:p>
      <w:pPr>
        <w:ind w:left="1260" w:right="379"/>
        <w:spacing w:after="0" w:line="269"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40" w:lineRule="exact"/>
        <w:rPr>
          <w:sz w:val="20"/>
          <w:szCs w:val="20"/>
          <w:color w:val="auto"/>
        </w:rPr>
      </w:pPr>
    </w:p>
    <w:p>
      <w:pPr>
        <w:ind w:left="1260" w:right="579"/>
        <w:spacing w:after="0" w:line="294" w:lineRule="auto"/>
        <w:rPr>
          <w:sz w:val="20"/>
          <w:szCs w:val="20"/>
          <w:color w:val="auto"/>
        </w:rPr>
      </w:pPr>
      <w:r>
        <w:rPr>
          <w:rFonts w:ascii="Times New Roman" w:cs="Times New Roman" w:eastAsia="Times New Roman" w:hAnsi="Times New Roman"/>
          <w:sz w:val="14"/>
          <w:szCs w:val="14"/>
          <w:color w:val="auto"/>
        </w:rPr>
        <w:t>As used in this section only, “Integra,” “we,” “our” or “us” refer to Integra LifeSciences Holdings Corporation excluding our subsidiaries, unless expressly stated or the context otherwise requires.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jc w:val="both"/>
        <w:ind w:left="1260" w:right="259"/>
        <w:spacing w:after="0" w:line="275"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3.01) The particular terms of each series of debt securities will be described in a prospectus supplement relating to such series (including any pricing supplement or term sheet).</w:t>
      </w:r>
    </w:p>
    <w:p>
      <w:pPr>
        <w:spacing w:after="0" w:line="136" w:lineRule="exact"/>
        <w:rPr>
          <w:sz w:val="20"/>
          <w:szCs w:val="20"/>
          <w:color w:val="auto"/>
        </w:rPr>
      </w:pPr>
    </w:p>
    <w:p>
      <w:pPr>
        <w:ind w:left="1260" w:right="199"/>
        <w:spacing w:after="0" w:line="294"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3.01)</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Information in the Prospectus Supplement</w:t>
      </w:r>
    </w:p>
    <w:p>
      <w:pPr>
        <w:spacing w:after="0" w:line="99" w:lineRule="exact"/>
        <w:rPr>
          <w:sz w:val="20"/>
          <w:szCs w:val="20"/>
          <w:color w:val="auto"/>
        </w:rPr>
      </w:pPr>
    </w:p>
    <w:p>
      <w:pPr>
        <w:ind w:left="1260" w:right="219"/>
        <w:spacing w:after="0" w:line="294" w:lineRule="auto"/>
        <w:rPr>
          <w:sz w:val="20"/>
          <w:szCs w:val="20"/>
          <w:color w:val="auto"/>
        </w:rPr>
      </w:pPr>
      <w:r>
        <w:rPr>
          <w:rFonts w:ascii="Times New Roman" w:cs="Times New Roman" w:eastAsia="Times New Roman" w:hAnsi="Times New Roman"/>
          <w:sz w:val="14"/>
          <w:szCs w:val="14"/>
          <w:color w:val="auto"/>
        </w:rPr>
        <w:t>We will set forth in a prospectus supplement (including any pricing supplement or term sheet) relating to any series of debt securities being offered, the aggregate principal amount and the following terms of the debt securities, as applicable:</w:t>
      </w:r>
    </w:p>
    <w:p>
      <w:pPr>
        <w:spacing w:after="0" w:line="47" w:lineRule="exact"/>
        <w:rPr>
          <w:sz w:val="20"/>
          <w:szCs w:val="20"/>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or designation;</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offered and authorized denominations;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 for payment of the debt securities prior to their stated maturity;</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fixed rate debt securities or floating rate debt securities or original issue discount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fixed rate debt securities, the yearly rate at which the debt security will bear interest, if any;</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floating rate debt securities, the method of calculating the interest rate;</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original issue discount debt securities, their yield to maturity;</w:t>
      </w:r>
    </w:p>
    <w:p>
      <w:pPr>
        <w:spacing w:after="0" w:line="108" w:lineRule="exact"/>
        <w:rPr>
          <w:rFonts w:ascii="Times New Roman" w:cs="Times New Roman" w:eastAsia="Times New Roman" w:hAnsi="Times New Roman"/>
          <w:sz w:val="14"/>
          <w:szCs w:val="14"/>
          <w:color w:val="auto"/>
        </w:rPr>
      </w:pPr>
    </w:p>
    <w:p>
      <w:pPr>
        <w:ind w:left="2020" w:right="179" w:hanging="339"/>
        <w:spacing w:after="0" w:line="294"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how such date or dates will be determined, and the interest payment dates and any related record dates;</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in U.S. Dollars, the currency or currency unit in which payment will be made;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payment of additional amounts for taxes;</w:t>
      </w:r>
    </w:p>
    <w:p>
      <w:pPr>
        <w:spacing w:after="0" w:line="108" w:lineRule="exact"/>
        <w:rPr>
          <w:rFonts w:ascii="Times New Roman" w:cs="Times New Roman" w:eastAsia="Times New Roman" w:hAnsi="Times New Roman"/>
          <w:sz w:val="14"/>
          <w:szCs w:val="14"/>
          <w:color w:val="auto"/>
        </w:rPr>
      </w:pPr>
    </w:p>
    <w:p>
      <w:pPr>
        <w:ind w:left="2020" w:right="519" w:hanging="339"/>
        <w:spacing w:after="0" w:line="294"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currency or currency unit of the securities will be issuable if other than denominations of $2,000 and integral multiples of $1,000 in excess thereof;</w:t>
      </w:r>
    </w:p>
    <w:p>
      <w:pPr>
        <w:spacing w:after="0" w:line="47" w:lineRule="exact"/>
        <w:rPr>
          <w:rFonts w:ascii="Times New Roman" w:cs="Times New Roman" w:eastAsia="Times New Roman" w:hAnsi="Times New Roman"/>
          <w:sz w:val="14"/>
          <w:szCs w:val="14"/>
          <w:color w:val="auto"/>
        </w:rPr>
      </w:pPr>
    </w:p>
    <w:p>
      <w:pPr>
        <w:ind w:left="2020" w:right="379" w:hanging="339"/>
        <w:spacing w:after="0" w:line="294"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convertible into or exchangeable for other securities and, if so, the terms and conditions upon which such debt securities will be convertible;</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on which the debt securities may be redeemed at our option;</w:t>
      </w:r>
    </w:p>
    <w:p>
      <w:pPr>
        <w:spacing w:after="0" w:line="108" w:lineRule="exact"/>
        <w:rPr>
          <w:rFonts w:ascii="Times New Roman" w:cs="Times New Roman" w:eastAsia="Times New Roman" w:hAnsi="Times New Roman"/>
          <w:sz w:val="14"/>
          <w:szCs w:val="14"/>
          <w:color w:val="auto"/>
        </w:rPr>
      </w:pPr>
    </w:p>
    <w:p>
      <w:pPr>
        <w:ind w:left="2020" w:right="179" w:hanging="339"/>
        <w:spacing w:after="0" w:line="294"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may have to redeem, purchase or repay the debt securities at the option of a holder upon the happening of any event and the terms and conditions of redemption, purchase or repayment;</w:t>
      </w:r>
    </w:p>
    <w:p>
      <w:pPr>
        <w:spacing w:after="0" w:line="47" w:lineRule="exact"/>
        <w:rPr>
          <w:rFonts w:ascii="Times New Roman" w:cs="Times New Roman" w:eastAsia="Times New Roman" w:hAnsi="Times New Roman"/>
          <w:sz w:val="14"/>
          <w:szCs w:val="14"/>
          <w:color w:val="auto"/>
        </w:rPr>
      </w:pPr>
    </w:p>
    <w:p>
      <w:pPr>
        <w:ind w:left="2020" w:right="359" w:hanging="339"/>
        <w:spacing w:after="0" w:line="294" w:lineRule="auto"/>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duties of any co-indenture trustees, depositaries, auction agents, authenticating agents, calculation agents, paying agents, transfer agents or registrars for the debt securities;</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of the applicable indenture described in this prospectus that do not apply to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will pay principal and interest;</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provisions, if any, relating to the defeasance of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Untied States federal income tax consequences relating to the offered securities, if material;</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premiums, if any, will be paid;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this deferral period;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the debt securities.</w:t>
      </w:r>
    </w:p>
    <w:p>
      <w:pPr>
        <w:spacing w:after="0" w:line="184" w:lineRule="exact"/>
        <w:rPr>
          <w:sz w:val="20"/>
          <w:szCs w:val="20"/>
          <w:color w:val="auto"/>
        </w:rPr>
      </w:pPr>
    </w:p>
    <w:p>
      <w:pPr>
        <w:ind w:left="1260" w:right="459"/>
        <w:spacing w:after="0" w:line="294" w:lineRule="auto"/>
        <w:rPr>
          <w:sz w:val="20"/>
          <w:szCs w:val="20"/>
          <w:color w:val="auto"/>
        </w:rPr>
      </w:pPr>
      <w:r>
        <w:rPr>
          <w:rFonts w:ascii="Times New Roman" w:cs="Times New Roman" w:eastAsia="Times New Roman" w:hAnsi="Times New Roman"/>
          <w:sz w:val="14"/>
          <w:szCs w:val="14"/>
          <w:color w:val="auto"/>
        </w:rPr>
        <w:t>We will issue the debt securities only in registered form. (Section 3.02). As currently anticipated, debt securities of a series will trade in book-entry form, and global securities will be issued in physical (paper) form, as described below under “Legal Ownership of Debt Securities.”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Merger and Sale of Assets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may not, in a single transaction or a series of related transactions:</w:t>
      </w:r>
    </w:p>
    <w:p>
      <w:pPr>
        <w:spacing w:after="0" w:line="108" w:lineRule="exact"/>
        <w:rPr>
          <w:sz w:val="20"/>
          <w:szCs w:val="20"/>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or merge with or into any other person or permit any other person to consolidate or merge with or into us;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sell, lease or otherwise dispose of all or substantially all of our assets,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in either such case:</w:t>
      </w:r>
    </w:p>
    <w:p>
      <w:pPr>
        <w:spacing w:after="0" w:line="108" w:lineRule="exact"/>
        <w:rPr>
          <w:rFonts w:ascii="Times New Roman" w:cs="Times New Roman" w:eastAsia="Times New Roman" w:hAnsi="Times New Roman"/>
          <w:sz w:val="14"/>
          <w:szCs w:val="14"/>
          <w:color w:val="auto"/>
        </w:rPr>
      </w:pPr>
    </w:p>
    <w:p>
      <w:pPr>
        <w:jc w:val="both"/>
        <w:ind w:left="2380" w:right="159" w:hanging="258"/>
        <w:spacing w:after="0" w:line="275" w:lineRule="auto"/>
        <w:tabs>
          <w:tab w:leader="none" w:pos="23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transaction in which we do not survive or in which we sell, lease or otherwise dispose of all or substantially all of our assets, the successor entity to us is organized under the laws of the United States, or any state thereof or the District of Columbia, and expressly assumes, by supplemental indentures, all of our obligations under the indentures;</w:t>
      </w:r>
    </w:p>
    <w:p>
      <w:pPr>
        <w:spacing w:after="0" w:line="60" w:lineRule="exact"/>
        <w:rPr>
          <w:rFonts w:ascii="Times New Roman" w:cs="Times New Roman" w:eastAsia="Times New Roman" w:hAnsi="Times New Roman"/>
          <w:sz w:val="14"/>
          <w:szCs w:val="14"/>
          <w:color w:val="auto"/>
        </w:rPr>
      </w:pPr>
    </w:p>
    <w:p>
      <w:pPr>
        <w:ind w:left="2380" w:hanging="258"/>
        <w:spacing w:after="0"/>
        <w:tabs>
          <w:tab w:leader="none" w:pos="23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after giving effect to the transaction, no default on the debt securities exists; and</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380" w:hanging="258"/>
        <w:spacing w:after="0"/>
        <w:tabs>
          <w:tab w:leader="none" w:pos="2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an opinion of counsel concerning certain matters are delivered to the trustee. (Section 8.01)</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Other Covenants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indenture provides that events of default regarding any series of debt securities will be:</w:t>
      </w:r>
    </w:p>
    <w:p>
      <w:pPr>
        <w:spacing w:after="0" w:line="108" w:lineRule="exact"/>
        <w:rPr>
          <w:sz w:val="20"/>
          <w:szCs w:val="20"/>
          <w:color w:val="auto"/>
        </w:rPr>
      </w:pPr>
    </w:p>
    <w:p>
      <w:pPr>
        <w:ind w:left="2020" w:hanging="339"/>
        <w:spacing w:after="0"/>
        <w:tabs>
          <w:tab w:leader="none" w:pos="2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interest on any debt security of such series for 30 days after such payment is due;</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principal (or premium, if any) on any debt security of such series when due and payable at its maturity;</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make any deposit of any sinking fund payment when due on debt securities of such series;</w:t>
      </w:r>
    </w:p>
    <w:p>
      <w:pPr>
        <w:spacing w:after="0" w:line="108" w:lineRule="exact"/>
        <w:rPr>
          <w:rFonts w:ascii="Times New Roman" w:cs="Times New Roman" w:eastAsia="Times New Roman" w:hAnsi="Times New Roman"/>
          <w:sz w:val="14"/>
          <w:szCs w:val="14"/>
          <w:color w:val="auto"/>
        </w:rPr>
      </w:pPr>
    </w:p>
    <w:p>
      <w:pPr>
        <w:ind w:left="2020" w:right="119" w:hanging="339"/>
        <w:spacing w:after="0" w:line="275" w:lineRule="auto"/>
        <w:tabs>
          <w:tab w:leader="none" w:pos="2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perform for 90 days after notice given by the trustee or the holders of at least 25% in principal amount of the outstanding debt securities of such series any other covenant in the indenture other than a covenant (i) included in the indenture solely for the benefit of a series of debt securities other than such series or (ii) expressly excluded from events giving rise to a default with respect to such series;</w:t>
      </w:r>
    </w:p>
    <w:p>
      <w:pPr>
        <w:spacing w:after="0" w:line="60" w:lineRule="exact"/>
        <w:rPr>
          <w:rFonts w:ascii="Times New Roman" w:cs="Times New Roman" w:eastAsia="Times New Roman" w:hAnsi="Times New Roman"/>
          <w:sz w:val="14"/>
          <w:szCs w:val="14"/>
          <w:color w:val="auto"/>
        </w:rPr>
      </w:pPr>
    </w:p>
    <w:p>
      <w:pPr>
        <w:ind w:left="2020" w:right="179" w:hanging="339"/>
        <w:spacing w:after="0" w:line="275" w:lineRule="auto"/>
        <w:tabs>
          <w:tab w:leader="none" w:pos="2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beyond any applicable grace period, or the acceleration of, indebtedness in excess of $50,000,000, which failure to pay or acceleration is not rescinded, annulled or otherwise cured within 30 days of receipt of notice of such failure to pay or acceleration given by the trustee or the holders of at least 25% in principal amount of the outstanding debt securities of such series; or</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or insolvency, whether voluntary or not, with respect to us or any material subsidiary. (Section 5.01)</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 addition, the applicable prospectus supplement will describe any other event of default applicable to a series of debt securities.</w:t>
      </w:r>
    </w:p>
    <w:p>
      <w:pPr>
        <w:spacing w:after="0" w:line="184" w:lineRule="exact"/>
        <w:rPr>
          <w:sz w:val="20"/>
          <w:szCs w:val="20"/>
          <w:color w:val="auto"/>
        </w:rPr>
      </w:pPr>
    </w:p>
    <w:p>
      <w:pPr>
        <w:ind w:left="1260" w:right="179"/>
        <w:spacing w:after="0" w:line="264" w:lineRule="auto"/>
        <w:rPr>
          <w:sz w:val="20"/>
          <w:szCs w:val="20"/>
          <w:color w:val="auto"/>
        </w:rPr>
      </w:pPr>
      <w:r>
        <w:rPr>
          <w:rFonts w:ascii="Times New Roman" w:cs="Times New Roman" w:eastAsia="Times New Roman" w:hAnsi="Times New Roman"/>
          <w:sz w:val="14"/>
          <w:szCs w:val="14"/>
          <w:color w:val="auto"/>
        </w:rPr>
        <w:t>If an event of default regarding debt securities of any series issued under the indenture (other than an event of default resulting from any events of bankruptcy, insolvency or reorganization with respect to us) should occur and be continuing, either the trustee or the holders of at least 25% in the principal amount of outstanding debt securities of such series may declare the principal amount, together with all accrued and unpaid interest, if any, of each debt security of that series due and payable. If an event of default results from any events of bankruptcy, insolvency or reorganization with respect to us, such amount with respect to the debt securities will be due and payable immediately without any declaration or other act on the part of the holders of outstanding debt securities or the trustee. (Section 5.02)</w:t>
      </w:r>
    </w:p>
    <w:p>
      <w:pPr>
        <w:spacing w:after="0" w:line="144" w:lineRule="exact"/>
        <w:rPr>
          <w:sz w:val="20"/>
          <w:szCs w:val="20"/>
          <w:color w:val="auto"/>
        </w:rPr>
      </w:pPr>
    </w:p>
    <w:p>
      <w:pPr>
        <w:ind w:left="1260" w:right="159"/>
        <w:spacing w:after="0" w:line="294" w:lineRule="auto"/>
        <w:rPr>
          <w:sz w:val="20"/>
          <w:szCs w:val="20"/>
          <w:color w:val="auto"/>
        </w:rPr>
      </w:pPr>
      <w:r>
        <w:rPr>
          <w:rFonts w:ascii="Times New Roman" w:cs="Times New Roman" w:eastAsia="Times New Roman" w:hAnsi="Times New Roman"/>
          <w:sz w:val="14"/>
          <w:szCs w:val="14"/>
          <w:color w:val="auto"/>
        </w:rPr>
        <w:t>No event of default regarding one series of debt securities issued under the indenture is necessarily an event of default regarding any other series of debt securities.</w:t>
      </w:r>
    </w:p>
    <w:p>
      <w:pPr>
        <w:spacing w:after="0" w:line="123" w:lineRule="exact"/>
        <w:rPr>
          <w:sz w:val="20"/>
          <w:szCs w:val="20"/>
          <w:color w:val="auto"/>
        </w:rPr>
      </w:pPr>
    </w:p>
    <w:p>
      <w:pPr>
        <w:jc w:val="both"/>
        <w:ind w:left="1260" w:right="299"/>
        <w:spacing w:after="0" w:line="269" w:lineRule="auto"/>
        <w:rPr>
          <w:sz w:val="20"/>
          <w:szCs w:val="20"/>
          <w:color w:val="auto"/>
        </w:rPr>
      </w:pPr>
      <w:r>
        <w:rPr>
          <w:rFonts w:ascii="Times New Roman" w:cs="Times New Roman" w:eastAsia="Times New Roman" w:hAnsi="Times New Roman"/>
          <w:sz w:val="14"/>
          <w:szCs w:val="14"/>
          <w:color w:val="auto"/>
        </w:rPr>
        <w:t>Holders of a majority in principal amount of the outstanding debt securities of any series will be entitled to control certain actions of the trustee under the indenture and to waive certain past defaults regarding such series. (Sections 5.12 and 5.13) The trustee generally cannot be required by any of the holders of debt securities to take any action, unless one or more of such holders shall have provided to the trustee security or indemnity satisfactory to the trustee. (Section 6.02)</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19"/>
        <w:spacing w:after="0" w:line="294" w:lineRule="auto"/>
        <w:rPr>
          <w:sz w:val="20"/>
          <w:szCs w:val="20"/>
          <w:color w:val="auto"/>
        </w:rPr>
      </w:pPr>
      <w:r>
        <w:rPr>
          <w:rFonts w:ascii="Times New Roman" w:cs="Times New Roman" w:eastAsia="Times New Roman" w:hAnsi="Times New Roman"/>
          <w:sz w:val="14"/>
          <w:szCs w:val="14"/>
          <w:color w:val="auto"/>
        </w:rPr>
        <w:t>If an event of default occurs and is continuing regarding a series of debt securities, the trustee may use any sums that it holds under the indenture for its own reasonable compensation and expenses incurred prior to paying the holders of debt securities of such series. (Section 5.06)</w:t>
      </w:r>
    </w:p>
    <w:p>
      <w:pPr>
        <w:spacing w:after="0" w:line="123" w:lineRule="exact"/>
        <w:rPr>
          <w:sz w:val="20"/>
          <w:szCs w:val="20"/>
          <w:color w:val="auto"/>
        </w:rPr>
      </w:pPr>
    </w:p>
    <w:p>
      <w:pPr>
        <w:ind w:left="1260" w:right="159"/>
        <w:spacing w:after="0" w:line="264" w:lineRule="auto"/>
        <w:rPr>
          <w:sz w:val="20"/>
          <w:szCs w:val="20"/>
          <w:color w:val="auto"/>
        </w:rPr>
      </w:pPr>
      <w:r>
        <w:rPr>
          <w:rFonts w:ascii="Times New Roman" w:cs="Times New Roman" w:eastAsia="Times New Roman" w:hAnsi="Times New Roman"/>
          <w:sz w:val="14"/>
          <w:szCs w:val="14"/>
          <w:color w:val="auto"/>
        </w:rPr>
        <w:t>Before any holder of any series of debt securities may institute action for any remedy, the holders of not less than 25% in principal amount of the debt securities of that series outstanding must request the trustee to take action. Holders must also offer indemnity satisfactory to the trustee against liabilities incurred by the trustee for taking such action, and the trustee must have failed to institute any proceeding within 60 days after receiving such notice and offer of indemnity. These limitations do not apply if the holders of a majority of debt securities of the applicable series give an inconsistent direction. (Section 5.07) In addition, these limitations also do not apply, however, to a suit by a holder of any series of debt securities to enforce payment of principal, interest or premium, if any, and the right to convert such debt security, if applicable. (Section 5.08)</w:t>
      </w:r>
    </w:p>
    <w:p>
      <w:pPr>
        <w:spacing w:after="0" w:line="144" w:lineRule="exact"/>
        <w:rPr>
          <w:sz w:val="20"/>
          <w:szCs w:val="20"/>
          <w:color w:val="auto"/>
        </w:rPr>
      </w:pPr>
    </w:p>
    <w:p>
      <w:pPr>
        <w:jc w:val="both"/>
        <w:ind w:left="1260" w:right="279"/>
        <w:spacing w:after="0" w:line="275" w:lineRule="auto"/>
        <w:rPr>
          <w:sz w:val="20"/>
          <w:szCs w:val="20"/>
          <w:color w:val="auto"/>
        </w:rPr>
      </w:pPr>
      <w:r>
        <w:rPr>
          <w:rFonts w:ascii="Times New Roman" w:cs="Times New Roman" w:eastAsia="Times New Roman" w:hAnsi="Times New Roman"/>
          <w:sz w:val="14"/>
          <w:szCs w:val="14"/>
          <w:color w:val="auto"/>
        </w:rPr>
        <w:t>The trustee will, within 90 days after any default occurs, give notice of the default to the holders of the debt securities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(Section 6.05)</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are required to furnish to the trustee an annual statement as to compliance with all conditions and covenants under the indenture. (Section 10.05)</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Under the indenture, we and the trustee may amend the indenture, without the consent of any holder of the debt securities, to:</w:t>
      </w:r>
    </w:p>
    <w:p>
      <w:pPr>
        <w:spacing w:after="0" w:line="108" w:lineRule="exact"/>
        <w:rPr>
          <w:sz w:val="20"/>
          <w:szCs w:val="20"/>
          <w:color w:val="auto"/>
        </w:rPr>
      </w:pPr>
    </w:p>
    <w:p>
      <w:pPr>
        <w:ind w:left="2020" w:right="219" w:hanging="339"/>
        <w:spacing w:after="0" w:line="294" w:lineRule="auto"/>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obligor to the Company and the assumption of the covenants in the indenture and in the debt securities by such successor;</w:t>
      </w:r>
    </w:p>
    <w:p>
      <w:pPr>
        <w:spacing w:after="0" w:line="47" w:lineRule="exact"/>
        <w:rPr>
          <w:rFonts w:ascii="Times New Roman" w:cs="Times New Roman" w:eastAsia="Times New Roman" w:hAnsi="Times New Roman"/>
          <w:sz w:val="14"/>
          <w:szCs w:val="14"/>
          <w:color w:val="auto"/>
        </w:rPr>
      </w:pPr>
    </w:p>
    <w:p>
      <w:pPr>
        <w:ind w:left="2020" w:right="199" w:hanging="339"/>
        <w:spacing w:after="0" w:line="275" w:lineRule="auto"/>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our covenants for the benefit of the holders of all or any series of debt securities (and if such covenants are to be for the benefit of less than all series of debt securities, stating that such covenants are expressly being included for the benefit of such series) or to surrender any rights or power conferred upon us;</w:t>
      </w:r>
    </w:p>
    <w:p>
      <w:pPr>
        <w:spacing w:after="0" w:line="60" w:lineRule="exact"/>
        <w:rPr>
          <w:rFonts w:ascii="Times New Roman" w:cs="Times New Roman" w:eastAsia="Times New Roman" w:hAnsi="Times New Roman"/>
          <w:sz w:val="14"/>
          <w:szCs w:val="14"/>
          <w:color w:val="auto"/>
        </w:rPr>
      </w:pPr>
    </w:p>
    <w:p>
      <w:pPr>
        <w:jc w:val="both"/>
        <w:ind w:left="2020" w:right="199" w:hanging="339"/>
        <w:spacing w:after="0" w:line="275" w:lineRule="auto"/>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 for the benefit of the holders of all or any series of debt securities (and if such events of default are to be for the benefit of less than all series of debt securities, stating that such additional events of default are expressly being included for the benefit of such series);</w:t>
      </w:r>
    </w:p>
    <w:p>
      <w:pPr>
        <w:spacing w:after="0" w:line="60" w:lineRule="exact"/>
        <w:rPr>
          <w:rFonts w:ascii="Times New Roman" w:cs="Times New Roman" w:eastAsia="Times New Roman" w:hAnsi="Times New Roman"/>
          <w:sz w:val="14"/>
          <w:szCs w:val="14"/>
          <w:color w:val="auto"/>
        </w:rPr>
      </w:pPr>
    </w:p>
    <w:p>
      <w:pPr>
        <w:ind w:left="2020" w:right="199" w:hanging="339"/>
        <w:spacing w:after="0" w:line="294" w:lineRule="auto"/>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or change any provision of the indenture to permit the issuance of the debt securities in bearer form, registrable or not registrable as to principal, with or without interest coupons;</w:t>
      </w:r>
    </w:p>
    <w:p>
      <w:pPr>
        <w:spacing w:after="0" w:line="45" w:lineRule="exact"/>
        <w:rPr>
          <w:rFonts w:ascii="Times New Roman" w:cs="Times New Roman" w:eastAsia="Times New Roman" w:hAnsi="Times New Roman"/>
          <w:sz w:val="14"/>
          <w:szCs w:val="14"/>
          <w:color w:val="auto"/>
        </w:rPr>
      </w:pPr>
    </w:p>
    <w:p>
      <w:pPr>
        <w:ind w:left="2020" w:right="159" w:hanging="339"/>
        <w:spacing w:after="0" w:line="270" w:lineRule="auto"/>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 to, change or eliminate any of the provisions of the indenture in respect of one or more series of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addition, change or elimination (i) will neither apply to any debt security created prior to the execution of the supplemental indenture nor adversely affect the rights of the holders thereof in any material respect as evidenced by an officer’s certificate to the trustee or (ii) will become effective only when no such debt securities are outstanding;</w:t>
      </w:r>
    </w:p>
    <w:p>
      <w:pPr>
        <w:spacing w:after="0" w:line="63"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or terms of debt securities of any series as permitted in the indenture;</w:t>
      </w:r>
    </w:p>
    <w:p>
      <w:pPr>
        <w:spacing w:after="0" w:line="108" w:lineRule="exact"/>
        <w:rPr>
          <w:rFonts w:ascii="Times New Roman" w:cs="Times New Roman" w:eastAsia="Times New Roman" w:hAnsi="Times New Roman"/>
          <w:sz w:val="14"/>
          <w:szCs w:val="14"/>
          <w:color w:val="auto"/>
        </w:rPr>
      </w:pPr>
    </w:p>
    <w:p>
      <w:pPr>
        <w:ind w:left="2020" w:right="199" w:hanging="339"/>
        <w:spacing w:after="0" w:line="287" w:lineRule="auto"/>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our consolidation or merger with or into any other person or permit the consolidation or merger of any other person with or into us, or the transfer, sale, lease or other disposition of all or substantially all of our assets, in conformity with the limitations set forth in the indenture;</w:t>
      </w:r>
    </w:p>
    <w:p>
      <w:pPr>
        <w:spacing w:after="0" w:line="22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issuance of uncertificated debt securities in addition to, or in place of, certificated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 successor trustee under the indenture;</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9"/>
        <w:spacing w:after="0"/>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ambiguities, omissions, mistakes, defects or inconsistencies;</w:t>
      </w:r>
    </w:p>
    <w:p>
      <w:pPr>
        <w:spacing w:after="0" w:line="108" w:lineRule="exact"/>
        <w:rPr>
          <w:rFonts w:ascii="Times New Roman" w:cs="Times New Roman" w:eastAsia="Times New Roman" w:hAnsi="Times New Roman"/>
          <w:sz w:val="14"/>
          <w:szCs w:val="14"/>
          <w:color w:val="auto"/>
        </w:rPr>
      </w:pPr>
    </w:p>
    <w:p>
      <w:pPr>
        <w:ind w:left="2020" w:right="199" w:hanging="339"/>
        <w:spacing w:after="0" w:line="294" w:lineRule="auto"/>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any provisions of the indenture to the “Description of Debt Securities” contained in this prospectus or any similar provision in an applicable prospectus supplement;</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provisions with respect to the conversion rights of the holders of any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 qualification of the indenture under the Trust Indenture Act;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the rights of the holders of any debt securities in any material respect. (Section 9.01)</w:t>
      </w:r>
    </w:p>
    <w:p>
      <w:pPr>
        <w:spacing w:after="0" w:line="184" w:lineRule="exact"/>
        <w:rPr>
          <w:sz w:val="20"/>
          <w:szCs w:val="20"/>
          <w:color w:val="auto"/>
        </w:rPr>
      </w:pPr>
    </w:p>
    <w:p>
      <w:pPr>
        <w:ind w:left="1260" w:right="179"/>
        <w:spacing w:after="0" w:line="275" w:lineRule="auto"/>
        <w:rPr>
          <w:sz w:val="20"/>
          <w:szCs w:val="20"/>
          <w:color w:val="auto"/>
        </w:rPr>
      </w:pPr>
      <w:r>
        <w:rPr>
          <w:rFonts w:ascii="Times New Roman" w:cs="Times New Roman" w:eastAsia="Times New Roman" w:hAnsi="Times New Roman"/>
          <w:sz w:val="14"/>
          <w:szCs w:val="14"/>
          <w:color w:val="auto"/>
        </w:rPr>
        <w:t>Under the indenture, we and the trustee may, with the consent of the holders of at least a majority in aggregate principal amount of the debt securities of a series or such other percentage as many be specified in the applicable prospectus supplement, modify the indenture or the rights of the holders of the securities of such series. However, no such modification may, without the consent of each holder of an affected debt security:</w:t>
      </w:r>
    </w:p>
    <w:p>
      <w:pPr>
        <w:spacing w:after="0" w:line="60" w:lineRule="exact"/>
        <w:rPr>
          <w:sz w:val="20"/>
          <w:szCs w:val="20"/>
          <w:color w:val="auto"/>
        </w:rPr>
      </w:pPr>
    </w:p>
    <w:p>
      <w:pPr>
        <w:ind w:left="2020" w:right="639" w:hanging="339"/>
        <w:spacing w:after="0" w:line="294"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fixed maturity of any such debt securities or the date on which any payment of interest on the debt securities is due and payable;</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or interest rate on any debt security;</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premium payable upon any redemption of the debt securities;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on the acceleration of any securities issued originally at a discount;</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of payment of, or type of currency for payment of, debt securities;</w:t>
      </w:r>
    </w:p>
    <w:p>
      <w:pPr>
        <w:spacing w:after="0" w:line="108" w:lineRule="exact"/>
        <w:rPr>
          <w:rFonts w:ascii="Times New Roman" w:cs="Times New Roman" w:eastAsia="Times New Roman" w:hAnsi="Times New Roman"/>
          <w:sz w:val="14"/>
          <w:szCs w:val="14"/>
          <w:color w:val="auto"/>
        </w:rPr>
      </w:pPr>
    </w:p>
    <w:p>
      <w:pPr>
        <w:ind w:left="2020" w:right="419" w:hanging="339"/>
        <w:spacing w:after="0" w:line="294"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sue for the enforcement of any payment of principal, any installment of interest or premium on or after the maturity (including in connection with a redemption, on or after the redemption date) of the debt securities;</w:t>
      </w:r>
    </w:p>
    <w:p>
      <w:pPr>
        <w:spacing w:after="0" w:line="47" w:lineRule="exact"/>
        <w:rPr>
          <w:rFonts w:ascii="Times New Roman" w:cs="Times New Roman" w:eastAsia="Times New Roman" w:hAnsi="Times New Roman"/>
          <w:sz w:val="14"/>
          <w:szCs w:val="14"/>
          <w:color w:val="auto"/>
        </w:rPr>
      </w:pPr>
    </w:p>
    <w:p>
      <w:pPr>
        <w:ind w:left="2020" w:right="139" w:hanging="339"/>
        <w:spacing w:after="0" w:line="294"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right, if any, to convert such debt securities, or modify the provisions of the indenture with respect to the ranking of the debt securities in a manner adverse to the holder thereof;</w:t>
      </w:r>
    </w:p>
    <w:p>
      <w:pPr>
        <w:spacing w:after="0" w:line="47"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debt securities of a series whose holders need to consent to a modification or a waiver;</w:t>
      </w:r>
    </w:p>
    <w:p>
      <w:pPr>
        <w:spacing w:after="0" w:line="108" w:lineRule="exact"/>
        <w:rPr>
          <w:rFonts w:ascii="Times New Roman" w:cs="Times New Roman" w:eastAsia="Times New Roman" w:hAnsi="Times New Roman"/>
          <w:sz w:val="14"/>
          <w:szCs w:val="14"/>
          <w:color w:val="auto"/>
        </w:rPr>
      </w:pPr>
    </w:p>
    <w:p>
      <w:pPr>
        <w:ind w:left="2020" w:right="219" w:hanging="339"/>
        <w:spacing w:after="0" w:line="269" w:lineRule="auto"/>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in the indenture related to modifications that require the consent of the holders of at least a majority in aggregate principal amount of the debt securities of a series or provisions in the indenture related to the waiver of past defaults by the holders of debt securities, except to increase any such percentage or provide that certain other provisions may not be modified without the consent of each holder of the debt securities;</w:t>
      </w:r>
    </w:p>
    <w:p>
      <w:pPr>
        <w:spacing w:after="0" w:line="64"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or repurchase at the option of the holder of debt securities;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 postpone any sinking fund. (Section 9.02)</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9" w:lineRule="exact"/>
        <w:rPr>
          <w:sz w:val="20"/>
          <w:szCs w:val="20"/>
          <w:color w:val="auto"/>
        </w:rPr>
      </w:pPr>
    </w:p>
    <w:p>
      <w:pPr>
        <w:ind w:left="1260" w:right="139"/>
        <w:spacing w:after="0" w:line="266" w:lineRule="auto"/>
        <w:rPr>
          <w:sz w:val="20"/>
          <w:szCs w:val="20"/>
          <w:color w:val="auto"/>
        </w:rPr>
      </w:pPr>
      <w:r>
        <w:rPr>
          <w:rFonts w:ascii="Times New Roman" w:cs="Times New Roman" w:eastAsia="Times New Roman" w:hAnsi="Times New Roman"/>
          <w:sz w:val="14"/>
          <w:szCs w:val="14"/>
          <w:color w:val="auto"/>
        </w:rPr>
        <w:t>After we have irrevocably deposited with the trustee cash or U.S. government securities, in trust for the benefit of the holders, sufficient to pay the principal of, premium, if any, and interest on the debt securities of any series of debt securities when due, and satisfied certain other conditions described below, we may elect to have our obligations under the indenture discharged with respect to the outstanding debt securities of that series (“legal defeasance and discharge”). Legal defeasance and discharge means that we will be deemed to have paid and discharged the entire indebtedness represented by the outstanding debt securities of such series under the indenture, except for:</w:t>
      </w:r>
    </w:p>
    <w:p>
      <w:pPr>
        <w:spacing w:after="0" w:line="66" w:lineRule="exact"/>
        <w:rPr>
          <w:sz w:val="20"/>
          <w:szCs w:val="20"/>
          <w:color w:val="auto"/>
        </w:rPr>
      </w:pPr>
    </w:p>
    <w:p>
      <w:pPr>
        <w:ind w:left="2020" w:right="559" w:hanging="339"/>
        <w:spacing w:after="0" w:line="294" w:lineRule="auto"/>
        <w:tabs>
          <w:tab w:leader="none" w:pos="2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the debt securities to receive principal, interest and any premium when due from amounts deposited with the trustee, which will be held in trust funds for the purpose of such payments;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right="299" w:hanging="339"/>
        <w:spacing w:after="0" w:line="275" w:lineRule="auto"/>
        <w:tabs>
          <w:tab w:leader="none" w:pos="2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with respect to the debt securities concerning issuing temporary debt securities, registration of transfer of debt securities, mutilated, destroyed, lost or stolen debt securities and the maintenance of an office or agency where securities may be presented for payment, transfer, exchange or, if applicable, conversion for security payments held in trust;</w:t>
      </w:r>
    </w:p>
    <w:p>
      <w:pPr>
        <w:spacing w:after="0" w:line="60"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defeasance provisions of the indenture.</w:t>
      </w:r>
    </w:p>
    <w:p>
      <w:pPr>
        <w:spacing w:after="0" w:line="184" w:lineRule="exact"/>
        <w:rPr>
          <w:sz w:val="20"/>
          <w:szCs w:val="20"/>
          <w:color w:val="auto"/>
        </w:rPr>
      </w:pPr>
    </w:p>
    <w:p>
      <w:pPr>
        <w:ind w:left="1260" w:right="359"/>
        <w:spacing w:after="0" w:line="294" w:lineRule="auto"/>
        <w:rPr>
          <w:sz w:val="20"/>
          <w:szCs w:val="20"/>
          <w:color w:val="auto"/>
        </w:rPr>
      </w:pPr>
      <w:r>
        <w:rPr>
          <w:rFonts w:ascii="Times New Roman" w:cs="Times New Roman" w:eastAsia="Times New Roman" w:hAnsi="Times New Roman"/>
          <w:sz w:val="14"/>
          <w:szCs w:val="14"/>
          <w:color w:val="auto"/>
        </w:rPr>
        <w:t>Alternatively, we may elect to have our obligations released with respect to certain covenants of the indenture (“covenant defeasance”). The released obligations include:</w:t>
      </w:r>
    </w:p>
    <w:p>
      <w:pPr>
        <w:spacing w:after="0" w:line="47" w:lineRule="exact"/>
        <w:rPr>
          <w:sz w:val="20"/>
          <w:szCs w:val="20"/>
          <w:color w:val="auto"/>
        </w:rPr>
      </w:pPr>
    </w:p>
    <w:p>
      <w:pPr>
        <w:ind w:left="2020" w:hanging="339"/>
        <w:spacing w:after="0"/>
        <w:tabs>
          <w:tab w:leader="none" w:pos="2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relating to a merger, consolidation or sale of all or substantially all of our assets;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to present and keep in full force and effect our corporate existence; and</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covenants applicable to a series of debt securities as described in the applicable prospectus supplement.</w:t>
      </w:r>
    </w:p>
    <w:p>
      <w:pPr>
        <w:spacing w:after="0" w:line="184" w:lineRule="exact"/>
        <w:rPr>
          <w:sz w:val="20"/>
          <w:szCs w:val="20"/>
          <w:color w:val="auto"/>
        </w:rPr>
      </w:pPr>
    </w:p>
    <w:p>
      <w:pPr>
        <w:ind w:left="1260" w:right="119"/>
        <w:spacing w:after="0" w:line="269" w:lineRule="auto"/>
        <w:rPr>
          <w:sz w:val="20"/>
          <w:szCs w:val="20"/>
          <w:color w:val="auto"/>
        </w:rPr>
      </w:pPr>
      <w:r>
        <w:rPr>
          <w:rFonts w:ascii="Times New Roman" w:cs="Times New Roman" w:eastAsia="Times New Roman" w:hAnsi="Times New Roman"/>
          <w:sz w:val="14"/>
          <w:szCs w:val="14"/>
          <w:color w:val="auto"/>
        </w:rPr>
        <w:t>Any omission to comply with these obligations so released will not constitute a default or an event of default with respect to the debt securities of any series. In the event covenant defeasance occurs, certain events relating to these obligations, as well as the failure to deposit a sinking fund payment when due and the failure to pay or acceleration of indebtedness in excess of $50,000,000, as described above under “Events of Default,” will no longer constitute an event of default for that series.</w:t>
      </w:r>
    </w:p>
    <w:p>
      <w:pPr>
        <w:spacing w:after="0" w:line="140" w:lineRule="exact"/>
        <w:rPr>
          <w:sz w:val="20"/>
          <w:szCs w:val="20"/>
          <w:color w:val="auto"/>
        </w:rPr>
      </w:pPr>
    </w:p>
    <w:p>
      <w:pPr>
        <w:ind w:left="1260" w:right="159"/>
        <w:spacing w:after="0" w:line="269" w:lineRule="auto"/>
        <w:rPr>
          <w:sz w:val="20"/>
          <w:szCs w:val="20"/>
          <w:color w:val="auto"/>
        </w:rPr>
      </w:pPr>
      <w:r>
        <w:rPr>
          <w:rFonts w:ascii="Times New Roman" w:cs="Times New Roman" w:eastAsia="Times New Roman" w:hAnsi="Times New Roman"/>
          <w:sz w:val="14"/>
          <w:szCs w:val="14"/>
          <w:color w:val="auto"/>
        </w:rPr>
        <w:t>In order to exercise either legal defeasance or covenant defeasance with respect to outstanding debt securities of any series, we must irrevocably have deposited or caused to be deposited with the trustee as trust funds cash or specified United States government obligations in an amount, in each case, sufficient, in the written opinion of a reputable firm of certified public accountants, to pay and discharge all of the principal, interest and any premium at due date or maturity with respect to such series. In addition:</w:t>
      </w:r>
    </w:p>
    <w:p>
      <w:pPr>
        <w:spacing w:after="0" w:line="64" w:lineRule="exact"/>
        <w:rPr>
          <w:sz w:val="20"/>
          <w:szCs w:val="20"/>
          <w:color w:val="auto"/>
        </w:rPr>
      </w:pPr>
    </w:p>
    <w:p>
      <w:pPr>
        <w:ind w:left="2020" w:right="159" w:hanging="339"/>
        <w:spacing w:after="0" w:line="266"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we must have delivered to the trustee an opinion of counsel confirming that (i) we have received from, or there has been published by, the Internal Revenue Service, a ruling or (ii) since the date of the indenture, there has been a change in the applicable Federal income tax law, in either case, to the effect that the holders of the debt securities of that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66" w:lineRule="exact"/>
        <w:rPr>
          <w:rFonts w:ascii="Times New Roman" w:cs="Times New Roman" w:eastAsia="Times New Roman" w:hAnsi="Times New Roman"/>
          <w:sz w:val="14"/>
          <w:szCs w:val="14"/>
          <w:color w:val="auto"/>
        </w:rPr>
      </w:pPr>
    </w:p>
    <w:p>
      <w:pPr>
        <w:ind w:left="2020" w:right="139" w:hanging="339"/>
        <w:spacing w:after="0" w:line="269"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and discharge, we must have delivered to the trustee an opinion of counsel stating that, under then applicable federal income tax law, the holders of the debt securities of that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4" w:lineRule="exact"/>
        <w:rPr>
          <w:rFonts w:ascii="Times New Roman" w:cs="Times New Roman" w:eastAsia="Times New Roman" w:hAnsi="Times New Roman"/>
          <w:sz w:val="14"/>
          <w:szCs w:val="14"/>
          <w:color w:val="auto"/>
        </w:rPr>
      </w:pPr>
    </w:p>
    <w:p>
      <w:pPr>
        <w:ind w:left="2020" w:right="159" w:hanging="339"/>
        <w:spacing w:after="0" w:line="269"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with respect to the outstanding debt securities of that series may have occurred and be continuing at the time of such deposit after giving effect to the deposit or, in the case of legal defeasance and discharge, no default relating to bankruptcy or insolvency may have occurred and be continuing at any time on or before the 90th day after the date of such deposit, it being understood that this condition is not deemed satisfied until after the 90th day;</w:t>
      </w:r>
    </w:p>
    <w:p>
      <w:pPr>
        <w:spacing w:after="0" w:line="64" w:lineRule="exact"/>
        <w:rPr>
          <w:rFonts w:ascii="Times New Roman" w:cs="Times New Roman" w:eastAsia="Times New Roman" w:hAnsi="Times New Roman"/>
          <w:sz w:val="14"/>
          <w:szCs w:val="14"/>
          <w:color w:val="auto"/>
        </w:rPr>
      </w:pPr>
    </w:p>
    <w:p>
      <w:pPr>
        <w:ind w:left="2020" w:right="279" w:hanging="339"/>
        <w:spacing w:after="0" w:line="294"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defeasance and discharge or covenant defeasance must not cause the trustee to have a conflicting interest within the meaning of the Trust Indenture Act, assuming all debt securities of a series were in default within the meaning of such Act;</w:t>
      </w:r>
    </w:p>
    <w:p>
      <w:pPr>
        <w:spacing w:after="0" w:line="47" w:lineRule="exact"/>
        <w:rPr>
          <w:rFonts w:ascii="Times New Roman" w:cs="Times New Roman" w:eastAsia="Times New Roman" w:hAnsi="Times New Roman"/>
          <w:sz w:val="14"/>
          <w:szCs w:val="14"/>
          <w:color w:val="auto"/>
        </w:rPr>
      </w:pPr>
    </w:p>
    <w:p>
      <w:pPr>
        <w:ind w:left="2020" w:right="419" w:hanging="339"/>
        <w:spacing w:after="0" w:line="294" w:lineRule="auto"/>
        <w:tabs>
          <w:tab w:leader="none" w:pos="2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defeasance and discharge or covenant defeasance must not result in a breach or violation of, or constitute a default under, any other agreement or instrument to which we are a party;</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right="65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an opinion of counsel that any trust arising from such deposit does not require registration under the Investment Company Act of 1940, as amended;</w:t>
      </w:r>
    </w:p>
    <w:p>
      <w:pPr>
        <w:spacing w:after="0" w:line="47" w:lineRule="exact"/>
        <w:rPr>
          <w:rFonts w:ascii="Times New Roman" w:cs="Times New Roman" w:eastAsia="Times New Roman" w:hAnsi="Times New Roman"/>
          <w:sz w:val="14"/>
          <w:szCs w:val="14"/>
          <w:color w:val="auto"/>
        </w:rPr>
      </w:pPr>
    </w:p>
    <w:p>
      <w:pPr>
        <w:ind w:left="2020" w:right="23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such series are to be redeemed, we must have given notice of the redemption or have given the trustee irrevocable directions to give the notice of redemption in our name and at our expense under arrangements satisfactory to the trustee; and</w:t>
      </w:r>
    </w:p>
    <w:p>
      <w:pPr>
        <w:spacing w:after="0" w:line="47" w:lineRule="exact"/>
        <w:rPr>
          <w:rFonts w:ascii="Times New Roman" w:cs="Times New Roman" w:eastAsia="Times New Roman" w:hAnsi="Times New Roman"/>
          <w:sz w:val="14"/>
          <w:szCs w:val="14"/>
          <w:color w:val="auto"/>
        </w:rPr>
      </w:pPr>
    </w:p>
    <w:p>
      <w:pPr>
        <w:ind w:left="2020" w:right="139" w:hanging="339"/>
        <w:spacing w:after="0" w:line="294" w:lineRule="auto"/>
        <w:tabs>
          <w:tab w:leader="none" w:pos="2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an officer’s certificate and an opinion of counsel stating that all conditions precedent with respect to the legal defeasance and discharge or covenant defeasance have been complied with. (Article XIII)</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Stockholders</w:t>
      </w:r>
    </w:p>
    <w:p>
      <w:pPr>
        <w:spacing w:after="0" w:line="99" w:lineRule="exact"/>
        <w:rPr>
          <w:sz w:val="20"/>
          <w:szCs w:val="20"/>
          <w:color w:val="auto"/>
        </w:rPr>
      </w:pPr>
    </w:p>
    <w:p>
      <w:pPr>
        <w:ind w:left="1260" w:right="199"/>
        <w:spacing w:after="0" w:line="266"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(Section 1.19)</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9" w:lineRule="exact"/>
        <w:rPr>
          <w:sz w:val="20"/>
          <w:szCs w:val="20"/>
          <w:color w:val="auto"/>
        </w:rPr>
      </w:pPr>
    </w:p>
    <w:p>
      <w:pPr>
        <w:ind w:left="1260" w:right="199"/>
        <w:spacing w:after="0" w:line="294" w:lineRule="auto"/>
        <w:rPr>
          <w:sz w:val="20"/>
          <w:szCs w:val="20"/>
          <w:color w:val="auto"/>
        </w:rPr>
      </w:pPr>
      <w:r>
        <w:rPr>
          <w:rFonts w:ascii="Times New Roman" w:cs="Times New Roman" w:eastAsia="Times New Roman" w:hAnsi="Times New Roman"/>
          <w:sz w:val="14"/>
          <w:szCs w:val="14"/>
          <w:color w:val="auto"/>
        </w:rPr>
        <w:t>Unless otherwise stated in the prospectus supplement, the indenture and the debt securities, including any claim or controversy arising out of or relating to the indenture or the securities, will be governed by the laws of the State of New York. (Section 1.13)</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9" w:lineRule="exact"/>
        <w:rPr>
          <w:sz w:val="20"/>
          <w:szCs w:val="20"/>
          <w:color w:val="auto"/>
        </w:rPr>
      </w:pPr>
    </w:p>
    <w:p>
      <w:pPr>
        <w:ind w:left="1260" w:right="239"/>
        <w:spacing w:after="0" w:line="266" w:lineRule="auto"/>
        <w:rPr>
          <w:sz w:val="20"/>
          <w:szCs w:val="20"/>
          <w:color w:val="auto"/>
        </w:rPr>
      </w:pPr>
      <w:r>
        <w:rPr>
          <w:rFonts w:ascii="Times New Roman" w:cs="Times New Roman" w:eastAsia="Times New Roman" w:hAnsi="Times New Roman"/>
          <w:sz w:val="14"/>
          <w:szCs w:val="14"/>
          <w:color w:val="auto"/>
        </w:rPr>
        <w:t>Distributions on the debt securities other than those represented by global securities will be made in the designated currency against surrender of the debt securities at the principal corporate trust office or agency of the trustee in New York, New York. Payment will be made to the registered holder at the close of business on the record date for such payment. Interest payments will be made at the principal corporate trust office or agency of the trustee in New York, New York, or by a check mailed to the holder at his registered address. Payments in any other manner will be specified in the applicable prospectus supplement.</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Calculation Agents</w:t>
      </w:r>
    </w:p>
    <w:p>
      <w:pPr>
        <w:spacing w:after="0" w:line="99" w:lineRule="exact"/>
        <w:rPr>
          <w:sz w:val="20"/>
          <w:szCs w:val="20"/>
          <w:color w:val="auto"/>
        </w:rPr>
      </w:pPr>
    </w:p>
    <w:p>
      <w:pPr>
        <w:ind w:left="1260" w:right="119"/>
        <w:spacing w:after="0" w:line="269" w:lineRule="auto"/>
        <w:rPr>
          <w:sz w:val="20"/>
          <w:szCs w:val="20"/>
          <w:color w:val="auto"/>
        </w:rPr>
      </w:pPr>
      <w:r>
        <w:rPr>
          <w:rFonts w:ascii="Times New Roman" w:cs="Times New Roman" w:eastAsia="Times New Roman" w:hAnsi="Times New Roman"/>
          <w:sz w:val="14"/>
          <w:szCs w:val="14"/>
          <w:color w:val="auto"/>
        </w:rPr>
        <w:t>Calculations relating to floating rate debt securities will be made by the calculation agent, an institution that we appoint as our agent for this purpose. We may appoint one of our affiliates as calculation agent. We may appoint a different institution to serve as calculation agent from time to time after the original issue date of the debt security without your consent and without notifying you of the change. The initial calculation agent will be identified in the applicable prospectus supplement.</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9" w:lineRule="exact"/>
        <w:rPr>
          <w:sz w:val="20"/>
          <w:szCs w:val="20"/>
          <w:color w:val="auto"/>
        </w:rPr>
      </w:pPr>
    </w:p>
    <w:p>
      <w:pPr>
        <w:ind w:left="1260" w:right="259"/>
        <w:spacing w:after="0" w:line="269" w:lineRule="auto"/>
        <w:rPr>
          <w:sz w:val="20"/>
          <w:szCs w:val="20"/>
          <w:color w:val="auto"/>
        </w:rPr>
      </w:pPr>
      <w:r>
        <w:rPr>
          <w:rFonts w:ascii="Times New Roman" w:cs="Times New Roman" w:eastAsia="Times New Roman" w:hAnsi="Times New Roman"/>
          <w:sz w:val="14"/>
          <w:szCs w:val="14"/>
          <w:color w:val="auto"/>
        </w:rPr>
        <w:t>The debt securities may be presented for exchange, and debt securities other than a global security may be presented for registration of transfer, at the principal corporate trust office or agency of the trustee in New York, New York. Holders will not have to pay any service charge for any registration of transfer or exchange of debt securities, but we may require payment of a sum sufficient to cover any tax or other governmental charge payable in connection with such registration of transfer or exchange of debt securities. (Section 3.05)</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Legal Ownership of Debt Securities</w:t>
      </w:r>
    </w:p>
    <w:p>
      <w:pPr>
        <w:spacing w:after="0" w:line="99" w:lineRule="exact"/>
        <w:rPr>
          <w:sz w:val="20"/>
          <w:szCs w:val="20"/>
          <w:color w:val="auto"/>
        </w:rPr>
      </w:pPr>
    </w:p>
    <w:p>
      <w:pPr>
        <w:ind w:left="1260" w:right="259"/>
        <w:spacing w:after="0" w:line="269" w:lineRule="auto"/>
        <w:rPr>
          <w:sz w:val="20"/>
          <w:szCs w:val="20"/>
          <w:color w:val="auto"/>
        </w:rPr>
      </w:pPr>
      <w:r>
        <w:rPr>
          <w:rFonts w:ascii="Times New Roman" w:cs="Times New Roman" w:eastAsia="Times New Roman" w:hAnsi="Times New Roman"/>
          <w:sz w:val="14"/>
          <w:szCs w:val="14"/>
          <w:color w:val="auto"/>
        </w:rPr>
        <w:t>Unless the prospectus supplement specifies otherwise, we will issue debt securities in registered form in the form of a global security. Accordingly, the debt securities will be represented by one or more global securities registered in the name of a financial institution that holds them as depositary on behalf of other financial institutions that participate in the depositary’s book-entry system. These participating institutions, in turn, hold beneficial interests in the debt securities on behalf of themselves or their customers.</w:t>
      </w:r>
    </w:p>
    <w:p>
      <w:pPr>
        <w:spacing w:after="0" w:line="140" w:lineRule="exact"/>
        <w:rPr>
          <w:sz w:val="20"/>
          <w:szCs w:val="20"/>
          <w:color w:val="auto"/>
        </w:rPr>
      </w:pPr>
    </w:p>
    <w:p>
      <w:pPr>
        <w:ind w:left="1260" w:right="139"/>
        <w:spacing w:after="0" w:line="264" w:lineRule="auto"/>
        <w:rPr>
          <w:sz w:val="20"/>
          <w:szCs w:val="20"/>
          <w:color w:val="auto"/>
        </w:rPr>
      </w:pPr>
      <w:r>
        <w:rPr>
          <w:rFonts w:ascii="Times New Roman" w:cs="Times New Roman" w:eastAsia="Times New Roman" w:hAnsi="Times New Roman"/>
          <w:sz w:val="14"/>
          <w:szCs w:val="14"/>
          <w:color w:val="auto"/>
        </w:rPr>
        <w:t>For registered debt securities, only the person in whose name a debt security is registered is recognized under the indenture as the holder of that debt security. (Section 3.08) Debt securities issued in global form will be issued in the form of a global security registered in the name of the depositary or its nominees. Consequently, for debt securities issued in global form, we will recognize only the depositary as the holder of the debt securities and we will make all payments on the debt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86" w:lineRule="exact"/>
        <w:rPr>
          <w:sz w:val="20"/>
          <w:szCs w:val="20"/>
          <w:color w:val="auto"/>
        </w:rPr>
      </w:pPr>
    </w:p>
    <w:p>
      <w:pPr>
        <w:ind w:left="1260" w:right="519" w:firstLine="351"/>
        <w:spacing w:after="0" w:line="294"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purchase contracts or units issued by us that may be offered and sold pursuant to this prospectus.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9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SECURITY HOLDERS</w:t>
      </w:r>
    </w:p>
    <w:p>
      <w:pPr>
        <w:spacing w:after="0" w:line="186" w:lineRule="exact"/>
        <w:rPr>
          <w:sz w:val="20"/>
          <w:szCs w:val="20"/>
          <w:color w:val="auto"/>
        </w:rPr>
      </w:pPr>
    </w:p>
    <w:p>
      <w:pPr>
        <w:ind w:left="1260" w:right="139"/>
        <w:spacing w:after="0" w:line="294" w:lineRule="auto"/>
        <w:rPr>
          <w:sz w:val="20"/>
          <w:szCs w:val="20"/>
          <w:color w:val="auto"/>
        </w:rPr>
      </w:pPr>
      <w:r>
        <w:rPr>
          <w:rFonts w:ascii="Times New Roman" w:cs="Times New Roman" w:eastAsia="Times New Roman" w:hAnsi="Times New Roman"/>
          <w:sz w:val="14"/>
          <w:szCs w:val="14"/>
          <w:color w:val="auto"/>
        </w:rPr>
        <w:t>Information about selling security holders, if any, will be set forth in a prospectus supplement, in a post-effective amendment, or in filings we make with the SEC under the Exchange Act that are incorporated by reference.</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9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or any selling stockholders named in a prospectus supplement may sell the offered securities from time to time:</w:t>
      </w:r>
    </w:p>
    <w:p>
      <w:pPr>
        <w:spacing w:after="0" w:line="108" w:lineRule="exact"/>
        <w:rPr>
          <w:sz w:val="20"/>
          <w:szCs w:val="20"/>
          <w:color w:val="auto"/>
        </w:rPr>
      </w:pPr>
    </w:p>
    <w:p>
      <w:pPr>
        <w:ind w:left="2020" w:hanging="339"/>
        <w:spacing w:after="0"/>
        <w:tabs>
          <w:tab w:leader="none" w:pos="2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108" w:lineRule="exact"/>
        <w:rPr>
          <w:rFonts w:ascii="Times New Roman" w:cs="Times New Roman" w:eastAsia="Times New Roman" w:hAnsi="Times New Roman"/>
          <w:sz w:val="14"/>
          <w:szCs w:val="14"/>
          <w:color w:val="auto"/>
        </w:rPr>
      </w:pPr>
    </w:p>
    <w:p>
      <w:pPr>
        <w:ind w:left="2020" w:hanging="339"/>
        <w:spacing w:after="0"/>
        <w:tabs>
          <w:tab w:leader="none" w:pos="2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84" w:lineRule="exact"/>
        <w:rPr>
          <w:sz w:val="20"/>
          <w:szCs w:val="20"/>
          <w:color w:val="auto"/>
        </w:rPr>
      </w:pPr>
    </w:p>
    <w:p>
      <w:pPr>
        <w:ind w:left="1260" w:right="719"/>
        <w:spacing w:after="0" w:line="294"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123" w:lineRule="exact"/>
        <w:rPr>
          <w:sz w:val="20"/>
          <w:szCs w:val="20"/>
          <w:color w:val="auto"/>
        </w:rPr>
      </w:pPr>
    </w:p>
    <w:p>
      <w:pPr>
        <w:ind w:left="1260" w:right="139"/>
        <w:spacing w:after="0" w:line="269" w:lineRule="auto"/>
        <w:rPr>
          <w:sz w:val="20"/>
          <w:szCs w:val="20"/>
          <w:color w:val="auto"/>
        </w:rPr>
      </w:pPr>
      <w:r>
        <w:rPr>
          <w:rFonts w:ascii="Times New Roman" w:cs="Times New Roman" w:eastAsia="Times New Roman" w:hAnsi="Times New Roman"/>
          <w:sz w:val="14"/>
          <w:szCs w:val="14"/>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40" w:lineRule="exact"/>
        <w:rPr>
          <w:sz w:val="20"/>
          <w:szCs w:val="20"/>
          <w:color w:val="auto"/>
        </w:rPr>
      </w:pPr>
    </w:p>
    <w:p>
      <w:pPr>
        <w:ind w:left="1260" w:right="179"/>
        <w:spacing w:after="0" w:line="264" w:lineRule="auto"/>
        <w:rPr>
          <w:sz w:val="20"/>
          <w:szCs w:val="20"/>
          <w:color w:val="auto"/>
        </w:rPr>
      </w:pPr>
      <w:r>
        <w:rPr>
          <w:rFonts w:ascii="Times New Roman" w:cs="Times New Roman" w:eastAsia="Times New Roman" w:hAnsi="Times New Roman"/>
          <w:sz w:val="14"/>
          <w:szCs w:val="14"/>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 In addition, we or any selling security holders may sell the securities directly to one or more purchasers. In this case, no underwriters, dealers or agents would be involved.</w:t>
      </w:r>
    </w:p>
    <w:p>
      <w:pPr>
        <w:spacing w:after="0" w:line="144" w:lineRule="exact"/>
        <w:rPr>
          <w:sz w:val="20"/>
          <w:szCs w:val="20"/>
          <w:color w:val="auto"/>
        </w:rPr>
      </w:pPr>
    </w:p>
    <w:p>
      <w:pPr>
        <w:ind w:left="1260" w:right="319"/>
        <w:spacing w:after="0" w:line="275" w:lineRule="auto"/>
        <w:rPr>
          <w:sz w:val="20"/>
          <w:szCs w:val="20"/>
          <w:color w:val="auto"/>
        </w:rPr>
      </w:pPr>
      <w:r>
        <w:rPr>
          <w:rFonts w:ascii="Times New Roman" w:cs="Times New Roman" w:eastAsia="Times New Roman" w:hAnsi="Times New Roman"/>
          <w:sz w:val="14"/>
          <w:szCs w:val="14"/>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the prospectus is delivered, we will sell such securities to the dealer, as principal.</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dealer may then resell such securities to the public at varying prices to be determined by such dealer at the time of resale.</w:t>
      </w:r>
    </w:p>
    <w:p>
      <w:pPr>
        <w:spacing w:after="0" w:line="170" w:lineRule="exact"/>
        <w:rPr>
          <w:sz w:val="20"/>
          <w:szCs w:val="20"/>
          <w:color w:val="auto"/>
        </w:rPr>
      </w:pPr>
    </w:p>
    <w:p>
      <w:pPr>
        <w:ind w:left="1260" w:right="259"/>
        <w:spacing w:after="0" w:line="275" w:lineRule="auto"/>
        <w:rPr>
          <w:sz w:val="20"/>
          <w:szCs w:val="20"/>
          <w:color w:val="auto"/>
        </w:rPr>
      </w:pPr>
      <w:r>
        <w:rPr>
          <w:rFonts w:ascii="Times New Roman" w:cs="Times New Roman" w:eastAsia="Times New Roman" w:hAnsi="Times New Roman"/>
          <w:sz w:val="14"/>
          <w:szCs w:val="14"/>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36" w:lineRule="exact"/>
        <w:rPr>
          <w:sz w:val="20"/>
          <w:szCs w:val="20"/>
          <w:color w:val="auto"/>
        </w:rPr>
      </w:pPr>
    </w:p>
    <w:p>
      <w:pPr>
        <w:ind w:left="1260" w:right="139"/>
        <w:spacing w:after="0" w:line="264"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9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319"/>
        <w:spacing w:after="0" w:line="275" w:lineRule="auto"/>
        <w:rPr>
          <w:sz w:val="20"/>
          <w:szCs w:val="20"/>
          <w:color w:val="auto"/>
        </w:rPr>
      </w:pPr>
      <w:r>
        <w:rPr>
          <w:rFonts w:ascii="Times New Roman" w:cs="Times New Roman" w:eastAsia="Times New Roman" w:hAnsi="Times New Roman"/>
          <w:sz w:val="14"/>
          <w:szCs w:val="14"/>
          <w:color w:val="auto"/>
        </w:rPr>
        <w:t>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6" w:lineRule="exact"/>
        <w:rPr>
          <w:sz w:val="20"/>
          <w:szCs w:val="20"/>
          <w:color w:val="auto"/>
        </w:rPr>
      </w:pPr>
    </w:p>
    <w:p>
      <w:pPr>
        <w:ind w:left="1260" w:right="499"/>
        <w:spacing w:after="0" w:line="294" w:lineRule="auto"/>
        <w:rPr>
          <w:sz w:val="20"/>
          <w:szCs w:val="20"/>
          <w:color w:val="auto"/>
        </w:rPr>
      </w:pPr>
      <w:r>
        <w:rPr>
          <w:rFonts w:ascii="Times New Roman" w:cs="Times New Roman" w:eastAsia="Times New Roman" w:hAnsi="Times New Roman"/>
          <w:sz w:val="14"/>
          <w:szCs w:val="14"/>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To the extent required, this prospectus may be amended and/or supplemented from time to time to describe a specific plan of distribution.</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6" w:lineRule="exact"/>
        <w:rPr>
          <w:sz w:val="20"/>
          <w:szCs w:val="20"/>
          <w:color w:val="auto"/>
        </w:rPr>
      </w:pPr>
    </w:p>
    <w:p>
      <w:pPr>
        <w:ind w:left="1260" w:right="439"/>
        <w:spacing w:after="0" w:line="275" w:lineRule="auto"/>
        <w:rPr>
          <w:sz w:val="20"/>
          <w:szCs w:val="20"/>
          <w:color w:val="auto"/>
        </w:rPr>
      </w:pPr>
      <w:r>
        <w:rPr>
          <w:rFonts w:ascii="Times New Roman" w:cs="Times New Roman" w:eastAsia="Times New Roman" w:hAnsi="Times New Roman"/>
          <w:sz w:val="14"/>
          <w:szCs w:val="14"/>
          <w:color w:val="auto"/>
        </w:rPr>
        <w:t>The validity of the securities offered hereby will be passed upon for Integra LifeSciences Holdings Corporation by Sullivan &amp; Cromwell LLP, New York, New York. Additional legal matters may be passed upon for us or any underwriters, dealers or agents, by counsel that we will name in the applicable prospectus supplement.</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9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6" w:lineRule="exact"/>
        <w:rPr>
          <w:sz w:val="20"/>
          <w:szCs w:val="20"/>
          <w:color w:val="auto"/>
        </w:rPr>
      </w:pPr>
    </w:p>
    <w:p>
      <w:pPr>
        <w:ind w:left="1260" w:right="299"/>
        <w:spacing w:after="0" w:line="269"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9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05"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9" w:lineRule="exact"/>
        <w:rPr>
          <w:sz w:val="20"/>
          <w:szCs w:val="20"/>
          <w:color w:val="auto"/>
        </w:rPr>
      </w:pPr>
    </w:p>
    <w:p>
      <w:pPr>
        <w:ind w:left="1260" w:right="439"/>
        <w:spacing w:after="0" w:line="294"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59" w:lineRule="exact"/>
        <w:rPr>
          <w:sz w:val="20"/>
          <w:szCs w:val="20"/>
          <w:color w:val="auto"/>
        </w:rPr>
      </w:pPr>
    </w:p>
    <w:tbl>
      <w:tblPr>
        <w:tblLayout w:type="fixed"/>
        <w:tblInd w:w="2660" w:type="dxa"/>
        <w:tblCellMar>
          <w:top w:w="0" w:type="dxa"/>
          <w:left w:w="0" w:type="dxa"/>
          <w:bottom w:w="0" w:type="dxa"/>
          <w:right w:w="0" w:type="dxa"/>
        </w:tblCellMar>
      </w:tblPr>
      <w:tr>
        <w:trPr>
          <w:trHeight w:val="1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Printing fees</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Trustee, depositary, warrant agent and transfer agent fees and expenses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Ratings Agency fees</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4"/>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Borders>
              <w:top w:val="single" w:sz="8" w:color="auto"/>
              <w:bottom w:val="single" w:sz="8" w:color="auto"/>
            </w:tcBorders>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0" w:lineRule="exact"/>
        <w:rPr>
          <w:sz w:val="20"/>
          <w:szCs w:val="20"/>
          <w:color w:val="auto"/>
        </w:rPr>
      </w:pPr>
    </w:p>
    <w:p>
      <w:pPr>
        <w:ind w:left="1600" w:right="639" w:hanging="350"/>
        <w:spacing w:after="0" w:line="267" w:lineRule="auto"/>
        <w:tabs>
          <w:tab w:leader="none" w:pos="1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the SEC registration fee will be paid at the time of any particular offering of securities under the registration statement, and is therefore not currently determinable.</w:t>
      </w:r>
    </w:p>
    <w:p>
      <w:pPr>
        <w:ind w:left="1600" w:hanging="350"/>
        <w:spacing w:after="0"/>
        <w:tabs>
          <w:tab w:leader="none" w:pos="1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87"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5" w:lineRule="exact"/>
        <w:rPr>
          <w:sz w:val="20"/>
          <w:szCs w:val="20"/>
          <w:color w:val="auto"/>
        </w:rPr>
      </w:pPr>
    </w:p>
    <w:p>
      <w:pPr>
        <w:ind w:left="1260" w:right="859"/>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 following summary is qualified in its entirety by reference to the complete text of any statutes referred to below and the certificate of incorporation and bylaws of Integra LifeSciences Holdings Corporation.</w:t>
      </w:r>
    </w:p>
    <w:p>
      <w:pPr>
        <w:spacing w:after="0" w:line="32" w:lineRule="exact"/>
        <w:rPr>
          <w:sz w:val="20"/>
          <w:szCs w:val="20"/>
          <w:color w:val="auto"/>
        </w:rPr>
      </w:pPr>
    </w:p>
    <w:p>
      <w:pPr>
        <w:ind w:left="1260" w:right="199"/>
        <w:spacing w:after="0" w:line="261" w:lineRule="auto"/>
        <w:rPr>
          <w:sz w:val="20"/>
          <w:szCs w:val="20"/>
          <w:color w:val="auto"/>
        </w:rPr>
      </w:pPr>
      <w:r>
        <w:rPr>
          <w:rFonts w:ascii="Times New Roman" w:cs="Times New Roman" w:eastAsia="Times New Roman" w:hAnsi="Times New Roman"/>
          <w:sz w:val="14"/>
          <w:szCs w:val="14"/>
          <w:color w:val="auto"/>
        </w:rPr>
        <w:t>The Company is organized under the laws of the State of Delaware. As permitted by the Delaware General Corporation Law, or DGCL, Article 7 of the Company’s certificate of incorporation provides that our directors and officers shall not be personally liable to the Company or our stockholders for monetary damages for breach of fiduciary duty as directors or officers, except to the extent that Section 102(b)(7) (or any successor provision) of the DGCL, as amended from time, expressly provides that the liability of a director or officer may not be eliminated or limited. Under Section 101(b)(7) of the DGCL, liability of a director or officer may not be limited (i) for any breach of a director’s or officer’s duty of loyalty to the Company or its stockholders, (ii) for acts or omissions not in good faith or which involve intentional misconduct or a knowing violation of law, (iii) under Section 174 of the DGCL, relating to prohibited dividends or distributions or the repurchase or redemption of stock, (iv) for any transaction from which the director or officer derived an improper personal benefit, or (v) for an officer in any action by or in the right of the Company. In addition, Article 6 of our bylaws provides for indemnification of our officers and directors to the fullest extent permitted under Delaware law.</w:t>
      </w:r>
    </w:p>
    <w:p>
      <w:pPr>
        <w:spacing w:after="0" w:line="147" w:lineRule="exact"/>
        <w:rPr>
          <w:sz w:val="20"/>
          <w:szCs w:val="20"/>
          <w:color w:val="auto"/>
        </w:rPr>
      </w:pPr>
    </w:p>
    <w:p>
      <w:pPr>
        <w:ind w:left="1260" w:right="179"/>
        <w:spacing w:after="0" w:line="262" w:lineRule="auto"/>
        <w:rPr>
          <w:sz w:val="20"/>
          <w:szCs w:val="20"/>
          <w:color w:val="auto"/>
        </w:rPr>
      </w:pPr>
      <w:r>
        <w:rPr>
          <w:rFonts w:ascii="Times New Roman" w:cs="Times New Roman" w:eastAsia="Times New Roman" w:hAnsi="Times New Roman"/>
          <w:sz w:val="14"/>
          <w:szCs w:val="14"/>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spacing w:after="0" w:line="262" w:lineRule="auto"/>
        <w:rPr>
          <w:sz w:val="20"/>
          <w:szCs w:val="20"/>
          <w:color w:val="auto"/>
        </w:rPr>
      </w:pPr>
      <w:r>
        <w:rPr>
          <w:rFonts w:ascii="Times New Roman" w:cs="Times New Roman" w:eastAsia="Times New Roman" w:hAnsi="Times New Roman"/>
          <w:sz w:val="14"/>
          <w:szCs w:val="14"/>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5" w:lineRule="exact"/>
        <w:rPr>
          <w:sz w:val="20"/>
          <w:szCs w:val="20"/>
          <w:color w:val="auto"/>
        </w:rPr>
      </w:pPr>
    </w:p>
    <w:p>
      <w:pPr>
        <w:ind w:left="1260" w:right="139"/>
        <w:spacing w:after="0" w:line="264" w:lineRule="auto"/>
        <w:rPr>
          <w:sz w:val="20"/>
          <w:szCs w:val="20"/>
          <w:color w:val="auto"/>
        </w:rPr>
      </w:pPr>
      <w:r>
        <w:rPr>
          <w:rFonts w:ascii="Times New Roman" w:cs="Times New Roman" w:eastAsia="Times New Roman" w:hAnsi="Times New Roman"/>
          <w:sz w:val="14"/>
          <w:szCs w:val="14"/>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w:t>
      </w:r>
    </w:p>
    <w:p>
      <w:pPr>
        <w:spacing w:after="0" w:line="144" w:lineRule="exact"/>
        <w:rPr>
          <w:sz w:val="20"/>
          <w:szCs w:val="20"/>
          <w:color w:val="auto"/>
        </w:rPr>
      </w:pPr>
    </w:p>
    <w:p>
      <w:pPr>
        <w:ind w:left="1260" w:right="159"/>
        <w:spacing w:after="0" w:line="266" w:lineRule="auto"/>
        <w:rPr>
          <w:sz w:val="20"/>
          <w:szCs w:val="20"/>
          <w:color w:val="auto"/>
        </w:rPr>
      </w:pPr>
      <w:r>
        <w:rPr>
          <w:rFonts w:ascii="Times New Roman" w:cs="Times New Roman" w:eastAsia="Times New Roman" w:hAnsi="Times New Roman"/>
          <w:sz w:val="14"/>
          <w:szCs w:val="14"/>
          <w:color w:val="auto"/>
        </w:rPr>
        <w:t>Under the DGCL, the Company has the power to purchase and maintain insurance on behalf of any person who is or was a director, officer, employee or agent or is or was serving at the Company’s request as a director, officer, employee, agent, fiduciary or other representative of another corporation, partnership, joint venture, trust, employee benefit plan or other enterprise, against any liability asserted against them and incurred by them in any such capacity, or arising out of their status as such, whether or not the Company would have the power to indemnify them against such liability under the provisions of its bylaws. The Company has purchased directors and officers liability insurance.</w:t>
      </w:r>
    </w:p>
    <w:p>
      <w:pPr>
        <w:spacing w:after="0" w:line="142" w:lineRule="exact"/>
        <w:rPr>
          <w:sz w:val="20"/>
          <w:szCs w:val="20"/>
          <w:color w:val="auto"/>
        </w:rPr>
      </w:pPr>
    </w:p>
    <w:p>
      <w:pPr>
        <w:ind w:left="1260" w:right="139"/>
        <w:spacing w:after="0" w:line="262"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all of its non-employee directors and executive officers that require it to indemnify these persons to the fullest extent permitted by applicable law against expenses, judgments, fines and amounts paid in settlement actually and reasonably incurred by the indemnitee, or on their behalf, as applicable, in connection with such third-party proceeding or any claim, issue or matter therein, if the indemnitee acted in good faith and in a manner they reasonably believed to be in, or not opposed to, the best interests of the Company and, in the case of a criminal action or proceeding, had no reasonable cause to believe that his or her conduct was unlawful. The indemnification agreements further provide for the indemnification of any such non-employee director or executive officer against all expenses incurred in the successful defense of any proceeding, whether on the merits or otherwise, in a proceeding or in defense of any claim, issue or matter therein, in whole or in part, and also establish procedures that will apply if a claim for indemnification arises under the indemnification agreements.</w:t>
      </w:r>
    </w:p>
    <w:p>
      <w:pPr>
        <w:spacing w:after="0" w:line="145" w:lineRule="exact"/>
        <w:rPr>
          <w:sz w:val="20"/>
          <w:szCs w:val="20"/>
          <w:color w:val="auto"/>
        </w:rPr>
      </w:pPr>
    </w:p>
    <w:p>
      <w:pPr>
        <w:jc w:val="both"/>
        <w:ind w:left="1260" w:right="179"/>
        <w:spacing w:after="0" w:line="27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040" w:type="dxa"/>
            <w:vAlign w:val="bottom"/>
            <w:gridSpan w:val="24"/>
          </w:tcPr>
          <w:p>
            <w:pPr>
              <w:ind w:left="18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0" w:type="dxa"/>
            <w:vAlign w:val="bottom"/>
          </w:tcPr>
          <w:p>
            <w:pPr>
              <w:spacing w:after="0"/>
              <w:rPr>
                <w:sz w:val="1"/>
                <w:szCs w:val="1"/>
                <w:color w:val="auto"/>
              </w:rPr>
            </w:pPr>
          </w:p>
        </w:tc>
      </w:tr>
      <w:tr>
        <w:trPr>
          <w:trHeight w:val="294"/>
        </w:trPr>
        <w:tc>
          <w:tcPr>
            <w:tcW w:w="6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17"/>
            <w:vMerge w:val="restart"/>
          </w:tcPr>
          <w:p>
            <w:pPr>
              <w:ind w:left="12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6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4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400" w:type="dxa"/>
            <w:vAlign w:val="bottom"/>
          </w:tcPr>
          <w:p>
            <w:pPr>
              <w:spacing w:after="0"/>
              <w:rPr>
                <w:sz w:val="21"/>
                <w:szCs w:val="21"/>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3.1(a)</w:t>
            </w:r>
          </w:p>
        </w:tc>
        <w:tc>
          <w:tcPr>
            <w:tcW w:w="400" w:type="dxa"/>
            <w:vAlign w:val="bottom"/>
          </w:tcPr>
          <w:p>
            <w:pPr>
              <w:spacing w:after="0"/>
              <w:rPr>
                <w:sz w:val="19"/>
                <w:szCs w:val="19"/>
                <w:color w:val="auto"/>
              </w:rPr>
            </w:pPr>
          </w:p>
        </w:tc>
        <w:tc>
          <w:tcPr>
            <w:tcW w:w="732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Amended and Restated Certificate of Incorporation of Integra LifeSciences Holdings Corporation (incorporated by reference to</w:t>
              </w:r>
            </w:hyperlink>
          </w:p>
        </w:tc>
        <w:tc>
          <w:tcPr>
            <w:tcW w:w="3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40" w:type="dxa"/>
            <w:vAlign w:val="bottom"/>
            <w:gridSpan w:val="23"/>
          </w:tcPr>
          <w:p>
            <w:pPr>
              <w:spacing w:after="0" w:line="153" w:lineRule="exact"/>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Exhibit 3.1(a) to the Company’s Annual Report on Form 10-K for the year ended December 31, 2005).</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3.1(b)</w:t>
            </w:r>
          </w:p>
        </w:tc>
        <w:tc>
          <w:tcPr>
            <w:tcW w:w="400" w:type="dxa"/>
            <w:vAlign w:val="bottom"/>
          </w:tcPr>
          <w:p>
            <w:pPr>
              <w:spacing w:after="0"/>
              <w:rPr>
                <w:sz w:val="20"/>
                <w:szCs w:val="20"/>
                <w:color w:val="auto"/>
              </w:rPr>
            </w:pPr>
          </w:p>
        </w:tc>
        <w:tc>
          <w:tcPr>
            <w:tcW w:w="764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Certificate of Amendment to Amended and Restated Certificate of Incorporation of Integra LifeSciences Holdings Corporation dated</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60" w:type="dxa"/>
            <w:vAlign w:val="bottom"/>
            <w:tcBorders>
              <w:bottom w:val="single" w:sz="8" w:color="0000EE"/>
            </w:tcBorders>
            <w:gridSpan w:val="17"/>
          </w:tcPr>
          <w:p>
            <w:pPr>
              <w:spacing w:after="0" w:line="153" w:lineRule="exact"/>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May 22, 1998 (incorporated by reference to Exhibit 3.1(b) to the Company’s Annual Report on Form 10-K for the year ended</w:t>
              </w:r>
            </w:hyperlink>
          </w:p>
        </w:tc>
        <w:tc>
          <w:tcPr>
            <w:tcW w:w="3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760" w:type="dxa"/>
            <w:vAlign w:val="bottom"/>
            <w:tcBorders>
              <w:bottom w:val="single" w:sz="8" w:color="0000EE"/>
            </w:tcBorders>
            <w:gridSpan w:val="8"/>
          </w:tcPr>
          <w:p>
            <w:pPr>
              <w:spacing w:after="0" w:line="153" w:lineRule="exact"/>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December 31, 1998 bearing Commission File Number 0-26224).</w:t>
              </w:r>
            </w:hyperlink>
          </w:p>
        </w:tc>
        <w:tc>
          <w:tcPr>
            <w:tcW w:w="38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3.1(c)</w:t>
            </w:r>
          </w:p>
        </w:tc>
        <w:tc>
          <w:tcPr>
            <w:tcW w:w="400" w:type="dxa"/>
            <w:vAlign w:val="bottom"/>
          </w:tcPr>
          <w:p>
            <w:pPr>
              <w:spacing w:after="0"/>
              <w:rPr>
                <w:sz w:val="20"/>
                <w:szCs w:val="20"/>
                <w:color w:val="auto"/>
              </w:rPr>
            </w:pPr>
          </w:p>
        </w:tc>
        <w:tc>
          <w:tcPr>
            <w:tcW w:w="764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Certificate of Amendment to Amended and Restated Certificate of Incorporation of Integra LifeSciences Holdings Corporation dated</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40" w:type="dxa"/>
            <w:vAlign w:val="bottom"/>
            <w:gridSpan w:val="23"/>
          </w:tcPr>
          <w:p>
            <w:pPr>
              <w:spacing w:after="0" w:line="153"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May 17, 1999 (incorporated by reference to Exhibit 3.1(c) to the Company’s Annual Report on Form 10-K for the year ended</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40" w:type="dxa"/>
            <w:vAlign w:val="bottom"/>
            <w:tcBorders>
              <w:top w:val="single" w:sz="8" w:color="0000EE"/>
            </w:tcBorders>
            <w:gridSpan w:val="16"/>
          </w:tcPr>
          <w:p>
            <w:pPr>
              <w:spacing w:after="0" w:line="153"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December 31, 2004).</w:t>
              </w:r>
            </w:hyperlink>
          </w:p>
        </w:tc>
        <w:tc>
          <w:tcPr>
            <w:tcW w:w="4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3.1(d)</w:t>
            </w:r>
          </w:p>
        </w:tc>
        <w:tc>
          <w:tcPr>
            <w:tcW w:w="400" w:type="dxa"/>
            <w:vAlign w:val="bottom"/>
          </w:tcPr>
          <w:p>
            <w:pPr>
              <w:spacing w:after="0"/>
              <w:rPr>
                <w:sz w:val="20"/>
                <w:szCs w:val="20"/>
                <w:color w:val="auto"/>
              </w:rPr>
            </w:pPr>
          </w:p>
        </w:tc>
        <w:tc>
          <w:tcPr>
            <w:tcW w:w="764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Certificate of Amendment to Amended and Restated Certificate of Incorporation of Integra LifeSciences Holdings Corporation dated</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560" w:type="dxa"/>
            <w:vAlign w:val="bottom"/>
            <w:tcBorders>
              <w:bottom w:val="single" w:sz="8" w:color="0000EE"/>
            </w:tcBorders>
            <w:gridSpan w:val="21"/>
          </w:tcPr>
          <w:p>
            <w:pPr>
              <w:spacing w:after="0" w:line="153"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December 21, 2016 (incorporated by reference to Exhibit 3.1 to the Company’s Current Report on Form 8-K filed on December 22,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gridSpan w:val="2"/>
          </w:tcPr>
          <w:p>
            <w:pPr>
              <w:ind w:left="400"/>
              <w:spacing w:after="0" w:line="153" w:lineRule="exact"/>
              <w:rPr>
                <w:rFonts w:ascii="Times New Roman" w:cs="Times New Roman" w:eastAsia="Times New Roman" w:hAnsi="Times New Roman"/>
                <w:sz w:val="14"/>
                <w:szCs w:val="14"/>
                <w:color w:val="0000EE"/>
                <w:w w:val="93"/>
              </w:rPr>
            </w:pPr>
            <w:hyperlink r:id="rId60">
              <w:r>
                <w:rPr>
                  <w:rFonts w:ascii="Times New Roman" w:cs="Times New Roman" w:eastAsia="Times New Roman" w:hAnsi="Times New Roman"/>
                  <w:sz w:val="14"/>
                  <w:szCs w:val="14"/>
                  <w:color w:val="0000EE"/>
                  <w:w w:val="93"/>
                </w:rPr>
                <w:t>2016).</w:t>
              </w:r>
            </w:hyperlink>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3.1(e)</w:t>
            </w:r>
          </w:p>
        </w:tc>
        <w:tc>
          <w:tcPr>
            <w:tcW w:w="400" w:type="dxa"/>
            <w:vAlign w:val="bottom"/>
          </w:tcPr>
          <w:p>
            <w:pPr>
              <w:spacing w:after="0"/>
              <w:rPr>
                <w:sz w:val="20"/>
                <w:szCs w:val="20"/>
                <w:color w:val="auto"/>
              </w:rPr>
            </w:pPr>
          </w:p>
        </w:tc>
        <w:tc>
          <w:tcPr>
            <w:tcW w:w="76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Certificate of Amendment to Amended and Restated Certificate of Incorporation of the Registrant dated May 9, 2024 (Incorporated</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40" w:type="dxa"/>
            <w:vAlign w:val="bottom"/>
            <w:gridSpan w:val="23"/>
          </w:tcPr>
          <w:p>
            <w:pPr>
              <w:spacing w:after="0" w:line="153"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by reference to Exhibit 3.1 to the Registrant’s Quarterly Report on Form 10-Q for the quarter ended September 30, 2024).</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400" w:type="dxa"/>
            <w:vAlign w:val="bottom"/>
          </w:tcPr>
          <w:p>
            <w:pPr>
              <w:spacing w:after="0"/>
              <w:rPr>
                <w:sz w:val="20"/>
                <w:szCs w:val="20"/>
                <w:color w:val="auto"/>
              </w:rPr>
            </w:pPr>
          </w:p>
        </w:tc>
        <w:tc>
          <w:tcPr>
            <w:tcW w:w="764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Third Amended and Restated Bylaws of Integra LifeSciences Holdings Corporation, effective as of February 21, 2023 (incorporated</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40" w:type="dxa"/>
            <w:vAlign w:val="bottom"/>
            <w:gridSpan w:val="23"/>
          </w:tcPr>
          <w:p>
            <w:pPr>
              <w:spacing w:after="0" w:line="153"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by reference to Exhibit 3.3 to the Company’s Annual Report on Form 10-K for the year ended December 31, 2022).</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400" w:type="dxa"/>
            <w:vAlign w:val="bottom"/>
          </w:tcPr>
          <w:p>
            <w:pPr>
              <w:spacing w:after="0"/>
              <w:rPr>
                <w:sz w:val="20"/>
                <w:szCs w:val="20"/>
                <w:color w:val="auto"/>
              </w:rPr>
            </w:pPr>
          </w:p>
        </w:tc>
        <w:tc>
          <w:tcPr>
            <w:tcW w:w="7640" w:type="dxa"/>
            <w:vAlign w:val="bottom"/>
            <w:gridSpan w:val="23"/>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Form of Specimen Certificate Representing Common Stock (incorporated by reference to Exhibit 4.3 to the Company’s Form</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0" w:type="dxa"/>
            <w:vAlign w:val="bottom"/>
            <w:tcBorders>
              <w:top w:val="single" w:sz="8" w:color="0000EE"/>
            </w:tcBorders>
            <w:gridSpan w:val="15"/>
          </w:tcPr>
          <w:p>
            <w:pPr>
              <w:spacing w:after="0" w:line="153"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S-3ASR filed on September 20, 2007 bearing Commission File Number 333-146187).</w:t>
              </w:r>
            </w:hyperlink>
          </w:p>
        </w:tc>
        <w:tc>
          <w:tcPr>
            <w:tcW w:w="4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00" w:type="dxa"/>
            <w:vAlign w:val="bottom"/>
          </w:tcPr>
          <w:p>
            <w:pPr>
              <w:spacing w:after="0"/>
              <w:rPr>
                <w:sz w:val="20"/>
                <w:szCs w:val="20"/>
                <w:color w:val="auto"/>
              </w:rPr>
            </w:pPr>
          </w:p>
        </w:tc>
        <w:tc>
          <w:tcPr>
            <w:tcW w:w="734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color w:val="0000EE"/>
                </w:rPr>
                <w:t>Description of Securities (incorporated by reference to Exhibit 4. 4 of the Company’s Annual Report on Form 10-K for the year</w:t>
              </w:r>
            </w:hyperlink>
          </w:p>
        </w:tc>
        <w:tc>
          <w:tcPr>
            <w:tcW w:w="3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40" w:type="dxa"/>
            <w:vAlign w:val="bottom"/>
            <w:gridSpan w:val="23"/>
          </w:tcPr>
          <w:p>
            <w:pPr>
              <w:spacing w:after="0" w:line="153" w:lineRule="exact"/>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color w:val="0000EE"/>
                </w:rPr>
                <w:t>ended December 31, 2025).</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400" w:type="dxa"/>
            <w:vAlign w:val="bottom"/>
          </w:tcPr>
          <w:p>
            <w:pPr>
              <w:spacing w:after="0"/>
              <w:rPr>
                <w:sz w:val="23"/>
                <w:szCs w:val="23"/>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Certificate of Designation for Preferred Stock.</w:t>
            </w:r>
          </w:p>
        </w:tc>
        <w:tc>
          <w:tcPr>
            <w:tcW w:w="0" w:type="dxa"/>
            <w:vAlign w:val="bottom"/>
          </w:tcPr>
          <w:p>
            <w:pPr>
              <w:spacing w:after="0"/>
              <w:rPr>
                <w:sz w:val="1"/>
                <w:szCs w:val="1"/>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400" w:type="dxa"/>
            <w:vAlign w:val="bottom"/>
          </w:tcPr>
          <w:p>
            <w:pPr>
              <w:spacing w:after="0"/>
              <w:rPr>
                <w:sz w:val="19"/>
                <w:szCs w:val="19"/>
                <w:color w:val="auto"/>
              </w:rPr>
            </w:pPr>
          </w:p>
        </w:tc>
        <w:tc>
          <w:tcPr>
            <w:tcW w:w="7640" w:type="dxa"/>
            <w:vAlign w:val="bottom"/>
            <w:gridSpan w:val="23"/>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Form of Indenture (incorporated by reference to Exhibit 4.2(b) to the Company’s Form S-3ASR filed on February 21, 2020 bearing</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540" w:type="dxa"/>
            <w:vAlign w:val="bottom"/>
            <w:tcBorders>
              <w:top w:val="single" w:sz="8" w:color="0000EE"/>
            </w:tcBorders>
            <w:gridSpan w:val="20"/>
          </w:tcPr>
          <w:p>
            <w:pPr>
              <w:spacing w:after="0" w:line="153"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Commission File Number 333-236564).</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400" w:type="dxa"/>
            <w:vAlign w:val="bottom"/>
          </w:tcPr>
          <w:p>
            <w:pPr>
              <w:spacing w:after="0"/>
              <w:rPr>
                <w:sz w:val="23"/>
                <w:szCs w:val="23"/>
                <w:color w:val="auto"/>
              </w:rPr>
            </w:pPr>
          </w:p>
        </w:tc>
        <w:tc>
          <w:tcPr>
            <w:tcW w:w="23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auto"/>
              </w:rPr>
              <w:t>Form of Note.</w:t>
            </w:r>
          </w:p>
        </w:tc>
        <w:tc>
          <w:tcPr>
            <w:tcW w:w="5340" w:type="dxa"/>
            <w:vAlign w:val="bottom"/>
            <w:gridSpan w:val="17"/>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400" w:type="dxa"/>
            <w:vAlign w:val="bottom"/>
          </w:tcPr>
          <w:p>
            <w:pPr>
              <w:spacing w:after="0"/>
              <w:rPr>
                <w:sz w:val="22"/>
                <w:szCs w:val="22"/>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Warrant.</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400" w:type="dxa"/>
            <w:vAlign w:val="bottom"/>
          </w:tcPr>
          <w:p>
            <w:pPr>
              <w:spacing w:after="0"/>
              <w:rPr>
                <w:sz w:val="22"/>
                <w:szCs w:val="22"/>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Warrant Agreement.</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400" w:type="dxa"/>
            <w:vAlign w:val="bottom"/>
          </w:tcPr>
          <w:p>
            <w:pPr>
              <w:spacing w:after="0"/>
              <w:rPr>
                <w:sz w:val="22"/>
                <w:szCs w:val="22"/>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Purchase Contract Agreement.</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400" w:type="dxa"/>
            <w:vAlign w:val="bottom"/>
          </w:tcPr>
          <w:p>
            <w:pPr>
              <w:spacing w:after="0"/>
              <w:rPr>
                <w:sz w:val="22"/>
                <w:szCs w:val="22"/>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0" w:type="dxa"/>
            <w:vAlign w:val="bottom"/>
          </w:tcPr>
          <w:p>
            <w:pPr>
              <w:spacing w:after="0"/>
              <w:rPr>
                <w:sz w:val="1"/>
                <w:szCs w:val="1"/>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00" w:type="dxa"/>
            <w:vAlign w:val="bottom"/>
          </w:tcPr>
          <w:p>
            <w:pPr>
              <w:spacing w:after="0"/>
              <w:rPr>
                <w:sz w:val="19"/>
                <w:szCs w:val="19"/>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0000EE"/>
              </w:rPr>
              <w:t>Opinion of Sullivan &amp; Cromwell LLP.</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400" w:type="dxa"/>
            <w:vAlign w:val="bottom"/>
          </w:tcPr>
          <w:p>
            <w:pPr>
              <w:spacing w:after="0"/>
              <w:rPr>
                <w:sz w:val="20"/>
                <w:szCs w:val="20"/>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0000EE"/>
              </w:rPr>
              <w:t>Consent of Sullivan &amp; Cromwell LLP (included in Exhibit 5.1).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00" w:type="dxa"/>
            <w:vAlign w:val="bottom"/>
          </w:tcPr>
          <w:p>
            <w:pPr>
              <w:spacing w:after="0"/>
              <w:rPr>
                <w:sz w:val="20"/>
                <w:szCs w:val="20"/>
                <w:color w:val="auto"/>
              </w:rPr>
            </w:pPr>
          </w:p>
        </w:tc>
        <w:tc>
          <w:tcPr>
            <w:tcW w:w="51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w:t>
            </w:r>
          </w:p>
        </w:tc>
        <w:tc>
          <w:tcPr>
            <w:tcW w:w="25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00" w:type="dxa"/>
            <w:vAlign w:val="bottom"/>
          </w:tcPr>
          <w:p>
            <w:pPr>
              <w:spacing w:after="0"/>
              <w:rPr>
                <w:sz w:val="20"/>
                <w:szCs w:val="20"/>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0000EE"/>
              </w:rPr>
              <w:t>Powers of Attorney (incorporated by reference to the signature page hereto).</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32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400" w:type="dxa"/>
            <w:vAlign w:val="bottom"/>
          </w:tcPr>
          <w:p>
            <w:pPr>
              <w:spacing w:after="0"/>
              <w:rPr>
                <w:sz w:val="23"/>
                <w:szCs w:val="23"/>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Statement of Eligibility on Form T-1 under the Trust Indenture Act of 1939, as amended, of trustee.</w:t>
            </w:r>
          </w:p>
        </w:tc>
        <w:tc>
          <w:tcPr>
            <w:tcW w:w="0" w:type="dxa"/>
            <w:vAlign w:val="bottom"/>
          </w:tcPr>
          <w:p>
            <w:pPr>
              <w:spacing w:after="0"/>
              <w:rPr>
                <w:sz w:val="1"/>
                <w:szCs w:val="1"/>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400" w:type="dxa"/>
            <w:vAlign w:val="bottom"/>
          </w:tcPr>
          <w:p>
            <w:pPr>
              <w:spacing w:after="0"/>
              <w:rPr>
                <w:sz w:val="19"/>
                <w:szCs w:val="19"/>
                <w:color w:val="auto"/>
              </w:rPr>
            </w:pPr>
          </w:p>
        </w:tc>
        <w:tc>
          <w:tcPr>
            <w:tcW w:w="7640" w:type="dxa"/>
            <w:vAlign w:val="bottom"/>
            <w:gridSpan w:val="23"/>
          </w:tcPr>
          <w:p>
            <w:pPr>
              <w:spacing w:after="0"/>
              <w:rPr>
                <w:sz w:val="20"/>
                <w:szCs w:val="20"/>
                <w:color w:val="auto"/>
              </w:rPr>
            </w:pPr>
            <w:r>
              <w:rPr>
                <w:rFonts w:ascii="Times New Roman" w:cs="Times New Roman" w:eastAsia="Times New Roman" w:hAnsi="Times New Roman"/>
                <w:sz w:val="14"/>
                <w:szCs w:val="14"/>
                <w:color w:val="0000EE"/>
              </w:rPr>
              <w:t>Filing Fee Table (filed herewith).</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540" w:right="2779" w:hanging="4290"/>
        <w:spacing w:after="0" w:line="470" w:lineRule="auto"/>
        <w:tabs>
          <w:tab w:leader="none" w:pos="142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 II-3</w:t>
      </w:r>
    </w:p>
    <w:p>
      <w:pPr>
        <w:sectPr>
          <w:pgSz w:w="11900" w:h="16838" w:orient="portrait"/>
          <w:cols w:equalWidth="0" w:num="1">
            <w:col w:w="10159"/>
          </w:cols>
          <w:pgMar w:left="300" w:top="39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97" w:lineRule="exact"/>
        <w:rPr>
          <w:sz w:val="20"/>
          <w:szCs w:val="20"/>
          <w:color w:val="auto"/>
        </w:rPr>
      </w:pPr>
    </w:p>
    <w:p>
      <w:pPr>
        <w:ind w:left="1460" w:hanging="210"/>
        <w:spacing w:after="0"/>
        <w:tabs>
          <w:tab w:leader="none" w:pos="1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7" w:lineRule="exact"/>
        <w:rPr>
          <w:rFonts w:ascii="Times New Roman" w:cs="Times New Roman" w:eastAsia="Times New Roman" w:hAnsi="Times New Roman"/>
          <w:sz w:val="14"/>
          <w:szCs w:val="14"/>
          <w:color w:val="auto"/>
        </w:rPr>
      </w:pPr>
    </w:p>
    <w:p>
      <w:pPr>
        <w:ind w:left="1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w:t>
      </w:r>
    </w:p>
    <w:p>
      <w:pPr>
        <w:spacing w:after="0" w:line="184" w:lineRule="exact"/>
        <w:rPr>
          <w:sz w:val="20"/>
          <w:szCs w:val="20"/>
          <w:color w:val="auto"/>
        </w:rPr>
      </w:pPr>
    </w:p>
    <w:p>
      <w:pPr>
        <w:ind w:left="1260" w:right="179" w:hanging="10"/>
        <w:spacing w:after="0" w:line="264" w:lineRule="auto"/>
        <w:tabs>
          <w:tab w:leader="none" w:pos="147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3" w:lineRule="exact"/>
        <w:rPr>
          <w:rFonts w:ascii="Times New Roman" w:cs="Times New Roman" w:eastAsia="Times New Roman" w:hAnsi="Times New Roman"/>
          <w:sz w:val="14"/>
          <w:szCs w:val="14"/>
          <w:color w:val="auto"/>
        </w:rPr>
      </w:pPr>
    </w:p>
    <w:p>
      <w:pPr>
        <w:ind w:left="1260" w:right="379" w:hanging="10"/>
        <w:spacing w:after="0" w:line="294" w:lineRule="auto"/>
        <w:tabs>
          <w:tab w:leader="none" w:pos="151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ind w:left="1260" w:right="139"/>
        <w:spacing w:after="0" w:line="270" w:lineRule="auto"/>
        <w:rPr>
          <w:sz w:val="20"/>
          <w:szCs w:val="20"/>
          <w:color w:val="auto"/>
        </w:rPr>
      </w:pPr>
      <w:r>
        <w:rPr>
          <w:rFonts w:ascii="Times New Roman" w:cs="Times New Roman" w:eastAsia="Times New Roman" w:hAnsi="Times New Roman"/>
          <w:sz w:val="14"/>
          <w:szCs w:val="14"/>
          <w:i w:val="1"/>
          <w:iCs w:val="1"/>
          <w:color w:val="auto"/>
        </w:rPr>
        <w:t>provided, however, that paragraphs (a)(1)(i), (a)(1)(ii), and (a)(1)(iii)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9" w:lineRule="exact"/>
        <w:rPr>
          <w:sz w:val="20"/>
          <w:szCs w:val="20"/>
          <w:color w:val="auto"/>
        </w:rPr>
      </w:pPr>
    </w:p>
    <w:p>
      <w:pPr>
        <w:ind w:left="1260" w:right="239" w:hanging="10"/>
        <w:spacing w:after="0" w:line="275" w:lineRule="auto"/>
        <w:tabs>
          <w:tab w:leader="none" w:pos="146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1260" w:right="139" w:hanging="10"/>
        <w:spacing w:after="0" w:line="294" w:lineRule="auto"/>
        <w:tabs>
          <w:tab w:leader="none" w:pos="146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2" w:lineRule="exact"/>
        <w:rPr>
          <w:rFonts w:ascii="Times New Roman" w:cs="Times New Roman" w:eastAsia="Times New Roman" w:hAnsi="Times New Roman"/>
          <w:sz w:val="14"/>
          <w:szCs w:val="14"/>
          <w:color w:val="auto"/>
        </w:rPr>
      </w:pPr>
    </w:p>
    <w:p>
      <w:pPr>
        <w:ind w:left="1460" w:hanging="210"/>
        <w:spacing w:after="0"/>
        <w:tabs>
          <w:tab w:leader="none" w:pos="1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4" w:lineRule="exact"/>
        <w:rPr>
          <w:sz w:val="20"/>
          <w:szCs w:val="20"/>
          <w:color w:val="auto"/>
        </w:rPr>
      </w:pPr>
    </w:p>
    <w:p>
      <w:pPr>
        <w:ind w:left="1260" w:right="419" w:hanging="10"/>
        <w:spacing w:after="0" w:line="294" w:lineRule="auto"/>
        <w:tabs>
          <w:tab w:leader="none" w:pos="149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2" w:lineRule="exact"/>
        <w:rPr>
          <w:rFonts w:ascii="Times New Roman" w:cs="Times New Roman" w:eastAsia="Times New Roman" w:hAnsi="Times New Roman"/>
          <w:sz w:val="14"/>
          <w:szCs w:val="14"/>
          <w:color w:val="auto"/>
        </w:rPr>
      </w:pPr>
    </w:p>
    <w:p>
      <w:pPr>
        <w:ind w:left="1260" w:right="119" w:hanging="10"/>
        <w:spacing w:after="0" w:line="260" w:lineRule="auto"/>
        <w:tabs>
          <w:tab w:leader="none" w:pos="148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(5) That, for the purpose of determining liability of the registrant under the Securities Act to any purchaser in the initial distribution of securities:</w:t>
      </w:r>
    </w:p>
    <w:p>
      <w:pPr>
        <w:spacing w:after="0" w:line="97" w:lineRule="exact"/>
        <w:rPr>
          <w:sz w:val="20"/>
          <w:szCs w:val="20"/>
          <w:color w:val="auto"/>
        </w:rPr>
      </w:pPr>
    </w:p>
    <w:p>
      <w:pPr>
        <w:ind w:left="1260" w:right="239"/>
        <w:spacing w:after="0" w:line="269"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4" w:lineRule="exact"/>
        <w:rPr>
          <w:sz w:val="20"/>
          <w:szCs w:val="20"/>
          <w:color w:val="auto"/>
        </w:rPr>
      </w:pPr>
    </w:p>
    <w:p>
      <w:pPr>
        <w:ind w:left="1420" w:hanging="170"/>
        <w:spacing w:after="0"/>
        <w:tabs>
          <w:tab w:leader="none" w:pos="14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3" w:lineRule="exact"/>
        <w:rPr>
          <w:rFonts w:ascii="Times New Roman" w:cs="Times New Roman" w:eastAsia="Times New Roman" w:hAnsi="Times New Roman"/>
          <w:sz w:val="14"/>
          <w:szCs w:val="14"/>
          <w:color w:val="auto"/>
        </w:rPr>
      </w:pPr>
    </w:p>
    <w:p>
      <w:pPr>
        <w:ind w:left="1260" w:right="259" w:hanging="10"/>
        <w:spacing w:after="0" w:line="294" w:lineRule="auto"/>
        <w:tabs>
          <w:tab w:leader="none" w:pos="147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2" w:lineRule="exact"/>
        <w:rPr>
          <w:rFonts w:ascii="Times New Roman" w:cs="Times New Roman" w:eastAsia="Times New Roman" w:hAnsi="Times New Roman"/>
          <w:sz w:val="14"/>
          <w:szCs w:val="14"/>
          <w:color w:val="auto"/>
        </w:rPr>
      </w:pPr>
    </w:p>
    <w:p>
      <w:pPr>
        <w:ind w:left="1260" w:right="139" w:hanging="10"/>
        <w:spacing w:after="0" w:line="294" w:lineRule="auto"/>
        <w:tabs>
          <w:tab w:leader="none" w:pos="150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prepared containing material information about the undersigned registrant or its securities provided by or on behalf of the undersigned registrant; and</w:t>
      </w:r>
    </w:p>
    <w:p>
      <w:pPr>
        <w:spacing w:after="0" w:line="122" w:lineRule="exact"/>
        <w:rPr>
          <w:rFonts w:ascii="Times New Roman" w:cs="Times New Roman" w:eastAsia="Times New Roman" w:hAnsi="Times New Roman"/>
          <w:sz w:val="14"/>
          <w:szCs w:val="14"/>
          <w:color w:val="auto"/>
        </w:rPr>
      </w:pPr>
    </w:p>
    <w:p>
      <w:pPr>
        <w:ind w:left="1500" w:hanging="250"/>
        <w:spacing w:after="0"/>
        <w:tabs>
          <w:tab w:leader="none" w:pos="1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communications that is an offer in the offering made by the undersigned registrant to the purchaser.</w:t>
      </w:r>
    </w:p>
    <w:p>
      <w:pPr>
        <w:spacing w:after="0" w:line="184" w:lineRule="exact"/>
        <w:rPr>
          <w:sz w:val="20"/>
          <w:szCs w:val="20"/>
          <w:color w:val="auto"/>
        </w:rPr>
      </w:pPr>
    </w:p>
    <w:p>
      <w:pPr>
        <w:ind w:left="1260" w:right="239" w:hanging="10"/>
        <w:spacing w:after="0" w:line="266" w:lineRule="auto"/>
        <w:tabs>
          <w:tab w:leader="none" w:pos="146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ind w:left="1260" w:right="219" w:hanging="10"/>
        <w:spacing w:after="0" w:line="262" w:lineRule="auto"/>
        <w:tabs>
          <w:tab w:leader="none" w:pos="146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1" w:lineRule="exact"/>
        <w:rPr>
          <w:sz w:val="20"/>
          <w:szCs w:val="20"/>
          <w:color w:val="auto"/>
        </w:rPr>
      </w:pPr>
    </w:p>
    <w:p>
      <w:pPr>
        <w:ind w:left="1420" w:hanging="170"/>
        <w:spacing w:after="0"/>
        <w:tabs>
          <w:tab w:leader="none" w:pos="1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w:t>
      </w:r>
    </w:p>
    <w:p>
      <w:pPr>
        <w:spacing w:after="0" w:line="24" w:lineRule="exact"/>
        <w:rPr>
          <w:rFonts w:ascii="Times New Roman" w:cs="Times New Roman" w:eastAsia="Times New Roman" w:hAnsi="Times New Roman"/>
          <w:sz w:val="14"/>
          <w:szCs w:val="14"/>
          <w:color w:val="auto"/>
        </w:rPr>
      </w:pPr>
    </w:p>
    <w:p>
      <w:pPr>
        <w:ind w:left="1260" w:right="239" w:hanging="10"/>
        <w:spacing w:after="0" w:line="273" w:lineRule="auto"/>
        <w:tabs>
          <w:tab w:leader="none" w:pos="145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Section 310 of the Trust Indenture Act (the “Act”) in accordance with the rules and regulations prescribed by the SEC under section 305(b)(2) of the Act.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92"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jc w:val="both"/>
        <w:ind w:left="1260" w:right="239"/>
        <w:spacing w:after="0" w:line="27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Princeton, the State of New Jersey, on the 26th day of February, 2026.</w:t>
      </w:r>
    </w:p>
    <w:p>
      <w:pPr>
        <w:spacing w:after="0" w:line="1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INTEGRA LIFESCIENCES HOLDINGS CORPORATION</w:t>
      </w:r>
    </w:p>
    <w:p>
      <w:pPr>
        <w:spacing w:after="0" w:line="18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Mojdeh Poul</w:t>
      </w:r>
    </w:p>
    <w:p>
      <w:pPr>
        <w:spacing w:after="0" w:line="6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Mojdeh Poul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-97790</wp:posOffset>
            </wp:positionV>
            <wp:extent cx="20720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072005" cy="698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92"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left="1260" w:right="159"/>
        <w:spacing w:after="0" w:line="261"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Mojdeh Poul, Lea Knight, and Michael Hutchinson, or any one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323" w:lineRule="exact"/>
        <w:rPr>
          <w:sz w:val="20"/>
          <w:szCs w:val="20"/>
          <w:color w:val="auto"/>
        </w:rPr>
      </w:pPr>
    </w:p>
    <w:p>
      <w:pPr>
        <w:ind w:left="1260" w:right="299"/>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440" w:type="dxa"/>
            <w:vAlign w:val="bottom"/>
          </w:tcPr>
          <w:p>
            <w:pPr>
              <w:ind w:left="17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780" w:type="dxa"/>
            <w:vAlign w:val="bottom"/>
          </w:tcPr>
          <w:p>
            <w:pPr>
              <w:jc w:val="center"/>
              <w:ind w:left="67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Mojdeh Poul</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 and Chief Executive Officer and</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80"/>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Mojdeh Poul</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 (Principal Executive Officer)</w:t>
            </w: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Lea Knight</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Executive Vice President and Chief</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80"/>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 Knight</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Officer (Principal Financial Officer)</w:t>
            </w: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Jeffrey A. Mosebrook</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Senior Vice President, Finance (Principal</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80"/>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A. Mosebrook</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Accounting Officer)</w:t>
            </w: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Stuart M. Essig, Ph.D.</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Chairman of the Board</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Stuart M. Essig, Ph.D.</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Keith Bradley, Ph.D.</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Keith Bradley, Ph.D.</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Shaundra Clay</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Shaundra Clay</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Jeffrey A. Graves, Ph.D.</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A. Graves, Ph.D.</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Barbara B. Hill</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Barbara B. Hill</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Renee W. Lo</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Renee W. Lo</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3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Christian S. Schade</w:t>
            </w:r>
          </w:p>
        </w:tc>
        <w:tc>
          <w:tcPr>
            <w:tcW w:w="3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8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9"/>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Christian S. Schade</w:t>
            </w: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85"/>
        </w:trPr>
        <w:tc>
          <w:tcPr>
            <w:tcW w:w="3280" w:type="dxa"/>
            <w:vAlign w:val="bottom"/>
          </w:tcPr>
          <w:p>
            <w:pPr>
              <w:spacing w:after="0"/>
              <w:rPr>
                <w:sz w:val="24"/>
                <w:szCs w:val="24"/>
                <w:color w:val="auto"/>
              </w:rPr>
            </w:pPr>
          </w:p>
        </w:tc>
        <w:tc>
          <w:tcPr>
            <w:tcW w:w="34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II-7</w:t>
            </w:r>
          </w:p>
        </w:tc>
        <w:tc>
          <w:tcPr>
            <w:tcW w:w="1780" w:type="dxa"/>
            <w:vAlign w:val="bottom"/>
          </w:tcPr>
          <w:p>
            <w:pPr>
              <w:spacing w:after="0"/>
              <w:rPr>
                <w:sz w:val="24"/>
                <w:szCs w:val="24"/>
                <w:color w:val="auto"/>
              </w:rPr>
            </w:pPr>
          </w:p>
        </w:tc>
      </w:tr>
    </w:tbl>
    <w:p>
      <w:pPr>
        <w:sectPr>
          <w:pgSz w:w="11900" w:h="16838" w:orient="portrait"/>
          <w:cols w:equalWidth="0" w:num="1">
            <w:col w:w="10159"/>
          </w:cols>
          <w:pgMar w:left="300" w:top="392" w:right="1440" w:bottom="1440" w:gutter="0" w:footer="0" w:header="0"/>
        </w:sectPr>
      </w:pPr>
    </w:p>
    <w:bookmarkStart w:id="36" w:name="page37"/>
    <w:bookmarkEnd w:id="36"/>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[Letterhead of Sullivan &amp; Cromwell LLP]</w:t>
      </w:r>
    </w:p>
    <w:p>
      <w:pPr>
        <w:spacing w:after="0" w:line="18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color w:val="auto"/>
        </w:rPr>
        <w:t>February 26, 2026</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Integra LifeSciences Holdings Corporation,</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1100 Campus Road,</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Princeton, New Jersey 08540</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7" w:lineRule="exact"/>
        <w:rPr>
          <w:sz w:val="20"/>
          <w:szCs w:val="20"/>
          <w:color w:val="auto"/>
        </w:rPr>
      </w:pPr>
    </w:p>
    <w:p>
      <w:pPr>
        <w:ind w:left="120" w:right="239" w:firstLine="791"/>
        <w:spacing w:after="0" w:line="264" w:lineRule="auto"/>
        <w:rPr>
          <w:sz w:val="20"/>
          <w:szCs w:val="20"/>
          <w:color w:val="auto"/>
        </w:rPr>
      </w:pPr>
      <w:r>
        <w:rPr>
          <w:rFonts w:ascii="Times New Roman" w:cs="Times New Roman" w:eastAsia="Times New Roman" w:hAnsi="Times New Roman"/>
          <w:sz w:val="14"/>
          <w:szCs w:val="14"/>
          <w:color w:val="auto"/>
        </w:rPr>
        <w:t>We are acting as counsel to Integra LifeSciences Holdings Corporation, a Delaware corporation (the “Company”), in connection with the filing today by the Company of a registration statement on Form S-3 (the “Registration Statement”) under the Securities Act of 1933 (the “Act”). The Registration Statement registers an indeterminate amount of securities of the Company, including shares of the Company’s common stock, par value $0.01 per share (the “Common Stock”), shares of the Company’s preferred stock, without par value (the “Preferred Stock”), debt securities of the Company (the “Debt Securities”), warrants and purchase contracts of the Company, and units comprised of any combination of the foregoing. The Common Stock, Preferred Stock, Debt Securities, the warrants, the purchase contracts and the units are referred to collectively as the “Securities”.</w:t>
      </w:r>
    </w:p>
    <w:p>
      <w:pPr>
        <w:spacing w:after="0" w:line="144" w:lineRule="exact"/>
        <w:rPr>
          <w:sz w:val="20"/>
          <w:szCs w:val="20"/>
          <w:color w:val="auto"/>
        </w:rPr>
      </w:pPr>
    </w:p>
    <w:p>
      <w:pPr>
        <w:ind w:left="120" w:right="359" w:firstLine="791"/>
        <w:spacing w:after="0" w:line="269" w:lineRule="auto"/>
        <w:rPr>
          <w:sz w:val="20"/>
          <w:szCs w:val="20"/>
          <w:color w:val="auto"/>
        </w:rPr>
      </w:pPr>
      <w:r>
        <w:rPr>
          <w:rFonts w:ascii="Times New Roman" w:cs="Times New Roman" w:eastAsia="Times New Roman" w:hAnsi="Times New Roman"/>
          <w:sz w:val="14"/>
          <w:szCs w:val="14"/>
          <w:color w:val="auto"/>
        </w:rPr>
        <w:t>In connection with the filing of the Registration Statement, we, as your counsel, have examined such corporate records, certificates and other documents, including the resolutions of the Company’s board of directors authorizing the issuance of the Securities (collectively, the “Resolutions”), and such questions of law, as we have considered necessary or appropriate for the purposes of this opinion. Upon the basis of such examination, it is our opinion that:</w:t>
      </w:r>
    </w:p>
    <w:p>
      <w:pPr>
        <w:spacing w:after="0" w:line="52" w:lineRule="exact"/>
        <w:rPr>
          <w:sz w:val="20"/>
          <w:szCs w:val="20"/>
          <w:color w:val="auto"/>
        </w:rPr>
      </w:pPr>
    </w:p>
    <w:p>
      <w:pPr>
        <w:ind w:left="460" w:right="219" w:firstLine="339"/>
        <w:spacing w:after="0" w:line="262"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When the Registration Statement has become effective under the Act, when the terms of the Common Stock and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and sale have been duly established in conformity with the Company’s amended and restated certificate of incorporation, as amended, and when the Common Stock has been duly issued and sold as contemplated by the Registration Statement, and if all of the foregoing actions are taken pursuant to the authority granted in the Resolutions and so as not to violate any applicable law or result in a default under or breach of any agreement or instrument binding upon the Company and so as to comply with any requirement or restriction imposed by any court or governmental body having jurisdiction over the Company, the Common Stock will be validly issued, fully paid and nonassessable. The Common Stock covered in the opinion in this paragraph includes any Common Stock that may be issued as part of the units or otherwise pursuant to the terms of any other Securities.</w:t>
      </w:r>
    </w:p>
    <w:p>
      <w:pPr>
        <w:sectPr>
          <w:pgSz w:w="11900" w:h="16838" w:orient="portrait"/>
          <w:cols w:equalWidth="0" w:num="1">
            <w:col w:w="9019"/>
          </w:cols>
          <w:pgMar w:left="1440" w:top="123" w:right="1440" w:bottom="1440" w:gutter="0" w:footer="0" w:header="0"/>
        </w:sectPr>
      </w:pPr>
    </w:p>
    <w:bookmarkStart w:id="37" w:name="page38"/>
    <w:bookmarkEnd w:id="37"/>
    <w:p>
      <w:pPr>
        <w:ind w:left="120"/>
        <w:spacing w:after="0"/>
        <w:tabs>
          <w:tab w:leader="none" w:pos="87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Integra LifeSciences Holdings Corporation</w:t>
      </w:r>
      <w:r>
        <w:rPr>
          <w:sz w:val="20"/>
          <w:szCs w:val="20"/>
          <w:color w:val="auto"/>
        </w:rPr>
        <w:tab/>
      </w: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43" w:right="1440" w:bottom="1440" w:gutter="0" w:footer="0" w:header="0"/>
        </w:sectPr>
      </w:pPr>
    </w:p>
    <w:p>
      <w:pPr>
        <w:spacing w:after="0" w:line="128" w:lineRule="exact"/>
        <w:rPr>
          <w:sz w:val="20"/>
          <w:szCs w:val="20"/>
          <w:color w:val="auto"/>
        </w:rPr>
      </w:pPr>
    </w:p>
    <w:p>
      <w:pPr>
        <w:ind w:left="460" w:right="239" w:firstLine="339"/>
        <w:spacing w:after="0" w:line="263" w:lineRule="auto"/>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Preferred Stock</w:t>
      </w:r>
      <w:r>
        <w:rPr>
          <w:rFonts w:ascii="Times New Roman" w:cs="Times New Roman" w:eastAsia="Times New Roman" w:hAnsi="Times New Roman"/>
          <w:sz w:val="14"/>
          <w:szCs w:val="14"/>
          <w:color w:val="auto"/>
        </w:rPr>
        <w:t>. When the Registration Statement has become effective under the Act, when the terms of the Preferred Stock and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and sale have been duly established in conformity with the Company’s amended and restated certificate of incorporation, as amended, when an appropriate certificate of designations with respect to the Preferred Stock has been duly filed with the Secretary of State of the State of Delaware and when the Preferred Stock has been duly issued and sold as contemplated by the Registration Statement, and if all the foregoing actions are taken pursuant to the authority granted in the Resolutions and so as not to violate any applicable law or result in a default under or breach of any agreement or instrument binding upon the Company and so as to comply with any requirement or restriction imposed by any court or governmental body having jurisdiction over the Company, the Preferred Stock will be validly issued, fully paid and nonassessable.</w:t>
      </w:r>
    </w:p>
    <w:p>
      <w:pPr>
        <w:spacing w:after="0" w:line="57" w:lineRule="exact"/>
        <w:rPr>
          <w:rFonts w:ascii="Times New Roman" w:cs="Times New Roman" w:eastAsia="Times New Roman" w:hAnsi="Times New Roman"/>
          <w:sz w:val="14"/>
          <w:szCs w:val="14"/>
          <w:color w:val="auto"/>
        </w:rPr>
      </w:pPr>
    </w:p>
    <w:p>
      <w:pPr>
        <w:ind w:left="460" w:right="119" w:firstLine="339"/>
        <w:spacing w:after="0" w:line="260" w:lineRule="auto"/>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Debt Securities</w:t>
      </w:r>
      <w:r>
        <w:rPr>
          <w:rFonts w:ascii="Times New Roman" w:cs="Times New Roman" w:eastAsia="Times New Roman" w:hAnsi="Times New Roman"/>
          <w:sz w:val="14"/>
          <w:szCs w:val="14"/>
          <w:color w:val="auto"/>
        </w:rPr>
        <w:t>. When the Registration Statement has become effective under the Act, when the indentures relating to the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been duly authorized, executed and delivered, when the terms of the Debt Securities and of their issuance and sale have been duly established in conformity with the applicable indenture so as not to violate any applicable law or result in a default under or breach of any agreement or instrument binding upon the Company, and so as to comply with any requirement or restriction imposed by any court or governmental body having jurisdiction over the Company, and when the Debt Securities have been duly executed, authenticated, issued and delivered in accordance with the applicable indenture and issued and sold as contemplated in the Registration Statement, and if all the foregoing actions are taken pursuant to the authority granted in the Resolutions, the Debt Securities will constitute valid and legally binding obligations of the Company, subject to bankruptcy, insolvency, fraudulent transfer, reorganization, moratorium and similar laws of general applicability relating to or affecting creditors’ rights and to general equity principles. The Debt Securities covered by the opinion in this paragraph include any Debt Securities that may be issued as part of the units or upon exercise or otherwise pursuant to the terms of any other Securities, as well as any purchase contracts or units that may be issued under the indentures relating to the Debt Securities.</w:t>
      </w:r>
    </w:p>
    <w:p>
      <w:pPr>
        <w:spacing w:after="0" w:line="63" w:lineRule="exact"/>
        <w:rPr>
          <w:rFonts w:ascii="Times New Roman" w:cs="Times New Roman" w:eastAsia="Times New Roman" w:hAnsi="Times New Roman"/>
          <w:sz w:val="14"/>
          <w:szCs w:val="14"/>
          <w:color w:val="auto"/>
        </w:rPr>
      </w:pPr>
    </w:p>
    <w:p>
      <w:pPr>
        <w:ind w:left="460" w:right="139" w:firstLine="339"/>
        <w:spacing w:after="0" w:line="266" w:lineRule="auto"/>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Purchase Contracts</w:t>
      </w:r>
      <w:r>
        <w:rPr>
          <w:rFonts w:ascii="Times New Roman" w:cs="Times New Roman" w:eastAsia="Times New Roman" w:hAnsi="Times New Roman"/>
          <w:sz w:val="14"/>
          <w:szCs w:val="14"/>
          <w:color w:val="auto"/>
        </w:rPr>
        <w:t>. When the Registration Statement has become effective under the Act, when the terms of the governing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agreements under which of the purchase contracts are to be issued have been duly established and the governing documents have been duly executed and delivered, when the terms of such purchase contracts and of their issuance and sale have been duly established in conformity with the applicable governing documents and when such purchase contracts have been duly executed, authenticated, issued and delivered in accordance with the applicable governing documents and issued and sold as contemplated in the Registration Statement, and if all</w:t>
      </w:r>
    </w:p>
    <w:p>
      <w:pPr>
        <w:sectPr>
          <w:pgSz w:w="11900" w:h="16838" w:orient="portrait"/>
          <w:cols w:equalWidth="0" w:num="1">
            <w:col w:w="9019"/>
          </w:cols>
          <w:pgMar w:left="1440" w:top="243" w:right="1440" w:bottom="1440" w:gutter="0" w:footer="0" w:header="0"/>
          <w:type w:val="continuous"/>
        </w:sectPr>
      </w:pPr>
    </w:p>
    <w:bookmarkStart w:id="38" w:name="page39"/>
    <w:bookmarkEnd w:id="38"/>
    <w:p>
      <w:pPr>
        <w:ind w:left="120"/>
        <w:spacing w:after="0"/>
        <w:tabs>
          <w:tab w:leader="none" w:pos="87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Integra LifeSciences Holdings Corporation</w:t>
      </w:r>
      <w:r>
        <w:rPr>
          <w:sz w:val="20"/>
          <w:szCs w:val="20"/>
          <w:color w:val="auto"/>
        </w:rPr>
        <w:tab/>
      </w: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43" w:right="1440" w:bottom="1440" w:gutter="0" w:footer="0" w:header="0"/>
        </w:sectPr>
      </w:pPr>
    </w:p>
    <w:p>
      <w:pPr>
        <w:spacing w:after="0" w:line="130" w:lineRule="exact"/>
        <w:rPr>
          <w:sz w:val="20"/>
          <w:szCs w:val="20"/>
          <w:color w:val="auto"/>
        </w:rPr>
      </w:pPr>
    </w:p>
    <w:p>
      <w:pPr>
        <w:ind w:left="460" w:right="139"/>
        <w:spacing w:after="0" w:line="263" w:lineRule="auto"/>
        <w:rPr>
          <w:sz w:val="20"/>
          <w:szCs w:val="20"/>
          <w:color w:val="auto"/>
        </w:rPr>
      </w:pPr>
      <w:r>
        <w:rPr>
          <w:rFonts w:ascii="Times New Roman" w:cs="Times New Roman" w:eastAsia="Times New Roman" w:hAnsi="Times New Roman"/>
          <w:sz w:val="14"/>
          <w:szCs w:val="14"/>
          <w:color w:val="auto"/>
        </w:rPr>
        <w:t>the foregoing actions are taken pursuant to the authority granted in the Resolutions and so as not to violate any applicable law or result in a default under or breach of any agreement or instrument binding upon the Company and so as to comply with any requirement or restriction imposed by any court or governmental body having jurisdiction over the Company, such purchase contracts will constitute valid and legally binding obligations of the Company, subject to bankruptcy, insolvency, fraudulent transfer, reorganization, moratorium and similar laws of general applicability relating to or affecting creditors’ rights and to general equity principles. The purchase contracts covered by the opinion in this paragraph include any purchase contracts that may be issued as part of the units or upon exercise or otherwise pursuant to the terms of any other Securities.</w:t>
      </w:r>
    </w:p>
    <w:p>
      <w:pPr>
        <w:spacing w:after="0" w:line="232" w:lineRule="exact"/>
        <w:rPr>
          <w:sz w:val="20"/>
          <w:szCs w:val="20"/>
          <w:color w:val="auto"/>
        </w:rPr>
      </w:pPr>
    </w:p>
    <w:p>
      <w:pPr>
        <w:ind w:left="460" w:right="199" w:firstLine="339"/>
        <w:spacing w:after="0" w:line="261"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When the Registration Statement has become effective under the Act, when the terms of the warrant agreement under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warrants are to be issued have been duly established and the warrant agreement has been duly executed and delivered, when the terms of such warrants and of their issuance and sale have been duly established in conformity with the warrant agreement and when such warrants have been duly executed, authenticated, issued and delivered in accordance with the warrant agreement and issued and sold as contemplated in the Registration Statement, and if all the foregoing actions are taken pursuant to the authority granted in the Resolutions and so as not to violate any applicable law or result in a default under or breach of any agreement or instrument binding upon the Company and so as to comply with any requirement or restriction imposed by any court or governmental body having jurisdiction over the Company, such warrants will constitute valid and legally binding obligations of the Company, subject to bankruptcy, insolvency, fraudulent transfer, reorganization, moratorium and similar laws of general applicability relating to or affecting creditors’ rights and to general equity principles. The warrants covered by the opinion in this paragraph include any warrants that may be issued as part of the units or upon exercise or otherwise pursuant to the terms of any other Securities.</w:t>
      </w:r>
    </w:p>
    <w:p>
      <w:pPr>
        <w:spacing w:after="0" w:line="58" w:lineRule="exact"/>
        <w:rPr>
          <w:rFonts w:ascii="Times New Roman" w:cs="Times New Roman" w:eastAsia="Times New Roman" w:hAnsi="Times New Roman"/>
          <w:sz w:val="14"/>
          <w:szCs w:val="14"/>
          <w:color w:val="auto"/>
        </w:rPr>
      </w:pPr>
    </w:p>
    <w:p>
      <w:pPr>
        <w:ind w:left="460" w:right="119" w:firstLine="339"/>
        <w:spacing w:after="0" w:line="261"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Units</w:t>
      </w:r>
      <w:r>
        <w:rPr>
          <w:rFonts w:ascii="Times New Roman" w:cs="Times New Roman" w:eastAsia="Times New Roman" w:hAnsi="Times New Roman"/>
          <w:sz w:val="14"/>
          <w:szCs w:val="14"/>
          <w:color w:val="auto"/>
        </w:rPr>
        <w:t>. When the Registration Statement has become effective under the Act, when the terms of the unit agreement under which units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issued have been duly established and the unit agreement has been duly executed and delivered, when the terms of such units and of their issuance and sale have been duly established in conformity with the unit agreement and when such units have been duly executed, authenticated, issued and delivered in accordance with the unit agreement and issued and sold as contemplated in the Registration Statement, and if all the foregoing actions are taken pursuant to the authority granted in the Resolutions and so as not to violate any applicable law or result in a default under or breach of any agreement or instrument binding upon the Company and so as to comply with any requirement or restriction imposed by any court or governmental body having jurisdiction over the Company, such units will constitute valid and legally binding obligations of the Company, subject to bankruptcy, insolvency, fraudulent transfer, reorganization, moratorium and similar laws of general applicability relating to or affecting creditors’ rights and to general equity principles. The units covered by the opinion in this paragraph include any units that may be issued upon exercise or otherwise pursuant to the terms of any other Securities.</w:t>
      </w:r>
    </w:p>
    <w:p>
      <w:pPr>
        <w:sectPr>
          <w:pgSz w:w="11900" w:h="16838" w:orient="portrait"/>
          <w:cols w:equalWidth="0" w:num="1">
            <w:col w:w="9019"/>
          </w:cols>
          <w:pgMar w:left="1440" w:top="243" w:right="1440" w:bottom="1440" w:gutter="0" w:footer="0" w:header="0"/>
          <w:type w:val="continuous"/>
        </w:sectPr>
      </w:pPr>
    </w:p>
    <w:bookmarkStart w:id="39" w:name="page40"/>
    <w:bookmarkEnd w:id="39"/>
    <w:tbl>
      <w:tblPr>
        <w:tblLayout w:type="fixed"/>
        <w:tblInd w:w="120" w:type="dxa"/>
        <w:tblCellMar>
          <w:top w:w="0" w:type="dxa"/>
          <w:left w:w="0" w:type="dxa"/>
          <w:bottom w:w="0" w:type="dxa"/>
          <w:right w:w="0" w:type="dxa"/>
        </w:tblCellMar>
      </w:tblP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Integra LifeSciences Holdings Corporation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98995" cy="33020"/>
                    </a:xfrm>
                    <a:prstGeom prst="rect">
                      <a:avLst/>
                    </a:prstGeom>
                    <a:noFill/>
                  </pic:spPr>
                </pic:pic>
              </a:graphicData>
            </a:graphic>
          </wp:anchor>
        </w:drawing>
      </w:r>
    </w:p>
    <w:p>
      <w:pPr>
        <w:ind w:left="120" w:right="159" w:firstLine="791"/>
        <w:spacing w:after="0" w:line="264" w:lineRule="auto"/>
        <w:rPr>
          <w:sz w:val="20"/>
          <w:szCs w:val="20"/>
          <w:color w:val="auto"/>
        </w:rPr>
      </w:pPr>
      <w:r>
        <w:rPr>
          <w:rFonts w:ascii="Times New Roman" w:cs="Times New Roman" w:eastAsia="Times New Roman" w:hAnsi="Times New Roman"/>
          <w:sz w:val="14"/>
          <w:szCs w:val="14"/>
          <w:color w:val="auto"/>
        </w:rPr>
        <w:t>We note that, as of the date of this opinion, a judgment for money in an action based on a Security denominated in a foreign currency or currency unit in a Federal or state court in the United States ordinarily would be enforced in the United States only in United States dollars. The date used to determine the rate of conversion of the foreign currency or currency unit in which a particular Security is denominated into United States dollars will depend upon various factors, including which court renders the judgment. For example, a state court in the State of New York rendering a judgment on a Security denominated in a foreign currency would be required under Section 27 of the New York Judiciary Law to render such judgment in such foreign currency, and such judgment would be converted into United States dollars at the exchange rate prevailing on the date of entry of the judgment.</w:t>
      </w:r>
    </w:p>
    <w:p>
      <w:pPr>
        <w:spacing w:after="0" w:line="144" w:lineRule="exact"/>
        <w:rPr>
          <w:sz w:val="20"/>
          <w:szCs w:val="20"/>
          <w:color w:val="auto"/>
        </w:rPr>
      </w:pPr>
    </w:p>
    <w:p>
      <w:pPr>
        <w:ind w:left="120" w:right="259" w:firstLine="791"/>
        <w:spacing w:after="0" w:line="294" w:lineRule="auto"/>
        <w:rPr>
          <w:sz w:val="20"/>
          <w:szCs w:val="20"/>
          <w:color w:val="auto"/>
        </w:rPr>
      </w:pPr>
      <w:r>
        <w:rPr>
          <w:rFonts w:ascii="Times New Roman" w:cs="Times New Roman" w:eastAsia="Times New Roman" w:hAnsi="Times New Roman"/>
          <w:sz w:val="14"/>
          <w:szCs w:val="14"/>
          <w:color w:val="auto"/>
        </w:rPr>
        <w:t>The foregoing opinion is limited to the Federal laws of the United States, the laws of the State of New York and the General Corporation Law of the State of Delaware, and we are expressing no opinion as to the effect of the laws of any other jurisdiction.</w:t>
      </w:r>
    </w:p>
    <w:p>
      <w:pPr>
        <w:spacing w:after="0" w:line="123" w:lineRule="exact"/>
        <w:rPr>
          <w:sz w:val="20"/>
          <w:szCs w:val="20"/>
          <w:color w:val="auto"/>
        </w:rPr>
      </w:pPr>
    </w:p>
    <w:p>
      <w:pPr>
        <w:ind w:left="120" w:right="139" w:firstLine="791"/>
        <w:spacing w:after="0" w:line="294" w:lineRule="auto"/>
        <w:rPr>
          <w:sz w:val="20"/>
          <w:szCs w:val="20"/>
          <w:color w:val="auto"/>
        </w:rPr>
      </w:pPr>
      <w:r>
        <w:rPr>
          <w:rFonts w:ascii="Times New Roman" w:cs="Times New Roman" w:eastAsia="Times New Roman" w:hAnsi="Times New Roman"/>
          <w:sz w:val="14"/>
          <w:szCs w:val="14"/>
          <w:color w:val="auto"/>
        </w:rPr>
        <w:t>In rendering the foregoing opinion, we are not passing upon, and assume no responsibility for, any disclosure in the Registration Statement or any related prospectus of other offering material regarding the Company or the Securities or their offering and sale.</w:t>
      </w:r>
    </w:p>
    <w:p>
      <w:pPr>
        <w:spacing w:after="0" w:line="123" w:lineRule="exact"/>
        <w:rPr>
          <w:sz w:val="20"/>
          <w:szCs w:val="20"/>
          <w:color w:val="auto"/>
        </w:rPr>
      </w:pPr>
    </w:p>
    <w:p>
      <w:pPr>
        <w:ind w:left="120" w:right="159" w:firstLine="791"/>
        <w:spacing w:after="0" w:line="261" w:lineRule="auto"/>
        <w:rPr>
          <w:sz w:val="20"/>
          <w:szCs w:val="20"/>
          <w:color w:val="auto"/>
        </w:rPr>
      </w:pPr>
      <w:r>
        <w:rPr>
          <w:rFonts w:ascii="Times New Roman" w:cs="Times New Roman" w:eastAsia="Times New Roman" w:hAnsi="Times New Roman"/>
          <w:sz w:val="14"/>
          <w:szCs w:val="14"/>
          <w:color w:val="auto"/>
        </w:rPr>
        <w:t>We have relied as to certain factual matters on information obtained from public officials, officers of the Company and other sources believed by us to be responsible. We have assumed that the governing documents under which the Securities are to be issued will have been duly authorized, executed and delivered by all parties thereto. We have further assumed that the issuance or delivery by the Company of any securities (other than the Securities) or of any other property upon exercise or otherwise pursuant to the terms of the Securities will be effected pursuant to the authority granted in the Resolutions and so as not to violate any applicable law or result in a default under or breach of any agreement or instrument binding on the Company and so as to comply with any requirement or restriction imposed by any court or governmental body having jurisdiction over the Company. We have further assumed that the authority granted in the Resolutions will remain in effect at all relevant times and that no Securities will be issued or other action taken in contravention of any applicable limit established pursuant to the Resolutions from time to time. Finally, we have assumed that the signatures on all documents examined by us are genuine.</w:t>
      </w:r>
    </w:p>
    <w:p>
      <w:pPr>
        <w:spacing w:after="0" w:line="147" w:lineRule="exact"/>
        <w:rPr>
          <w:sz w:val="20"/>
          <w:szCs w:val="20"/>
          <w:color w:val="auto"/>
        </w:rPr>
      </w:pPr>
    </w:p>
    <w:p>
      <w:pPr>
        <w:ind w:left="120" w:right="379" w:firstLine="791"/>
        <w:spacing w:after="0" w:line="275"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references to us under the heading “Legal Matters” in the prospectus contained therein. In giving such consent, we do not thereby admit that we are in the category of persons whose consent is required under Section 7 of the Act.</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Sullivan &amp; Cromwell LLP</w:t>
      </w:r>
    </w:p>
    <w:p>
      <w:pPr>
        <w:sectPr>
          <w:pgSz w:w="11900" w:h="16838" w:orient="portrait"/>
          <w:cols w:equalWidth="0" w:num="1">
            <w:col w:w="9019"/>
          </w:cols>
          <w:pgMar w:left="1440" w:top="243" w:right="1440" w:bottom="1440" w:gutter="0" w:footer="0" w:header="0"/>
        </w:sectPr>
      </w:pPr>
    </w:p>
    <w:bookmarkStart w:id="40" w:name="page41"/>
    <w:bookmarkEnd w:id="40"/>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4" w:lineRule="exact"/>
        <w:rPr>
          <w:sz w:val="20"/>
          <w:szCs w:val="20"/>
          <w:color w:val="auto"/>
        </w:rPr>
      </w:pPr>
    </w:p>
    <w:p>
      <w:pPr>
        <w:ind w:left="120" w:right="119"/>
        <w:spacing w:after="0" w:line="269"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Integra LifeSciences Holdings Corporation of our report dated February 26, 2026 relating to the financial statements and the effectiveness of internal control over financial reporting, which appears in Integra LifeSciences Holdings Corporation’s Annual Report on Form 10-K for the year ended December 31, 2025. We also consent to the reference to us under the heading “Experts” in such Registration Statement.</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Florham Park, New Jersey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February 26, 2026</w:t>
      </w:r>
    </w:p>
    <w:p>
      <w:pPr>
        <w:sectPr>
          <w:pgSz w:w="11900" w:h="16838" w:orient="portrait"/>
          <w:cols w:equalWidth="0" w:num="1">
            <w:col w:w="9019"/>
          </w:cols>
          <w:pgMar w:left="1440" w:top="123" w:right="1440" w:bottom="1440" w:gutter="0" w:footer="0" w:header="0"/>
        </w:sectPr>
      </w:pPr>
    </w:p>
    <w:bookmarkStart w:id="41" w:name="page42"/>
    <w:bookmarkEnd w:id="41"/>
    <w:p>
      <w:pPr>
        <w:spacing w:after="0" w:line="62" w:lineRule="exact"/>
        <w:rPr>
          <w:sz w:val="20"/>
          <w:szCs w:val="20"/>
          <w:color w:val="auto"/>
        </w:rPr>
      </w:pPr>
    </w:p>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INTEGRA LIFESCIENCES HOLDINGS CORP</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3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14"/>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19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Contracts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3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9" w:lineRule="exact"/>
        <w:rPr>
          <w:sz w:val="20"/>
          <w:szCs w:val="20"/>
          <w:color w:val="auto"/>
        </w:rPr>
      </w:pPr>
    </w:p>
    <w:p>
      <w:pPr>
        <w:ind w:left="220" w:right="220" w:hanging="182"/>
        <w:spacing w:after="0" w:line="233" w:lineRule="auto"/>
        <w:tabs>
          <w:tab w:leader="none" w:pos="220"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(1) An indeterminate aggregate initial offering price or number of the securities of each identified class is being registered as may from time to time be offered at indeterminate prices and as may be issued upon conversion, exchange, exercise, or pursuant to any applicable antidilution provisions of any such securities. Separate consideration may or may not be received for securities that are issuable on exercise, conversion or exchange of other securities. (2) The registrant is relying on Rules 456(b) and 457(r) under the Securities Act to defer payment of the entire registration fee.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4438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6" w:lineRule="exact"/>
        <w:rPr>
          <w:sz w:val="20"/>
          <w:szCs w:val="20"/>
          <w:color w:val="auto"/>
        </w:rPr>
      </w:pPr>
    </w:p>
    <w:p>
      <w:pPr>
        <w:ind w:left="220" w:hanging="182"/>
        <w:spacing w:after="0"/>
        <w:tabs>
          <w:tab w:leader="none" w:pos="22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43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1" w:lineRule="exact"/>
        <w:rPr>
          <w:sz w:val="20"/>
          <w:szCs w:val="20"/>
          <w:color w:val="auto"/>
        </w:rPr>
      </w:pPr>
    </w:p>
    <w:p>
      <w:pPr>
        <w:ind w:left="220" w:hanging="182"/>
        <w:spacing w:after="0"/>
        <w:tabs>
          <w:tab w:leader="none" w:pos="22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438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1" w:lineRule="exact"/>
        <w:rPr>
          <w:sz w:val="20"/>
          <w:szCs w:val="20"/>
          <w:color w:val="auto"/>
        </w:rPr>
      </w:pPr>
    </w:p>
    <w:p>
      <w:pPr>
        <w:ind w:left="220" w:hanging="182"/>
        <w:spacing w:after="0"/>
        <w:tabs>
          <w:tab w:leader="none" w:pos="22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438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1" w:lineRule="exact"/>
        <w:rPr>
          <w:sz w:val="20"/>
          <w:szCs w:val="20"/>
          <w:color w:val="auto"/>
        </w:rPr>
      </w:pPr>
    </w:p>
    <w:p>
      <w:pPr>
        <w:ind w:left="220" w:hanging="182"/>
        <w:spacing w:after="0"/>
        <w:tabs>
          <w:tab w:leader="none" w:pos="22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438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1" w:lineRule="exact"/>
        <w:rPr>
          <w:sz w:val="20"/>
          <w:szCs w:val="20"/>
          <w:color w:val="auto"/>
        </w:rPr>
      </w:pPr>
    </w:p>
    <w:p>
      <w:pPr>
        <w:ind w:left="220" w:hanging="182"/>
        <w:spacing w:after="0"/>
        <w:tabs>
          <w:tab w:leader="none" w:pos="220"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438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30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r>
      <w:tr>
        <w:trPr>
          <w:trHeight w:val="198"/>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7"/>
                <w:szCs w:val="17"/>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6"/>
                <w:szCs w:val="16"/>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20"/>
                <w:szCs w:val="20"/>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20"/>
                <w:szCs w:val="20"/>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r>
    </w:tbl>
    <w:p>
      <w:pPr>
        <w:sectPr>
          <w:pgSz w:w="11900" w:h="16900" w:orient="portrait"/>
          <w:cols w:equalWidth="0" w:num="1">
            <w:col w:w="11360"/>
          </w:cols>
          <w:pgMar w:left="300" w:top="140" w:right="239" w:bottom="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line="264" w:lineRule="auto"/>
        <w:rPr>
          <w:sz w:val="20"/>
          <w:szCs w:val="20"/>
          <w:color w:val="auto"/>
        </w:rPr>
      </w:pPr>
      <w:r>
        <w:rPr>
          <w:rFonts w:ascii="Arial" w:cs="Arial" w:eastAsia="Arial" w:hAnsi="Arial"/>
          <w:sz w:val="17"/>
          <w:szCs w:val="17"/>
          <w:color w:val="auto"/>
        </w:rPr>
        <w:t>Fee Offset Claims</w:t>
      </w:r>
    </w:p>
    <w:p>
      <w:pPr>
        <w:spacing w:after="0" w:line="1" w:lineRule="exact"/>
        <w:rPr>
          <w:sz w:val="20"/>
          <w:szCs w:val="20"/>
          <w:color w:val="auto"/>
        </w:rPr>
      </w:pPr>
    </w:p>
    <w:p>
      <w:pPr>
        <w:ind w:left="40"/>
        <w:spacing w:after="0" w:line="275" w:lineRule="auto"/>
        <w:rPr>
          <w:sz w:val="20"/>
          <w:szCs w:val="20"/>
          <w:color w:val="auto"/>
        </w:rPr>
      </w:pPr>
      <w:r>
        <w:rPr>
          <w:rFonts w:ascii="Arial" w:cs="Arial" w:eastAsia="Arial" w:hAnsi="Arial"/>
          <w:sz w:val="17"/>
          <w:szCs w:val="17"/>
          <w:color w:val="auto"/>
        </w:rPr>
        <w:t>Fee Offset Sources</w:t>
      </w:r>
    </w:p>
    <w:p>
      <w:pPr>
        <w:spacing w:after="0" w:line="220" w:lineRule="exact"/>
        <w:rPr>
          <w:sz w:val="20"/>
          <w:szCs w:val="20"/>
          <w:color w:val="auto"/>
        </w:rPr>
      </w:pPr>
    </w:p>
    <w:p>
      <w:pPr>
        <w:ind w:left="40"/>
        <w:spacing w:after="0" w:line="264" w:lineRule="auto"/>
        <w:rPr>
          <w:sz w:val="20"/>
          <w:szCs w:val="20"/>
          <w:color w:val="auto"/>
        </w:rPr>
      </w:pPr>
      <w:r>
        <w:rPr>
          <w:rFonts w:ascii="Arial" w:cs="Arial" w:eastAsia="Arial" w:hAnsi="Arial"/>
          <w:sz w:val="17"/>
          <w:szCs w:val="17"/>
          <w:color w:val="auto"/>
        </w:rPr>
        <w:t>Fee Offset Claims</w:t>
      </w:r>
    </w:p>
    <w:p>
      <w:pPr>
        <w:spacing w:after="0" w:line="1" w:lineRule="exact"/>
        <w:rPr>
          <w:sz w:val="20"/>
          <w:szCs w:val="20"/>
          <w:color w:val="auto"/>
        </w:rPr>
      </w:pPr>
    </w:p>
    <w:p>
      <w:pPr>
        <w:ind w:left="40"/>
        <w:spacing w:after="0" w:line="275" w:lineRule="auto"/>
        <w:rPr>
          <w:sz w:val="20"/>
          <w:szCs w:val="20"/>
          <w:color w:val="auto"/>
        </w:rPr>
      </w:pPr>
      <w:r>
        <w:rPr>
          <w:rFonts w:ascii="Arial" w:cs="Arial" w:eastAsia="Arial" w:hAnsi="Arial"/>
          <w:sz w:val="17"/>
          <w:szCs w:val="17"/>
          <w:color w:val="auto"/>
        </w:rPr>
        <w:t>Fee Offset Sources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ind w:left="240"/>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r>
      <w:tr>
        <w:trPr>
          <w:trHeight w:val="228"/>
        </w:trPr>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4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ind w:left="160"/>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r>
      <w:tr>
        <w:trPr>
          <w:trHeight w:val="253"/>
        </w:trPr>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20" w:type="dxa"/>
            <w:vAlign w:val="bottom"/>
            <w:gridSpan w:val="11"/>
          </w:tcPr>
          <w:p>
            <w:pPr>
              <w:jc w:val="center"/>
              <w:ind w:right="734"/>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18"/>
        </w:trPr>
        <w:tc>
          <w:tcPr>
            <w:tcW w:w="74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60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56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shd w:val="clear" w:color="auto" w:fill="E7E7E2"/>
          </w:tcPr>
          <w:p>
            <w:pPr>
              <w:ind w:left="160"/>
              <w:spacing w:after="0"/>
              <w:rPr>
                <w:sz w:val="20"/>
                <w:szCs w:val="20"/>
                <w:color w:val="auto"/>
              </w:rPr>
            </w:pPr>
            <w:r>
              <w:rPr>
                <w:rFonts w:ascii="Arial" w:cs="Arial" w:eastAsia="Arial" w:hAnsi="Arial"/>
                <w:sz w:val="17"/>
                <w:szCs w:val="17"/>
                <w:color w:val="auto"/>
                <w:w w:val="98"/>
              </w:rPr>
              <w:t>N/A</w:t>
            </w:r>
          </w:p>
        </w:tc>
        <w:tc>
          <w:tcPr>
            <w:tcW w:w="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280" w:type="dxa"/>
            <w:vAlign w:val="bottom"/>
            <w:shd w:val="clear" w:color="auto" w:fill="E7E7E2"/>
          </w:tcPr>
          <w:p>
            <w:pPr>
              <w:spacing w:after="0"/>
              <w:rPr>
                <w:sz w:val="24"/>
                <w:szCs w:val="24"/>
                <w:color w:val="auto"/>
              </w:rPr>
            </w:pPr>
          </w:p>
        </w:tc>
        <w:tc>
          <w:tcPr>
            <w:tcW w:w="420" w:type="dxa"/>
            <w:vAlign w:val="bottom"/>
            <w:shd w:val="clear" w:color="auto" w:fill="E7E7E2"/>
          </w:tcPr>
          <w:p>
            <w:pPr>
              <w:ind w:left="1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940" w:type="dxa"/>
            <w:vAlign w:val="bottom"/>
            <w:shd w:val="clear" w:color="auto" w:fill="E7E7E2"/>
          </w:tcPr>
          <w:p>
            <w:pPr>
              <w:ind w:left="6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80" w:type="dxa"/>
            <w:vAlign w:val="bottom"/>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640" w:type="dxa"/>
            <w:vAlign w:val="bottom"/>
            <w:shd w:val="clear" w:color="auto" w:fill="E7E7E2"/>
          </w:tcPr>
          <w:p>
            <w:pPr>
              <w:ind w:left="360"/>
              <w:spacing w:after="0"/>
              <w:rPr>
                <w:sz w:val="20"/>
                <w:szCs w:val="20"/>
                <w:color w:val="auto"/>
              </w:rPr>
            </w:pPr>
            <w:r>
              <w:rPr>
                <w:rFonts w:ascii="Arial" w:cs="Arial" w:eastAsia="Arial" w:hAnsi="Arial"/>
                <w:sz w:val="17"/>
                <w:szCs w:val="17"/>
                <w:color w:val="auto"/>
                <w:w w:val="91"/>
              </w:rPr>
              <w:t>N/A</w:t>
            </w:r>
          </w:p>
        </w:tc>
      </w:tr>
      <w:tr>
        <w:trPr>
          <w:trHeight w:val="97"/>
        </w:trPr>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4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r>
      <w:tr>
        <w:trPr>
          <w:trHeight w:val="22"/>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2"/>
        </w:trPr>
        <w:tc>
          <w:tcPr>
            <w:tcW w:w="74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60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56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shd w:val="clear" w:color="auto" w:fill="E7E7E2"/>
          </w:tcPr>
          <w:p>
            <w:pPr>
              <w:ind w:left="160"/>
              <w:spacing w:after="0"/>
              <w:rPr>
                <w:sz w:val="20"/>
                <w:szCs w:val="20"/>
                <w:color w:val="auto"/>
              </w:rPr>
            </w:pPr>
            <w:r>
              <w:rPr>
                <w:rFonts w:ascii="Arial" w:cs="Arial" w:eastAsia="Arial" w:hAnsi="Arial"/>
                <w:sz w:val="17"/>
                <w:szCs w:val="17"/>
                <w:color w:val="auto"/>
                <w:w w:val="98"/>
              </w:rPr>
              <w:t>N/A</w:t>
            </w:r>
          </w:p>
        </w:tc>
        <w:tc>
          <w:tcPr>
            <w:tcW w:w="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280" w:type="dxa"/>
            <w:vAlign w:val="bottom"/>
            <w:shd w:val="clear" w:color="auto" w:fill="E7E7E2"/>
          </w:tcPr>
          <w:p>
            <w:pPr>
              <w:spacing w:after="0"/>
              <w:rPr>
                <w:sz w:val="24"/>
                <w:szCs w:val="24"/>
                <w:color w:val="auto"/>
              </w:rPr>
            </w:pPr>
          </w:p>
        </w:tc>
        <w:tc>
          <w:tcPr>
            <w:tcW w:w="420" w:type="dxa"/>
            <w:vAlign w:val="bottom"/>
            <w:shd w:val="clear" w:color="auto" w:fill="E7E7E2"/>
          </w:tcPr>
          <w:p>
            <w:pPr>
              <w:ind w:left="1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940" w:type="dxa"/>
            <w:vAlign w:val="bottom"/>
            <w:shd w:val="clear" w:color="auto" w:fill="E7E7E2"/>
          </w:tcPr>
          <w:p>
            <w:pPr>
              <w:ind w:left="6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80" w:type="dxa"/>
            <w:vAlign w:val="bottom"/>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640" w:type="dxa"/>
            <w:vAlign w:val="bottom"/>
            <w:shd w:val="clear" w:color="auto" w:fill="E7E7E2"/>
          </w:tcPr>
          <w:p>
            <w:pPr>
              <w:ind w:left="360"/>
              <w:spacing w:after="0"/>
              <w:rPr>
                <w:sz w:val="20"/>
                <w:szCs w:val="20"/>
                <w:color w:val="auto"/>
              </w:rPr>
            </w:pPr>
            <w:r>
              <w:rPr>
                <w:rFonts w:ascii="Arial" w:cs="Arial" w:eastAsia="Arial" w:hAnsi="Arial"/>
                <w:sz w:val="17"/>
                <w:szCs w:val="17"/>
                <w:color w:val="auto"/>
                <w:w w:val="91"/>
              </w:rPr>
              <w:t>N/A</w:t>
            </w:r>
          </w:p>
        </w:tc>
      </w:tr>
      <w:tr>
        <w:trPr>
          <w:trHeight w:val="97"/>
        </w:trPr>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4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r>
      <w:tr>
        <w:trPr>
          <w:trHeight w:val="253"/>
        </w:trPr>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7"/>
                <w:szCs w:val="17"/>
                <w:b w:val="1"/>
                <w:bCs w:val="1"/>
                <w:color w:val="auto"/>
              </w:rPr>
              <w:t>Rule 457(p)</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18"/>
        </w:trPr>
        <w:tc>
          <w:tcPr>
            <w:tcW w:w="74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60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56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shd w:val="clear" w:color="auto" w:fill="E7E7E2"/>
          </w:tcPr>
          <w:p>
            <w:pPr>
              <w:ind w:left="160"/>
              <w:spacing w:after="0"/>
              <w:rPr>
                <w:sz w:val="20"/>
                <w:szCs w:val="20"/>
                <w:color w:val="auto"/>
              </w:rPr>
            </w:pPr>
            <w:r>
              <w:rPr>
                <w:rFonts w:ascii="Arial" w:cs="Arial" w:eastAsia="Arial" w:hAnsi="Arial"/>
                <w:sz w:val="17"/>
                <w:szCs w:val="17"/>
                <w:color w:val="auto"/>
                <w:w w:val="98"/>
              </w:rPr>
              <w:t>N/A</w:t>
            </w:r>
          </w:p>
        </w:tc>
        <w:tc>
          <w:tcPr>
            <w:tcW w:w="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280" w:type="dxa"/>
            <w:vAlign w:val="bottom"/>
            <w:shd w:val="clear" w:color="auto" w:fill="E7E7E2"/>
          </w:tcPr>
          <w:p>
            <w:pPr>
              <w:spacing w:after="0"/>
              <w:rPr>
                <w:sz w:val="24"/>
                <w:szCs w:val="24"/>
                <w:color w:val="auto"/>
              </w:rPr>
            </w:pPr>
          </w:p>
        </w:tc>
        <w:tc>
          <w:tcPr>
            <w:tcW w:w="420" w:type="dxa"/>
            <w:vAlign w:val="bottom"/>
            <w:shd w:val="clear" w:color="auto" w:fill="E7E7E2"/>
          </w:tcPr>
          <w:p>
            <w:pPr>
              <w:ind w:left="1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940" w:type="dxa"/>
            <w:vAlign w:val="bottom"/>
            <w:shd w:val="clear" w:color="auto" w:fill="E7E7E2"/>
          </w:tcPr>
          <w:p>
            <w:pPr>
              <w:ind w:left="6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80" w:type="dxa"/>
            <w:vAlign w:val="bottom"/>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640" w:type="dxa"/>
            <w:vAlign w:val="bottom"/>
            <w:shd w:val="clear" w:color="auto" w:fill="E7E7E2"/>
          </w:tcPr>
          <w:p>
            <w:pPr>
              <w:ind w:left="360"/>
              <w:spacing w:after="0"/>
              <w:rPr>
                <w:sz w:val="20"/>
                <w:szCs w:val="20"/>
                <w:color w:val="auto"/>
              </w:rPr>
            </w:pPr>
            <w:r>
              <w:rPr>
                <w:rFonts w:ascii="Arial" w:cs="Arial" w:eastAsia="Arial" w:hAnsi="Arial"/>
                <w:sz w:val="17"/>
                <w:szCs w:val="17"/>
                <w:color w:val="auto"/>
                <w:w w:val="91"/>
              </w:rPr>
              <w:t>N/A</w:t>
            </w:r>
          </w:p>
        </w:tc>
      </w:tr>
      <w:tr>
        <w:trPr>
          <w:trHeight w:val="97"/>
        </w:trPr>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4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r>
      <w:tr>
        <w:trPr>
          <w:trHeight w:val="22"/>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2"/>
        </w:trPr>
        <w:tc>
          <w:tcPr>
            <w:tcW w:w="74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60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560" w:type="dxa"/>
            <w:vAlign w:val="bottom"/>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shd w:val="clear" w:color="auto" w:fill="E7E7E2"/>
          </w:tcPr>
          <w:p>
            <w:pPr>
              <w:ind w:left="160"/>
              <w:spacing w:after="0"/>
              <w:rPr>
                <w:sz w:val="20"/>
                <w:szCs w:val="20"/>
                <w:color w:val="auto"/>
              </w:rPr>
            </w:pPr>
            <w:r>
              <w:rPr>
                <w:rFonts w:ascii="Arial" w:cs="Arial" w:eastAsia="Arial" w:hAnsi="Arial"/>
                <w:sz w:val="17"/>
                <w:szCs w:val="17"/>
                <w:color w:val="auto"/>
                <w:w w:val="98"/>
              </w:rPr>
              <w:t>N/A</w:t>
            </w:r>
          </w:p>
        </w:tc>
        <w:tc>
          <w:tcPr>
            <w:tcW w:w="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280" w:type="dxa"/>
            <w:vAlign w:val="bottom"/>
            <w:shd w:val="clear" w:color="auto" w:fill="E7E7E2"/>
          </w:tcPr>
          <w:p>
            <w:pPr>
              <w:spacing w:after="0"/>
              <w:rPr>
                <w:sz w:val="24"/>
                <w:szCs w:val="24"/>
                <w:color w:val="auto"/>
              </w:rPr>
            </w:pPr>
          </w:p>
        </w:tc>
        <w:tc>
          <w:tcPr>
            <w:tcW w:w="420" w:type="dxa"/>
            <w:vAlign w:val="bottom"/>
            <w:shd w:val="clear" w:color="auto" w:fill="E7E7E2"/>
          </w:tcPr>
          <w:p>
            <w:pPr>
              <w:ind w:left="1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24"/>
                <w:szCs w:val="24"/>
                <w:color w:val="auto"/>
              </w:rPr>
            </w:pPr>
          </w:p>
        </w:tc>
        <w:tc>
          <w:tcPr>
            <w:tcW w:w="940" w:type="dxa"/>
            <w:vAlign w:val="bottom"/>
            <w:shd w:val="clear" w:color="auto" w:fill="E7E7E2"/>
          </w:tcPr>
          <w:p>
            <w:pPr>
              <w:ind w:left="6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980" w:type="dxa"/>
            <w:vAlign w:val="bottom"/>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24"/>
                <w:szCs w:val="24"/>
                <w:color w:val="auto"/>
              </w:rPr>
            </w:pPr>
          </w:p>
        </w:tc>
        <w:tc>
          <w:tcPr>
            <w:tcW w:w="640" w:type="dxa"/>
            <w:vAlign w:val="bottom"/>
            <w:shd w:val="clear" w:color="auto" w:fill="E7E7E2"/>
          </w:tcPr>
          <w:p>
            <w:pPr>
              <w:ind w:left="360"/>
              <w:spacing w:after="0"/>
              <w:rPr>
                <w:sz w:val="20"/>
                <w:szCs w:val="20"/>
                <w:color w:val="auto"/>
              </w:rPr>
            </w:pPr>
            <w:r>
              <w:rPr>
                <w:rFonts w:ascii="Arial" w:cs="Arial" w:eastAsia="Arial" w:hAnsi="Arial"/>
                <w:sz w:val="17"/>
                <w:szCs w:val="17"/>
                <w:color w:val="auto"/>
                <w:w w:val="91"/>
              </w:rPr>
              <w:t>N/A</w:t>
            </w:r>
          </w:p>
        </w:tc>
      </w:tr>
      <w:tr>
        <w:trPr>
          <w:trHeight w:val="97"/>
        </w:trPr>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4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-1647190</wp:posOffset>
            </wp:positionV>
            <wp:extent cx="7165975" cy="1671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65975" cy="167132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860" w:space="160"/>
            <w:col w:w="10260"/>
          </w:cols>
          <w:pgMar w:left="300" w:top="115" w:right="319" w:bottom="1440" w:gutter="0" w:footer="0" w:header="0"/>
        </w:sectPr>
      </w:pP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6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restart"/>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rPr>
              <w:t>Securities</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60" w:type="dxa"/>
            <w:vAlign w:val="bottom"/>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restart"/>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Previously</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continue"/>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continue"/>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6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2"/>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lvl w:ilvl="1">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Roman"/>
      <w:start w:val="2"/>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upperLetter"/>
      <w:start w:val="1"/>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lowerLetter"/>
      <w:start w:val="8"/>
    </w:lvl>
  </w:abstractNum>
  <w:abstractNum w:abstractNumId="28">
    <w:nsid w:val="614FD4A1"/>
    <w:multiLevelType w:val="hybridMultilevel"/>
    <w:lvl w:ilvl="0">
      <w:lvlJc w:val="left"/>
      <w:lvlText w:val="(%1)"/>
      <w:numFmt w:val="lowerLetter"/>
      <w:start w:val="10"/>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2"/>
      <w:numFmt w:val="bullet"/>
      <w:start w:val="1"/>
    </w:lvl>
  </w:abstractNum>
  <w:abstractNum w:abstractNumId="35">
    <w:nsid w:val="7724C67E"/>
    <w:multiLevelType w:val="hybridMultilevel"/>
    <w:lvl w:ilvl="0">
      <w:lvlJc w:val="left"/>
      <w:lvlText w:val="3"/>
      <w:numFmt w:val="bullet"/>
      <w:start w:val="1"/>
    </w:lvl>
  </w:abstractNum>
  <w:abstractNum w:abstractNumId="36">
    <w:nsid w:val="5C482A97"/>
    <w:multiLevelType w:val="hybridMultilevel"/>
    <w:lvl w:ilvl="0">
      <w:lvlJc w:val="left"/>
      <w:lvlText w:val="4"/>
      <w:numFmt w:val="bullet"/>
      <w:start w:val="1"/>
    </w:lvl>
  </w:abstractNum>
  <w:abstractNum w:abstractNumId="37">
    <w:nsid w:val="2463B9EA"/>
    <w:multiLevelType w:val="hybridMultilevel"/>
    <w:lvl w:ilvl="0">
      <w:lvlJc w:val="left"/>
      <w:lvlText w:val="5"/>
      <w:numFmt w:val="bullet"/>
      <w:start w:val="1"/>
    </w:lvl>
  </w:abstractNum>
  <w:abstractNum w:abstractNumId="38">
    <w:nsid w:val="5E884ADC"/>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25" Type="http://schemas.openxmlformats.org/officeDocument/2006/relationships/hyperlink" Target="http://www.sec.gov/ix?doc=/Archives/edgar/data/917520/000091752026000011/iart-20251231.htm" TargetMode="External"/><Relationship Id="rId26" Type="http://schemas.openxmlformats.org/officeDocument/2006/relationships/hyperlink" Target="http://www.sec.gov/ix?doc=/Archives/edgar/data/917520/000091752025000017/iart-20241231.htm" TargetMode="External"/><Relationship Id="rId27" Type="http://schemas.openxmlformats.org/officeDocument/2006/relationships/hyperlink" Target="http://www.sec.gov/ix?doc=/Archives/edgar/data/917520/000091752025000032/iart-20250404.htm" TargetMode="External"/><Relationship Id="rId28" Type="http://schemas.openxmlformats.org/officeDocument/2006/relationships/hyperlink" Target="http://www.sec.gov/Archives/edgar/data/917520/000119312513425190/d622223d8k.htm" TargetMode="External"/><Relationship Id="rId29" Type="http://schemas.openxmlformats.org/officeDocument/2006/relationships/hyperlink" Target="http://www.sec.gov/Archives/edgar/data/917520/000091752026000011/iart-20251231xexx44.htm" TargetMode="External"/><Relationship Id="rId57" Type="http://schemas.openxmlformats.org/officeDocument/2006/relationships/hyperlink" Target="http://www.sec.gov/Archives/edgar/data/917520/000091752006000066/ex3-1aform10k031406.txt" TargetMode="External"/><Relationship Id="rId58" Type="http://schemas.openxmlformats.org/officeDocument/2006/relationships/hyperlink" Target="http://www.sec.gov/Archives/edgar/data/917520/0000889812-99-001063.txt" TargetMode="External"/><Relationship Id="rId59" Type="http://schemas.openxmlformats.org/officeDocument/2006/relationships/hyperlink" Target="http://www.sec.gov/Archives/edgar/data/917520/000095012305003217/y06769exv3w1wc.txt" TargetMode="External"/><Relationship Id="rId60" Type="http://schemas.openxmlformats.org/officeDocument/2006/relationships/hyperlink" Target="http://www.sec.gov/Archives/edgar/data/917520/000091752016000107/ex_3x1xfileddecember22x2016.htm" TargetMode="External"/><Relationship Id="rId61" Type="http://schemas.openxmlformats.org/officeDocument/2006/relationships/hyperlink" Target="http://www.sec.gov/Archives/edgar/data/917520/000091752024000108/iart-20240930xexx31e.htm" TargetMode="External"/><Relationship Id="rId62" Type="http://schemas.openxmlformats.org/officeDocument/2006/relationships/hyperlink" Target="http://www.sec.gov/Archives/edgar/data/917520/000091752023000015/iart-20221231xexx33.htm" TargetMode="External"/><Relationship Id="rId63" Type="http://schemas.openxmlformats.org/officeDocument/2006/relationships/hyperlink" Target="http://www.sec.gov/Archives/edgar/data/917520/000095012307012814/y39845aexv4w3.htm" TargetMode="External"/><Relationship Id="rId64" Type="http://schemas.openxmlformats.org/officeDocument/2006/relationships/hyperlink" Target="http://www.sec.gov/Archives/edgar/data/917520/000119312520044744/d426121dex4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2026-02-26T17:02:22Z</dcterms:created>
  <dcterms:modified xsi:type="dcterms:W3CDTF">2026-02-26T17:02:22Z</dcterms:modified>
</cp:coreProperties>
</file>