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4,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Integra LifeSciences Holdings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4960" w:type="dxa"/>
            <w:vAlign w:val="bottom"/>
          </w:tcPr>
          <w:p>
            <w:pPr>
              <w:jc w:val="center"/>
              <w:ind w:right="1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48"/>
        </w:trPr>
        <w:tc>
          <w:tcPr>
            <w:tcW w:w="4960" w:type="dxa"/>
            <w:vAlign w:val="bottom"/>
          </w:tcPr>
          <w:p>
            <w:pPr>
              <w:jc w:val="center"/>
              <w:ind w:right="16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6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960" w:type="dxa"/>
            <w:vAlign w:val="bottom"/>
          </w:tcPr>
          <w:p>
            <w:pPr>
              <w:jc w:val="center"/>
              <w:ind w:right="1601"/>
              <w:spacing w:after="0"/>
              <w:rPr>
                <w:sz w:val="20"/>
                <w:szCs w:val="20"/>
                <w:color w:val="auto"/>
              </w:rPr>
            </w:pPr>
            <w:r>
              <w:rPr>
                <w:rFonts w:ascii="Times New Roman" w:cs="Times New Roman" w:eastAsia="Times New Roman" w:hAnsi="Times New Roman"/>
                <w:sz w:val="18"/>
                <w:szCs w:val="18"/>
                <w:b w:val="1"/>
                <w:bCs w:val="1"/>
                <w:color w:val="auto"/>
                <w:w w:val="99"/>
              </w:rPr>
              <w:t>1100 Campus Road, Princeton, New Jersey</w:t>
            </w:r>
          </w:p>
        </w:tc>
        <w:tc>
          <w:tcPr>
            <w:tcW w:w="2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496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Fifth Amended and Restated Integra LifeSciences Holdings Corporation 2003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Eric I. Schwartz</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 &amp;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(609) 275-0500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Integra LifeSciences Holdings Corporation, a Delaware corporation (the “Company” or “Registrant”), relating to 1,900,000 shares of the Company’s common stock, par value $0.01 per share (“Common Stock”), to be issued under the Integra LifeSciences Holdings Corporation Fifth Amended and Restated 2003 Equity Incentive Plan, as amended (the “Plan”), representing the increased number of shares of Common Stock authorized by an amendment to the Plan that was approved by the Company’s shareholders on May 9, 2024.</w:t>
      </w:r>
    </w:p>
    <w:p>
      <w:pPr>
        <w:spacing w:after="0" w:line="183" w:lineRule="exact"/>
        <w:rPr>
          <w:sz w:val="20"/>
          <w:szCs w:val="20"/>
          <w:color w:val="auto"/>
        </w:rPr>
      </w:pPr>
    </w:p>
    <w:p>
      <w:pPr>
        <w:ind w:righ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to Form S-8, this Registration Statement incorporates by reference the contents of the following registration statements previously filed with the Securities and Exchange Commission (the “Commission”): (i) the registration statement on Form S-8 filed by the Registrant on December 17, 2021 (File No. </w:t>
      </w:r>
      <w:hyperlink r:id="rId19">
        <w:r>
          <w:rPr>
            <w:rFonts w:ascii="Times New Roman" w:cs="Times New Roman" w:eastAsia="Times New Roman" w:hAnsi="Times New Roman"/>
            <w:sz w:val="18"/>
            <w:szCs w:val="18"/>
            <w:color w:val="0000EE"/>
          </w:rPr>
          <w:t>333-261744</w:t>
        </w:r>
      </w:hyperlink>
      <w:r>
        <w:rPr>
          <w:rFonts w:ascii="Times New Roman" w:cs="Times New Roman" w:eastAsia="Times New Roman" w:hAnsi="Times New Roman"/>
          <w:sz w:val="18"/>
          <w:szCs w:val="18"/>
          <w:color w:val="auto"/>
        </w:rPr>
        <w:t xml:space="preserve">) relating to the Plan; (ii) the registration statement on Form S-8 filed by the Registrant on October 30, 2017 (File No. </w:t>
      </w:r>
      <w:hyperlink r:id="rId20">
        <w:r>
          <w:rPr>
            <w:rFonts w:ascii="Times New Roman" w:cs="Times New Roman" w:eastAsia="Times New Roman" w:hAnsi="Times New Roman"/>
            <w:sz w:val="18"/>
            <w:szCs w:val="18"/>
            <w:color w:val="0000EE"/>
          </w:rPr>
          <w:t>333-221210</w:t>
        </w:r>
      </w:hyperlink>
      <w:r>
        <w:rPr>
          <w:rFonts w:ascii="Times New Roman" w:cs="Times New Roman" w:eastAsia="Times New Roman" w:hAnsi="Times New Roman"/>
          <w:sz w:val="18"/>
          <w:szCs w:val="18"/>
          <w:color w:val="auto"/>
        </w:rPr>
        <w:t xml:space="preserve">) relating to the Plan; (iii) the registration statement on Form S-8 filed by the Registrant on February 24, 2017 (File No. </w:t>
      </w:r>
      <w:hyperlink r:id="rId21">
        <w:r>
          <w:rPr>
            <w:rFonts w:ascii="Times New Roman" w:cs="Times New Roman" w:eastAsia="Times New Roman" w:hAnsi="Times New Roman"/>
            <w:sz w:val="18"/>
            <w:szCs w:val="18"/>
            <w:color w:val="0000EE"/>
          </w:rPr>
          <w:t>333-216212</w:t>
        </w:r>
      </w:hyperlink>
      <w:r>
        <w:rPr>
          <w:rFonts w:ascii="Times New Roman" w:cs="Times New Roman" w:eastAsia="Times New Roman" w:hAnsi="Times New Roman"/>
          <w:sz w:val="18"/>
          <w:szCs w:val="18"/>
          <w:color w:val="auto"/>
        </w:rPr>
        <w:t>) relating to the Plan; (iv) the registration statement on Form S-8 filed by the Registrant on October 29, 2010 (File No.</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1977390</wp:posOffset>
            </wp:positionH>
            <wp:positionV relativeFrom="paragraph">
              <wp:posOffset>-297180</wp:posOffset>
            </wp:positionV>
            <wp:extent cx="58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1235075</wp:posOffset>
            </wp:positionH>
            <wp:positionV relativeFrom="paragraph">
              <wp:posOffset>-160020</wp:posOffset>
            </wp:positionV>
            <wp:extent cx="580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-22860</wp:posOffset>
            </wp:positionV>
            <wp:extent cx="580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80390" cy="8890"/>
                    </a:xfrm>
                    <a:prstGeom prst="rect">
                      <a:avLst/>
                    </a:prstGeom>
                    <a:noFill/>
                  </pic:spPr>
                </pic:pic>
              </a:graphicData>
            </a:graphic>
          </wp:anchor>
        </w:drawing>
      </w:r>
    </w:p>
    <w:p>
      <w:pPr>
        <w:ind w:right="20"/>
        <w:spacing w:after="0" w:line="253" w:lineRule="auto"/>
        <w:rPr>
          <w:rFonts w:ascii="Times New Roman" w:cs="Times New Roman" w:eastAsia="Times New Roman" w:hAnsi="Times New Roman"/>
          <w:sz w:val="18"/>
          <w:szCs w:val="18"/>
          <w:color w:val="000000"/>
        </w:rPr>
      </w:pPr>
      <w:hyperlink r:id="rId25">
        <w:r>
          <w:rPr>
            <w:rFonts w:ascii="Times New Roman" w:cs="Times New Roman" w:eastAsia="Times New Roman" w:hAnsi="Times New Roman"/>
            <w:sz w:val="18"/>
            <w:szCs w:val="18"/>
            <w:u w:val="single" w:color="auto"/>
            <w:color w:val="0000EE"/>
          </w:rPr>
          <w:t>333-170210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Plan; (v) the registration statement on Form S-8 filed by the Registrant on November 10, 2008 (File No.</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color w:val="0000EE"/>
          </w:rPr>
          <w:t>333-155263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relating to the Plan; (vi) the registration statement on Form S-8 filed by the Registrant on August 12, 2005 (File No. </w:t>
      </w:r>
      <w:hyperlink r:id="rId27">
        <w:r>
          <w:rPr>
            <w:rFonts w:ascii="Times New Roman" w:cs="Times New Roman" w:eastAsia="Times New Roman" w:hAnsi="Times New Roman"/>
            <w:sz w:val="18"/>
            <w:szCs w:val="18"/>
            <w:color w:val="0000EE"/>
          </w:rPr>
          <w:t>333-127488</w:t>
        </w:r>
      </w:hyperlink>
      <w:r>
        <w:rPr>
          <w:rFonts w:ascii="Times New Roman" w:cs="Times New Roman" w:eastAsia="Times New Roman" w:hAnsi="Times New Roman"/>
          <w:sz w:val="18"/>
          <w:szCs w:val="18"/>
          <w:color w:val="000000"/>
        </w:rPr>
        <w:t xml:space="preserve">) relating to the Plan; and (vii) the registration statement on Form S-8 filed by the Registrant on September 23, 2003 (File No. </w:t>
      </w:r>
      <w:hyperlink r:id="rId28">
        <w:r>
          <w:rPr>
            <w:rFonts w:ascii="Times New Roman" w:cs="Times New Roman" w:eastAsia="Times New Roman" w:hAnsi="Times New Roman"/>
            <w:sz w:val="18"/>
            <w:szCs w:val="18"/>
            <w:color w:val="0000EE"/>
          </w:rPr>
          <w:t>333-109042</w:t>
        </w:r>
      </w:hyperlink>
      <w:r>
        <w:rPr>
          <w:rFonts w:ascii="Times New Roman" w:cs="Times New Roman" w:eastAsia="Times New Roman" w:hAnsi="Times New Roman"/>
          <w:sz w:val="18"/>
          <w:szCs w:val="18"/>
          <w:color w:val="000000"/>
        </w:rPr>
        <w:t>) relating to the Plan (together, the “Prior Forms S-8”). The contents of the Prior Forms S-8 are incorporated into this Registration Statement by reference except, in each case, to the extent supplemented, amended or superseded by the information set forth 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6035675</wp:posOffset>
            </wp:positionH>
            <wp:positionV relativeFrom="paragraph">
              <wp:posOffset>-580390</wp:posOffset>
            </wp:positionV>
            <wp:extent cx="5803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-443230</wp:posOffset>
            </wp:positionV>
            <wp:extent cx="580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-306070</wp:posOffset>
            </wp:positionV>
            <wp:extent cx="5803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37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rFonts w:ascii="Times New Roman" w:cs="Times New Roman" w:eastAsia="Times New Roman" w:hAnsi="Times New Roman"/>
          <w:sz w:val="18"/>
          <w:szCs w:val="18"/>
          <w:color w:val="0000EE"/>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sent or given to the participants in the Plan as required by Rule 428(b)(1) under the Securities Act. These documents and the documents incorporated by reference herein pursuant to Item 3 of Part II hereof, taken together, constitute a prospectus that meets the requirements of Section 10(a) of the Securities Act.</w:t>
      </w:r>
    </w:p>
    <w:p>
      <w:pPr>
        <w:spacing w:after="0" w:line="395"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rFonts w:ascii="Times New Roman" w:cs="Times New Roman" w:eastAsia="Times New Roman" w:hAnsi="Times New Roman"/>
          <w:sz w:val="18"/>
          <w:szCs w:val="18"/>
          <w:color w:val="0000EE"/>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67" w:lineRule="exact"/>
        <w:rPr>
          <w:rFonts w:ascii="Times New Roman" w:cs="Times New Roman" w:eastAsia="Times New Roman" w:hAnsi="Times New Roman"/>
          <w:sz w:val="18"/>
          <w:szCs w:val="18"/>
          <w:color w:val="0000EE"/>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Commission on February 28, 2024;</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quarterly periods ended </w:t>
      </w:r>
      <w:hyperlink r:id="rId33">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xml:space="preserve"> filed with the Commission on May 6, 2024, July 29, 2024 and November 4, 2024, respectively;</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3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filed with the Commission on April 4, 2024, to the extent incorporated by reference into the Registrant’s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67"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The Registrant’s Current Reports on Form 8-K or Form 8-K/A, as applicable, filed with the Commission on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May 13, 2024</w:t>
        </w:r>
      </w:hyperlink>
      <w:hyperlink r:id="rId3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 xml:space="preserve">May 17, 2024 </w:t>
        </w:r>
      </w:hyperlink>
      <w:hyperlink r:id="rId3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November 4, 2024</w:t>
        </w:r>
      </w:hyperlink>
      <w:hyperlink r:id="rId37">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960" w:right="24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Current Report on Form 8-K filed on </w:t>
      </w:r>
      <w:hyperlink r:id="rId41">
        <w:r>
          <w:rPr>
            <w:rFonts w:ascii="Times New Roman" w:cs="Times New Roman" w:eastAsia="Times New Roman" w:hAnsi="Times New Roman"/>
            <w:sz w:val="18"/>
            <w:szCs w:val="18"/>
            <w:u w:val="single" w:color="auto"/>
            <w:color w:val="0000EE"/>
          </w:rPr>
          <w:t>November 4, 2013</w:t>
        </w:r>
      </w:hyperlink>
      <w:r>
        <w:rPr>
          <w:rFonts w:ascii="Times New Roman" w:cs="Times New Roman" w:eastAsia="Times New Roman" w:hAnsi="Times New Roman"/>
          <w:sz w:val="18"/>
          <w:szCs w:val="18"/>
          <w:color w:val="auto"/>
        </w:rPr>
        <w:t xml:space="preserve"> and any amendment or report filed with the SEC for the purpose of updating the description, including </w:t>
      </w:r>
      <w:hyperlink r:id="rId4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w:t>
      </w:r>
    </w:p>
    <w:p>
      <w:pPr>
        <w:sectPr>
          <w:pgSz w:w="11900" w:h="16838" w:orient="portrait"/>
          <w:cols w:equalWidth="0" w:num="1">
            <w:col w:w="11000"/>
          </w:cols>
          <w:pgMar w:left="440" w:top="266" w:right="459" w:bottom="1440" w:gutter="0" w:footer="0" w:header="0"/>
        </w:sectPr>
      </w:pPr>
    </w:p>
    <w:bookmarkStart w:id="2" w:name="page3"/>
    <w:bookmarkEnd w:id="2"/>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documents filed by the Registrant with the Commission pursuant to Sections 13(a), 13(c), 14 and 15(d) of the Securities Exchange Act of 1934, as amended (the “Exchange Act”) (excluding information deemed to be furnished and not filed with the Commission) subsequent to the date of this Registration Statement and prior to the filing of a post-effective amendment that indicates that all securities offered hereby have been sold or that deregisters all securities then remaining unsold, will be deemed to be incorporated by reference in this Registration Statement and to be part hereof from the date of filing of such documents. The Registrant does not and will not, however, incorporate by reference in this Registration Statement any documents or portions thereof that are not deemed “filed” with the Commission, including any information or exhibits furnished pursuant to Item 2.02 or Item 7.01 of the Registrant’s Current Reports on Form 8-K unless, and except to the extent, specified in such Current Reports.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7"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summary is qualified in its entirety by reference to the complete text of any statutes referred to below and the certificate of incorporation and bylaws of Integra LifeSciences Holdings Corporation.</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Registrant is organized under the laws of the State of Delaware. As permitted by the Delaware General Corporation Law (“DGCL”), Article 7 of the Company’s amended and restated certificate of incorporation, as amended (the “Certificate of Incorporation”) provides that our directors and officers shall not be personally liable to the Company or our stockholders for monetary damages for breach of fiduciary duty as directors and officers, except to the extent that Section 102(b)(7) (or any successor provision) of the DGCL, as amended from time to time, expressly provides that the liability of a director or officer may not be eliminated or limited. Under Section 102(b)(7) of the DGCL, liability of a director or officer may not be limited (i) for any breach of a director’s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 (iv) for any transaction from which the director or officer derived an improper personal benefit, or (v) an officer in any action by or in the right of the Company. In addition, Article 6 of our third amended and restated bylaws (the “Bylaws”) provides for indemnification of our officers and directors to the fullest extent permitted under Delaware law.</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w:t>
      </w:r>
    </w:p>
    <w:p>
      <w:pPr>
        <w:sectPr>
          <w:pgSz w:w="11900" w:h="16838" w:orient="portrait"/>
          <w:cols w:equalWidth="0" w:num="1">
            <w:col w:w="11000"/>
          </w:cols>
          <w:pgMar w:left="440" w:top="270" w:right="459" w:bottom="1440" w:gutter="0" w:footer="0" w:header="0"/>
        </w:sectPr>
      </w:pPr>
    </w:p>
    <w:bookmarkStart w:id="3" w:name="page4"/>
    <w:bookmarkEnd w:id="3"/>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liabilities under Section 145.</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Any person claiming indemnification within the scope of Section 6.01 of the Registrant’s Bylaws is entitled to advances from the Registrant for payment of the expenses of defending actions against such person in the manner and to the full extent permissible under Delaware law.</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indemnification provided under Article 6 of the Bylaws is in the nature of a contract between the Registrant and each of its directors and officers. No amendment or repeal of any provision of Article 6 of the Bylaws will alter, to the detriment of such director or officer, the right of such person to the advancement of expenses or indemnification related to a claim based on an act or failure to act which took place prior to such amendment, repeal or termination.</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Article 6 of the Bylaws is not exclusive of any other rights to which those seeking indemnification or advancement of expenses may be entitled under any insurance or other agreement, vote of shareholders or disinterested directors or otherwise, both as to actions in their official capacity and as to actions in another capacity while holding an office, and will continue as to a person who has ceased to be a director or officer and will inure to the benefit of the heirs, executors and administrators of such person.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all of its non-employee directors and executive officers that require it to indemnify these persons to the fullest extent permitted by applicable law against expenses, judgments, fines and amounts paid in settlement actually and reasonably incurred by the indemnitee, or on their behalf, as applicable, in connection with such third-party proceeding or any claim, issue or matter therein, if the indemnitee acted in good faith and in a manner they reasonably believed to be in, or not opposed to, the best interests of the Company and, in the case of a criminal action or proceeding, had no reasonable cause to believe that his or her conduct was unlawful. The indemnification agreements further provide for the indemnification of any such non-employee director or executive officer against all expenses incurred in the successful defense of any proceeding, whether on the merits or otherwise, in a proceeding or in defense of any claim, issue or matter therein, in whole or in part, and also establish procedures that will apply if a claim for indemnification arises under the indemnification agreements.</w:t>
      </w:r>
    </w:p>
    <w:p>
      <w:pPr>
        <w:spacing w:after="0" w:line="192" w:lineRule="exact"/>
        <w:rPr>
          <w:sz w:val="20"/>
          <w:szCs w:val="20"/>
          <w:color w:val="auto"/>
        </w:rPr>
      </w:pPr>
    </w:p>
    <w:p>
      <w:pPr>
        <w:jc w:val="both"/>
        <w:ind w:right="7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executive officers or persons controlling us, we have been informed that, in the opinion of the Commission,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540" w:type="dxa"/>
            <w:vAlign w:val="bottom"/>
          </w:tcPr>
          <w:p>
            <w:pPr>
              <w:spacing w:after="0"/>
              <w:rPr>
                <w:sz w:val="13"/>
                <w:szCs w:val="13"/>
                <w:color w:val="auto"/>
              </w:rPr>
            </w:pPr>
          </w:p>
        </w:tc>
        <w:tc>
          <w:tcPr>
            <w:tcW w:w="1002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Number</w:t>
            </w:r>
          </w:p>
        </w:tc>
        <w:tc>
          <w:tcPr>
            <w:tcW w:w="540" w:type="dxa"/>
            <w:vAlign w:val="bottom"/>
          </w:tcPr>
          <w:p>
            <w:pPr>
              <w:spacing w:after="0"/>
              <w:rPr>
                <w:sz w:val="16"/>
                <w:szCs w:val="16"/>
                <w:color w:val="auto"/>
              </w:rPr>
            </w:pPr>
          </w:p>
        </w:tc>
        <w:tc>
          <w:tcPr>
            <w:tcW w:w="100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4.1(a)</w:t>
            </w:r>
          </w:p>
        </w:tc>
        <w:tc>
          <w:tcPr>
            <w:tcW w:w="540" w:type="dxa"/>
            <w:vAlign w:val="bottom"/>
          </w:tcPr>
          <w:p>
            <w:pPr>
              <w:spacing w:after="0"/>
              <w:rPr>
                <w:sz w:val="14"/>
                <w:szCs w:val="14"/>
                <w:color w:val="auto"/>
              </w:rPr>
            </w:pPr>
          </w:p>
        </w:tc>
        <w:tc>
          <w:tcPr>
            <w:tcW w:w="9980" w:type="dxa"/>
            <w:vAlign w:val="bottom"/>
            <w:tcBorders>
              <w:bottom w:val="single" w:sz="8" w:color="0000EE"/>
            </w:tcBorders>
            <w:gridSpan w:val="18"/>
          </w:tcPr>
          <w:p>
            <w:pPr>
              <w:spacing w:after="0" w:line="163"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Certificate of Incorporation of the Registrant dated February 16, 1993 (Incorporated by reference to Exhibit 3.1(a)</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to the Registrant’s Annual Report on Form 10-K for the year ended December 31, 2005).</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Amended and Restated Certificate of Incorporation of the Registrant dated May 22, 1998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reference to Exhibit 3.1(b) to the Registrant’s Annual Report on Form 10-K for the year ended December 31, 1998).</w:t>
              </w:r>
            </w:hyperlink>
          </w:p>
        </w:tc>
        <w:tc>
          <w:tcPr>
            <w:tcW w:w="1460" w:type="dxa"/>
            <w:vAlign w:val="bottom"/>
            <w:tcBorders>
              <w:top w:val="single" w:sz="8" w:color="0000EE"/>
            </w:tcBorders>
            <w:gridSpan w:val="6"/>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4.1(c)</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Certificate of Amendment to Amended and Restated Certificate of Incorporation of the Registrant dated May 17, 1999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reference to Exhibit 3.1(c) to the Registrant’s Annual Report on Form 10-K for the year ended December 31, 2004).</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4.1(d)</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Certificate of Amendment to Amended and Restated Certificate of Incorporation of the Registrant dated December 21, 2016</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(Incorporated by reference to Exhibit 3.1 to the Registrant’s Current Report on Form 8-K filed on December 22, 2016).</w:t>
              </w:r>
            </w:hyperlink>
          </w:p>
        </w:tc>
        <w:tc>
          <w:tcPr>
            <w:tcW w:w="400" w:type="dxa"/>
            <w:vAlign w:val="bottom"/>
            <w:tcBorders>
              <w:top w:val="single" w:sz="8" w:color="0000EE"/>
            </w:tcBorders>
            <w:gridSpan w:val="2"/>
          </w:tcPr>
          <w:p>
            <w:pPr>
              <w:spacing w:after="0"/>
              <w:rPr>
                <w:sz w:val="17"/>
                <w:szCs w:val="17"/>
                <w:color w:val="auto"/>
              </w:rPr>
            </w:pPr>
          </w:p>
        </w:tc>
        <w:tc>
          <w:tcPr>
            <w:tcW w:w="1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4.1(e)</w:t>
            </w:r>
          </w:p>
        </w:tc>
        <w:tc>
          <w:tcPr>
            <w:tcW w:w="54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Certificate of Amendment to Amended and Restated Certificate of Incorporation of the Registrant dated May 9, 2024 (Incorporated by</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reference to Exhibit 3.1(e) to the Registrant’s Quarterly Report on Form 10-Q for the quarter ended September 30, 2024).</w:t>
              </w:r>
            </w:hyperlink>
          </w:p>
        </w:tc>
        <w:tc>
          <w:tcPr>
            <w:tcW w:w="1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4.2(a)</w:t>
            </w:r>
          </w:p>
        </w:tc>
        <w:tc>
          <w:tcPr>
            <w:tcW w:w="54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Third Amended and Restated Bylaws of Integra LifeSciences Holdings Corporation, effective as of December 21, 2023 (Incorporated by</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reference to Exhibit 3.3 to the Registrant’s Annual Report on Form 10-K for the year ended December 31,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Integra LifeSciences Holdings Corporation Fifth Amended and Restated 2003 Equity Incentive Plan (Incorporated by reference to Exhibit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May 18, 2021).</w:t>
              </w:r>
            </w:hyperlink>
          </w:p>
        </w:tc>
        <w:tc>
          <w:tcPr>
            <w:tcW w:w="4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Amendment No. 1 to the Integra LifeSciences Holdings Corporation Fifth Amended and Restated 2003 Equity Incentive Plan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(Incorporated by reference to Exhibit 10.1 to the Registrant’s Current Report on Form 8-K filed on May 13, 2024).</w:t>
              </w:r>
            </w:hyperlink>
          </w:p>
        </w:tc>
        <w:tc>
          <w:tcPr>
            <w:tcW w:w="740" w:type="dxa"/>
            <w:vAlign w:val="bottom"/>
            <w:tcBorders>
              <w:top w:val="single" w:sz="8" w:color="0000EE"/>
            </w:tcBorders>
            <w:gridSpan w:val="5"/>
          </w:tcPr>
          <w:p>
            <w:pPr>
              <w:spacing w:after="0"/>
              <w:rPr>
                <w:sz w:val="17"/>
                <w:szCs w:val="17"/>
                <w:color w:val="auto"/>
              </w:rPr>
            </w:pPr>
          </w:p>
        </w:tc>
        <w:tc>
          <w:tcPr>
            <w:tcW w:w="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2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Hogan Lovells US LLP.+</w:t>
            </w:r>
          </w:p>
        </w:tc>
        <w:tc>
          <w:tcPr>
            <w:tcW w:w="73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Hogan Lovells US LLP (included in Exhibit 5.1).+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1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Power of Attorney. +</w:t>
            </w:r>
          </w:p>
        </w:tc>
        <w:tc>
          <w:tcPr>
            <w:tcW w:w="2960" w:type="dxa"/>
            <w:vAlign w:val="bottom"/>
            <w:tcBorders>
              <w:top w:val="single" w:sz="8" w:color="0000EE"/>
            </w:tcBorders>
            <w:gridSpan w:val="3"/>
          </w:tcPr>
          <w:p>
            <w:pPr>
              <w:spacing w:after="0"/>
              <w:rPr>
                <w:sz w:val="24"/>
                <w:szCs w:val="24"/>
                <w:color w:val="auto"/>
              </w:rPr>
            </w:pPr>
          </w:p>
        </w:tc>
        <w:tc>
          <w:tcPr>
            <w:tcW w:w="5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 w:right="8700" w:hanging="4"/>
        <w:spacing w:after="0" w:line="501" w:lineRule="auto"/>
        <w:tabs>
          <w:tab w:leader="none" w:pos="10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Filing Fee Table.+ </w:t>
      </w:r>
      <w:r>
        <w:rPr>
          <w:rFonts w:ascii="Times New Roman" w:cs="Times New Roman" w:eastAsia="Times New Roman" w:hAnsi="Times New Roman"/>
          <w:sz w:val="18"/>
          <w:szCs w:val="18"/>
          <w:color w:val="00000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60" w:hanging="439"/>
        <w:spacing w:after="0" w:line="254"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97" w:lineRule="exact"/>
        <w:rPr>
          <w:rFonts w:ascii="Times New Roman" w:cs="Times New Roman" w:eastAsia="Times New Roman" w:hAnsi="Times New Roman"/>
          <w:sz w:val="18"/>
          <w:szCs w:val="18"/>
          <w:color w:val="auto"/>
        </w:rPr>
      </w:pPr>
    </w:p>
    <w:p>
      <w:pPr>
        <w:ind w:left="1424" w:right="4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2" w:lineRule="exact"/>
        <w:rPr>
          <w:sz w:val="20"/>
          <w:szCs w:val="20"/>
          <w:color w:val="auto"/>
        </w:rPr>
      </w:pPr>
    </w:p>
    <w:p>
      <w:pPr>
        <w:jc w:val="both"/>
        <w:ind w:left="444"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1024"/>
          </w:cols>
          <w:pgMar w:left="436" w:top="266" w:right="439" w:bottom="1440" w:gutter="0" w:footer="0" w:header="0"/>
        </w:sectPr>
      </w:pPr>
    </w:p>
    <w:bookmarkStart w:id="5" w:name="page6"/>
    <w:bookmarkEnd w:id="5"/>
    <w:p>
      <w:pPr>
        <w:ind w:left="964"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4" w:right="60" w:hanging="4"/>
        <w:spacing w:after="0" w:line="254"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left="4" w:right="5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Princeton, state of New Jersey, on this 4th day of November, 2024.</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Jan De Witte</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0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on November 4, 2024.</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r>
      <w:tr>
        <w:trPr>
          <w:trHeight w:val="412"/>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 De Witte</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 and</w:t>
            </w:r>
          </w:p>
        </w:tc>
      </w:tr>
      <w:tr>
        <w:trPr>
          <w:trHeight w:val="178"/>
        </w:trPr>
        <w:tc>
          <w:tcPr>
            <w:tcW w:w="4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Jan De Witte</w:t>
            </w:r>
          </w:p>
        </w:tc>
        <w:tc>
          <w:tcPr>
            <w:tcW w:w="100" w:type="dxa"/>
            <w:vAlign w:val="bottom"/>
          </w:tcPr>
          <w:p>
            <w:pPr>
              <w:spacing w:after="0"/>
              <w:rPr>
                <w:sz w:val="15"/>
                <w:szCs w:val="15"/>
                <w:color w:val="auto"/>
              </w:rPr>
            </w:pPr>
          </w:p>
        </w:tc>
        <w:tc>
          <w:tcPr>
            <w:tcW w:w="66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Lea Knight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w:t>
            </w:r>
          </w:p>
        </w:tc>
      </w:tr>
      <w:tr>
        <w:trPr>
          <w:trHeight w:val="178"/>
        </w:trPr>
        <w:tc>
          <w:tcPr>
            <w:tcW w:w="4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Lea Knight</w:t>
            </w:r>
          </w:p>
        </w:tc>
        <w:tc>
          <w:tcPr>
            <w:tcW w:w="100" w:type="dxa"/>
            <w:vAlign w:val="bottom"/>
          </w:tcPr>
          <w:p>
            <w:pPr>
              <w:spacing w:after="0"/>
              <w:rPr>
                <w:sz w:val="15"/>
                <w:szCs w:val="15"/>
                <w:color w:val="auto"/>
              </w:rPr>
            </w:pPr>
          </w:p>
        </w:tc>
        <w:tc>
          <w:tcPr>
            <w:tcW w:w="66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and Chief Financial Officer</w:t>
            </w:r>
          </w:p>
        </w:tc>
      </w:tr>
      <w:tr>
        <w:trPr>
          <w:trHeight w:val="234"/>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4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A. Mosebrook</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A. Mosebrook</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Stuart Essig, Ph.D.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Bradley, Ph.D.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Shaundra Clay</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A. Graves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Barbra B. Hill</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Renee W. Lo</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Raymond G. Murphy</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Christian S. Schade</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224"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has been signed on behalf of the above directors by Jan De Witte, as attorney-in-fact pursuant to a power of attorney filed as Exhibit 24.1 to this Registration Statement.</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2024</w:t>
            </w:r>
          </w:p>
        </w:tc>
        <w:tc>
          <w:tcPr>
            <w:tcW w:w="72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Jan De Witte</w:t>
            </w:r>
          </w:p>
        </w:tc>
      </w:tr>
      <w:tr>
        <w:trPr>
          <w:trHeight w:val="228"/>
        </w:trPr>
        <w:tc>
          <w:tcPr>
            <w:tcW w:w="3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De Witte, Attorney-in-Fact</w:t>
            </w:r>
          </w:p>
        </w:tc>
      </w:tr>
    </w:tbl>
    <w:p>
      <w:pPr>
        <w:sectPr>
          <w:pgSz w:w="11900" w:h="16838" w:orient="portrait"/>
          <w:cols w:equalWidth="0" w:num="1">
            <w:col w:w="11024"/>
          </w:cols>
          <w:pgMar w:left="436" w:top="266"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805815" cy="80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6940"/>
        <w:spacing w:after="0" w:line="196" w:lineRule="auto"/>
        <w:rPr>
          <w:sz w:val="20"/>
          <w:szCs w:val="20"/>
          <w:color w:val="auto"/>
        </w:rPr>
      </w:pPr>
      <w:r>
        <w:rPr>
          <w:rFonts w:ascii="Times New Roman" w:cs="Times New Roman" w:eastAsia="Times New Roman" w:hAnsi="Times New Roman"/>
          <w:sz w:val="18"/>
          <w:szCs w:val="18"/>
          <w:color w:val="auto"/>
        </w:rPr>
        <w:t>1735 Market Street,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 +1 267 675 4600</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F +1 267 675 4601</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Campus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referred to above:</w:t>
      </w:r>
    </w:p>
    <w:p>
      <w:pPr>
        <w:spacing w:after="0" w:line="11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are acting as counsel to Integra LifeSciences Holdings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proposed offering of up to 1,900,000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par value $0.01 per share, of the Company issuable pursuant to the Integra LifeSciences Holdings Corporation Fifth Amended and Restated 2003 Equity Incentive Plan, as amended (the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This opinion letter is furnished to you at your request to enable you to fulfill the requirements of Item 601(b)(5) of Regulation S-K, 17 C.F.R. § 229.601(b)(5), in connection with the Registration Statement.</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as amended. We express no opinion herein as to any other statutes, rules or regulations.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following (i) effectiveness of the Registration Statement, (ii) issuance of the Shares pursuant to the terms of the Incentive Plan, and (iii) receipt by the Company of the consideration for the Shares specified in the resolutions of the Board of Directors (or a duly authorized committee thereof) and in the Incentive Plan, the Shares will be validly issued, fully paid, and nonassessable.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Hogan Lovells US LLP is a limited liability partnership registered in the state of Delaware. “Hogan Lovells” is an international legal practice that includes Hogan Lovells US LLP and Hogan Lovells International LLP, with offices in: Alicante Amsterdam Baltimore Berlin Beijing Birmingham Boston Brussels Colorado Springs Denver Dubai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Associated Offices: Budapest Jakarta Shanghai FTZ. Business Service Centers: Johannesburg Louisville. For more information see www.hoganlovells.com</w:t>
      </w:r>
    </w:p>
    <w:p>
      <w:pPr>
        <w:sectPr>
          <w:pgSz w:w="11900" w:h="16838" w:orient="portrait"/>
          <w:cols w:equalWidth="0" w:num="1">
            <w:col w:w="11020"/>
          </w:cols>
          <w:pgMar w:left="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Integra LifeSciences Holdings</w:t>
            </w:r>
          </w:p>
        </w:tc>
        <w:tc>
          <w:tcPr>
            <w:tcW w:w="39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- 2 -</w:t>
            </w:r>
          </w:p>
        </w:tc>
        <w:tc>
          <w:tcPr>
            <w:tcW w:w="324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320"/>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this consent, we do not thereby admit that we are an “expert” within the meaning of the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HOGAN LOVELLS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US LLP</w:t>
      </w:r>
    </w:p>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Integra LifeSciences Holdings Corporation of our report dated February 28, 2024, relating to the financial statements and the effectiveness of internal control over financial reporting, which appears in Integra LifeSciences Holdings Corporation’s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Jan De Witte, Lea Knight, and Eric I. Schwartz, or any one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 De Witte</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President and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178"/>
        </w:trPr>
        <w:tc>
          <w:tcPr>
            <w:tcW w:w="41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Jan De Witte</w:t>
            </w:r>
          </w:p>
        </w:tc>
        <w:tc>
          <w:tcPr>
            <w:tcW w:w="120" w:type="dxa"/>
            <w:vAlign w:val="bottom"/>
          </w:tcPr>
          <w:p>
            <w:pPr>
              <w:spacing w:after="0"/>
              <w:rPr>
                <w:sz w:val="15"/>
                <w:szCs w:val="15"/>
                <w:color w:val="auto"/>
              </w:rPr>
            </w:pPr>
          </w:p>
        </w:tc>
        <w:tc>
          <w:tcPr>
            <w:tcW w:w="496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1760" w:type="dxa"/>
            <w:vAlign w:val="bottom"/>
          </w:tcPr>
          <w:p>
            <w:pPr>
              <w:spacing w:after="0"/>
              <w:rPr>
                <w:sz w:val="15"/>
                <w:szCs w:val="15"/>
                <w:color w:val="auto"/>
              </w:rPr>
            </w:pPr>
          </w:p>
        </w:tc>
      </w:tr>
      <w:tr>
        <w:trPr>
          <w:trHeight w:val="234"/>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Lea Knight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178"/>
        </w:trPr>
        <w:tc>
          <w:tcPr>
            <w:tcW w:w="41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Lea Knight</w:t>
            </w:r>
          </w:p>
        </w:tc>
        <w:tc>
          <w:tcPr>
            <w:tcW w:w="120" w:type="dxa"/>
            <w:vAlign w:val="bottom"/>
          </w:tcPr>
          <w:p>
            <w:pPr>
              <w:spacing w:after="0"/>
              <w:rPr>
                <w:sz w:val="15"/>
                <w:szCs w:val="15"/>
                <w:color w:val="auto"/>
              </w:rPr>
            </w:pPr>
          </w:p>
        </w:tc>
        <w:tc>
          <w:tcPr>
            <w:tcW w:w="496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9"/>
              </w:rPr>
              <w:t>and Chief Financial Officer</w:t>
            </w:r>
          </w:p>
        </w:tc>
        <w:tc>
          <w:tcPr>
            <w:tcW w:w="1760" w:type="dxa"/>
            <w:vAlign w:val="bottom"/>
          </w:tcPr>
          <w:p>
            <w:pPr>
              <w:spacing w:after="0"/>
              <w:rPr>
                <w:sz w:val="15"/>
                <w:szCs w:val="15"/>
                <w:color w:val="auto"/>
              </w:rPr>
            </w:pPr>
          </w:p>
        </w:tc>
      </w:tr>
      <w:tr>
        <w:trPr>
          <w:trHeight w:val="234"/>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76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A. Mosebrook</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A. Mosebrook</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Stuart Essig, Ph.D.</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Stuart Essig,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Bradley,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Bradley,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Shaundra Clay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Shaundra Clay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Jeffrey A. Graves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A. Graves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Barbra B. Hill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Barbra B. Hill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Renee W. Lo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Renee W. Lo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G. Murphy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Raymond G. Murphy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S. Schade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Christian S. Schade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0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ind w:left="22"/>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r>
      <w:tr>
        <w:trPr>
          <w:trHeight w:val="142"/>
        </w:trPr>
        <w:tc>
          <w:tcPr>
            <w:tcW w:w="760" w:type="dxa"/>
            <w:vAlign w:val="bottom"/>
            <w:tcBorders>
              <w:left w:val="single" w:sz="8" w:color="auto"/>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2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tcBorders>
              <w:right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0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0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22"/>
              <w:spacing w:after="0" w:line="142" w:lineRule="exact"/>
              <w:rPr>
                <w:sz w:val="20"/>
                <w:szCs w:val="20"/>
                <w:color w:val="auto"/>
              </w:rPr>
            </w:pPr>
            <w:r>
              <w:rPr>
                <w:rFonts w:ascii="Times New Roman" w:cs="Times New Roman" w:eastAsia="Times New Roman" w:hAnsi="Times New Roman"/>
                <w:sz w:val="13"/>
                <w:szCs w:val="13"/>
                <w:b w:val="1"/>
                <w:bCs w:val="1"/>
                <w:color w:val="auto"/>
                <w:w w:val="99"/>
              </w:rPr>
              <w:t>Registration</w:t>
            </w:r>
          </w:p>
        </w:tc>
      </w:tr>
      <w:tr>
        <w:trPr>
          <w:trHeight w:val="175"/>
        </w:trPr>
        <w:tc>
          <w:tcPr>
            <w:tcW w:w="76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22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000" w:type="dxa"/>
            <w:vAlign w:val="bottom"/>
            <w:tcBorders>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3"/>
                <w:szCs w:val="13"/>
                <w:b w:val="1"/>
                <w:bCs w:val="1"/>
                <w:color w:val="auto"/>
                <w:w w:val="93"/>
              </w:rPr>
              <w:t>Registered</w:t>
            </w:r>
            <w:r>
              <w:rPr>
                <w:rFonts w:ascii="Times New Roman" w:cs="Times New Roman" w:eastAsia="Times New Roman" w:hAnsi="Times New Roman"/>
                <w:sz w:val="15"/>
                <w:szCs w:val="15"/>
                <w:b w:val="1"/>
                <w:bCs w:val="1"/>
                <w:color w:val="auto"/>
                <w:w w:val="93"/>
                <w:vertAlign w:val="superscript"/>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3"/>
                <w:szCs w:val="13"/>
                <w:b w:val="1"/>
                <w:bCs w:val="1"/>
                <w:color w:val="auto"/>
                <w:w w:val="94"/>
              </w:rPr>
              <w:t>Fee Rate</w:t>
            </w:r>
          </w:p>
        </w:tc>
        <w:tc>
          <w:tcPr>
            <w:tcW w:w="86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rPr>
              <w:t>Fee</w:t>
            </w:r>
          </w:p>
        </w:tc>
      </w:tr>
      <w:tr>
        <w:trPr>
          <w:trHeight w:val="205"/>
        </w:trPr>
        <w:tc>
          <w:tcPr>
            <w:tcW w:w="760" w:type="dxa"/>
            <w:vAlign w:val="bottom"/>
            <w:tcBorders>
              <w:left w:val="single" w:sz="8" w:color="auto"/>
              <w:right w:val="single" w:sz="8" w:color="auto"/>
            </w:tcBorders>
          </w:tcPr>
          <w:p>
            <w:pPr>
              <w:jc w:val="center"/>
              <w:ind w:left="48"/>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2220" w:type="dxa"/>
            <w:vAlign w:val="bottom"/>
            <w:tcBorders>
              <w:right w:val="single" w:sz="8" w:color="auto"/>
            </w:tcBorders>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$0.01 per share, reserved for</w:t>
            </w:r>
          </w:p>
        </w:tc>
        <w:tc>
          <w:tcPr>
            <w:tcW w:w="1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issuance under the Integra</w:t>
            </w:r>
          </w:p>
        </w:tc>
        <w:tc>
          <w:tcPr>
            <w:tcW w:w="1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LifeSciences Holdings</w:t>
            </w:r>
          </w:p>
        </w:tc>
        <w:tc>
          <w:tcPr>
            <w:tcW w:w="1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Corporation Fifth Amended</w:t>
            </w:r>
          </w:p>
        </w:tc>
        <w:tc>
          <w:tcPr>
            <w:tcW w:w="1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and Restated 2003 Equity</w:t>
            </w:r>
          </w:p>
        </w:tc>
        <w:tc>
          <w:tcPr>
            <w:tcW w:w="1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48"/>
        </w:trPr>
        <w:tc>
          <w:tcPr>
            <w:tcW w:w="760" w:type="dxa"/>
            <w:vAlign w:val="bottom"/>
            <w:tcBorders>
              <w:left w:val="single" w:sz="8" w:color="auto"/>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Incentive Plan, as amended</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tcPr>
          <w:p>
            <w:pPr>
              <w:jc w:val="center"/>
              <w:ind w:left="28"/>
              <w:spacing w:after="0" w:line="248" w:lineRule="exact"/>
              <w:rPr>
                <w:sz w:val="20"/>
                <w:szCs w:val="20"/>
                <w:color w:val="auto"/>
              </w:rPr>
            </w:pPr>
            <w:r>
              <w:rPr>
                <w:rFonts w:ascii="Times New Roman" w:cs="Times New Roman" w:eastAsia="Times New Roman" w:hAnsi="Times New Roman"/>
                <w:sz w:val="18"/>
                <w:szCs w:val="18"/>
                <w:color w:val="auto"/>
                <w:w w:val="96"/>
              </w:rPr>
              <w:t>1,900,000</w:t>
            </w:r>
            <w:r>
              <w:rPr>
                <w:rFonts w:ascii="Times New Roman" w:cs="Times New Roman" w:eastAsia="Times New Roman" w:hAnsi="Times New Roman"/>
                <w:sz w:val="22"/>
                <w:szCs w:val="22"/>
                <w:color w:val="auto"/>
                <w:w w:val="96"/>
                <w:vertAlign w:val="superscript"/>
              </w:rPr>
              <w:t>(2)</w:t>
            </w:r>
          </w:p>
        </w:tc>
        <w:tc>
          <w:tcPr>
            <w:tcW w:w="740" w:type="dxa"/>
            <w:vAlign w:val="bottom"/>
            <w:tcBorders>
              <w:bottom w:val="single" w:sz="8" w:color="auto"/>
              <w:right w:val="single" w:sz="8" w:color="auto"/>
            </w:tcBorders>
          </w:tcPr>
          <w:p>
            <w:pPr>
              <w:jc w:val="center"/>
              <w:ind w:left="13"/>
              <w:spacing w:after="0" w:line="248" w:lineRule="exact"/>
              <w:rPr>
                <w:sz w:val="20"/>
                <w:szCs w:val="20"/>
                <w:color w:val="auto"/>
              </w:rPr>
            </w:pPr>
            <w:r>
              <w:rPr>
                <w:rFonts w:ascii="Times New Roman" w:cs="Times New Roman" w:eastAsia="Times New Roman" w:hAnsi="Times New Roman"/>
                <w:sz w:val="18"/>
                <w:szCs w:val="18"/>
                <w:color w:val="auto"/>
                <w:w w:val="93"/>
              </w:rPr>
              <w:t>$19.01</w:t>
            </w:r>
            <w:r>
              <w:rPr>
                <w:rFonts w:ascii="Times New Roman" w:cs="Times New Roman" w:eastAsia="Times New Roman" w:hAnsi="Times New Roman"/>
                <w:sz w:val="22"/>
                <w:szCs w:val="22"/>
                <w:color w:val="auto"/>
                <w:w w:val="93"/>
                <w:vertAlign w:val="superscript"/>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$36,119,000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0.00015310</w:t>
            </w:r>
          </w:p>
        </w:tc>
        <w:tc>
          <w:tcPr>
            <w:tcW w:w="860" w:type="dxa"/>
            <w:vAlign w:val="bottom"/>
            <w:tcBorders>
              <w:bottom w:val="single" w:sz="8" w:color="auto"/>
              <w:right w:val="single" w:sz="8" w:color="auto"/>
            </w:tcBorders>
          </w:tcPr>
          <w:p>
            <w:pPr>
              <w:jc w:val="center"/>
              <w:ind w:left="62"/>
              <w:spacing w:after="0"/>
              <w:rPr>
                <w:sz w:val="20"/>
                <w:szCs w:val="20"/>
                <w:color w:val="auto"/>
              </w:rPr>
            </w:pPr>
            <w:r>
              <w:rPr>
                <w:rFonts w:ascii="Times New Roman" w:cs="Times New Roman" w:eastAsia="Times New Roman" w:hAnsi="Times New Roman"/>
                <w:sz w:val="18"/>
                <w:szCs w:val="18"/>
                <w:color w:val="auto"/>
                <w:w w:val="96"/>
              </w:rPr>
              <w:t>$5,530</w:t>
            </w:r>
          </w:p>
        </w:tc>
      </w:tr>
      <w:tr>
        <w:trPr>
          <w:trHeight w:val="234"/>
        </w:trPr>
        <w:tc>
          <w:tcPr>
            <w:tcW w:w="760" w:type="dxa"/>
            <w:vAlign w:val="bottom"/>
            <w:tcBorders>
              <w:left w:val="single" w:sz="8" w:color="auto"/>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$36,119,000</w:t>
            </w:r>
          </w:p>
        </w:tc>
        <w:tc>
          <w:tcPr>
            <w:tcW w:w="10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left="62"/>
              <w:spacing w:after="0"/>
              <w:rPr>
                <w:sz w:val="20"/>
                <w:szCs w:val="20"/>
                <w:color w:val="auto"/>
              </w:rPr>
            </w:pPr>
            <w:r>
              <w:rPr>
                <w:rFonts w:ascii="Times New Roman" w:cs="Times New Roman" w:eastAsia="Times New Roman" w:hAnsi="Times New Roman"/>
                <w:sz w:val="18"/>
                <w:szCs w:val="18"/>
                <w:color w:val="auto"/>
                <w:w w:val="96"/>
              </w:rPr>
              <w:t>$5,530</w:t>
            </w:r>
          </w:p>
        </w:tc>
      </w:tr>
      <w:tr>
        <w:trPr>
          <w:trHeight w:val="237"/>
        </w:trPr>
        <w:tc>
          <w:tcPr>
            <w:tcW w:w="760" w:type="dxa"/>
            <w:vAlign w:val="bottom"/>
            <w:tcBorders>
              <w:left w:val="single" w:sz="8" w:color="auto"/>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81"/>
              </w:rPr>
              <w:t>— </w:t>
            </w:r>
          </w:p>
        </w:tc>
      </w:tr>
      <w:tr>
        <w:trPr>
          <w:trHeight w:val="237"/>
        </w:trPr>
        <w:tc>
          <w:tcPr>
            <w:tcW w:w="760" w:type="dxa"/>
            <w:vAlign w:val="bottom"/>
            <w:tcBorders>
              <w:left w:val="single" w:sz="8" w:color="auto"/>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left="62"/>
              <w:spacing w:after="0"/>
              <w:rPr>
                <w:sz w:val="20"/>
                <w:szCs w:val="20"/>
                <w:color w:val="auto"/>
              </w:rPr>
            </w:pPr>
            <w:r>
              <w:rPr>
                <w:rFonts w:ascii="Times New Roman" w:cs="Times New Roman" w:eastAsia="Times New Roman" w:hAnsi="Times New Roman"/>
                <w:sz w:val="18"/>
                <w:szCs w:val="18"/>
                <w:color w:val="auto"/>
                <w:w w:val="96"/>
              </w:rPr>
              <w:t>$5,530</w:t>
            </w:r>
          </w:p>
        </w:tc>
      </w:tr>
    </w:tbl>
    <w:p>
      <w:pPr>
        <w:spacing w:after="0" w:line="225" w:lineRule="exact"/>
        <w:rPr>
          <w:sz w:val="20"/>
          <w:szCs w:val="20"/>
          <w:color w:val="auto"/>
        </w:rPr>
      </w:pPr>
    </w:p>
    <w:p>
      <w:pPr>
        <w:ind w:left="424" w:right="4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shall be deemed to cover any additional securities that may from time to time be offered or issued under the Integra LifeSciences Holdings Corporation Fifth Amended and Restated 2003 Equity Incentive Plan, as amended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Integra LifeSciences Holdings Corporation (the “Company” or “Registrant”), combination or exchange of shares of common stock, $0.01 par value per share (the “Common Stock”), dividend in kind, or other like change in capital structure.</w:t>
      </w:r>
    </w:p>
    <w:p>
      <w:pPr>
        <w:spacing w:after="0" w:line="2"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of the Registrant reserved for future issuance under the Plan, as of the date of this registration statement, which shares of Common Stock were added to the shares reserved under the Plan pursuant to an increase in shares of Common Stock available under the Plan approved by the Registrant’s stockholders at the Registrant’s 2024 Annual Meeting of Stockholders.</w:t>
      </w:r>
    </w:p>
    <w:p>
      <w:pPr>
        <w:spacing w:after="0" w:line="1" w:lineRule="exact"/>
        <w:rPr>
          <w:rFonts w:ascii="Times New Roman" w:cs="Times New Roman" w:eastAsia="Times New Roman" w:hAnsi="Times New Roman"/>
          <w:sz w:val="18"/>
          <w:szCs w:val="18"/>
          <w:color w:val="auto"/>
        </w:rPr>
      </w:pPr>
    </w:p>
    <w:p>
      <w:pPr>
        <w:jc w:val="both"/>
        <w:ind w:left="424" w:right="2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Rule 457(h) of the Securities Act solely for the purpose of calculating the amount of the registration fee based on the average of the high and low prices for a share of the Registrant’s Common Stock as reported on the Nasdaq Global Select Market on October 31, 2024, a date within five business days of the filing of this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07"/>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jpeg"/><Relationship Id="rId60" Type="http://schemas.openxmlformats.org/officeDocument/2006/relationships/image" Target="media/image27.png"/><Relationship Id="rId19" Type="http://schemas.openxmlformats.org/officeDocument/2006/relationships/hyperlink" Target="http://www.sec.gov/Archives/edgar/data/917520/000119312521361354/d260411ds8.htm" TargetMode="External"/><Relationship Id="rId20" Type="http://schemas.openxmlformats.org/officeDocument/2006/relationships/hyperlink" Target="http://www.sec.gov/Archives/edgar/data/917520/000119312517324741/d478022ds8.htm" TargetMode="External"/><Relationship Id="rId21" Type="http://schemas.openxmlformats.org/officeDocument/2006/relationships/hyperlink" Target="http://www.sec.gov/Archives/edgar/data/917520/000119312517054554/d343971ds8.htm" TargetMode="External"/><Relationship Id="rId25" Type="http://schemas.openxmlformats.org/officeDocument/2006/relationships/hyperlink" Target="http://www.sec.gov/Archives/edgar/data/917520/000095012310097972/c07374sv8.htm" TargetMode="External"/><Relationship Id="rId26" Type="http://schemas.openxmlformats.org/officeDocument/2006/relationships/hyperlink" Target="http://www.sec.gov/Archives/edgar/data/917520/000095012308014935/y72534sv8.htm" TargetMode="External"/><Relationship Id="rId27" Type="http://schemas.openxmlformats.org/officeDocument/2006/relationships/hyperlink" Target="http://www.sec.gov/Archives/edgar/data/917520/000091752005000099/forms-8081205.txt" TargetMode="External"/><Relationship Id="rId28" Type="http://schemas.openxmlformats.org/officeDocument/2006/relationships/hyperlink" Target="http://www.sec.gov/Archives/edgar/data/917520/000093041303002853/c29391_s-8.txt" TargetMode="External"/><Relationship Id="rId32" Type="http://schemas.openxmlformats.org/officeDocument/2006/relationships/hyperlink" Target="http://www.sec.gov/ix?doc=/Archives/edgar/data/917520/000091752024000022/iart-20231231.htm" TargetMode="External"/><Relationship Id="rId33" Type="http://schemas.openxmlformats.org/officeDocument/2006/relationships/hyperlink" Target="http://www.sec.gov/ix?doc=/Archives/edgar/data/917520/000091752024000061/iart-20240331.htm" TargetMode="External"/><Relationship Id="rId34" Type="http://schemas.openxmlformats.org/officeDocument/2006/relationships/hyperlink" Target="http://www.sec.gov/ix?doc=/Archives/edgar/data/917520/000091752024000094/iart-20240630.htm" TargetMode="External"/><Relationship Id="rId35" Type="http://schemas.openxmlformats.org/officeDocument/2006/relationships/hyperlink" Target="http://www.sec.gov/ix?doc=/Archives/edgar/data/917520/000091752024000108/iart-20240930.htm" TargetMode="External"/><Relationship Id="rId36" Type="http://schemas.openxmlformats.org/officeDocument/2006/relationships/hyperlink" Target="http://www.sec.gov/ix?doc=/Archives/edgar/data/917520/000091752024000053/iart-20240403.htm" TargetMode="External"/><Relationship Id="rId37" Type="http://schemas.openxmlformats.org/officeDocument/2006/relationships/hyperlink" Target="http://www.sec.gov/ix?doc=/Archives/edgar/data/0000917520/000091752024000018/iart-20240227.htm" TargetMode="External"/><Relationship Id="rId38" Type="http://schemas.openxmlformats.org/officeDocument/2006/relationships/hyperlink" Target="http://www.sec.gov/ix?doc=/Archives/edgar/data/0000917520/000091752024000066/iart-20240509.htm" TargetMode="External"/><Relationship Id="rId39" Type="http://schemas.openxmlformats.org/officeDocument/2006/relationships/hyperlink" Target="http://www.sec.gov/ix?doc=/Archives/edgar/data/0000917520/000091752024000074/iart-20240516.htm" TargetMode="External"/><Relationship Id="rId40" Type="http://schemas.openxmlformats.org/officeDocument/2006/relationships/hyperlink" Target="http://www.sec.gov/ix?doc=/Archives/edgar/data/917520/000091752024000105/iart-20241104.htm" TargetMode="External"/><Relationship Id="rId41" Type="http://schemas.openxmlformats.org/officeDocument/2006/relationships/hyperlink" Target="http://www.sec.gov/Archives/edgar/data/917520/000119312513425190/d622223d8k.htm" TargetMode="External"/><Relationship Id="rId42" Type="http://schemas.openxmlformats.org/officeDocument/2006/relationships/hyperlink" Target="http://www.sec.gov/Archives/edgar/data/917520/000091752024000022/iart-20231231xexx44.htm" TargetMode="External"/><Relationship Id="rId46" Type="http://schemas.openxmlformats.org/officeDocument/2006/relationships/hyperlink" Target="http://www.sec.gov/Archives/edgar/data/917520/000091752006000066/ex3-1aform10k031406.txt" TargetMode="External"/><Relationship Id="rId47" Type="http://schemas.openxmlformats.org/officeDocument/2006/relationships/hyperlink" Target="http://www.sec.gov/Archives/edgar/data/917520/0000889812-99-001063.txt" TargetMode="External"/><Relationship Id="rId48" Type="http://schemas.openxmlformats.org/officeDocument/2006/relationships/hyperlink" Target="http://www.sec.gov/Archives/edgar/data/917520/000095012305003217/y06769exv3w1wc.txt" TargetMode="External"/><Relationship Id="rId49" Type="http://schemas.openxmlformats.org/officeDocument/2006/relationships/hyperlink" Target="http://www.sec.gov/Archives/edgar/data/917520/000091752016000107/ex_3x1xfileddecember22x2016.htm" TargetMode="External"/><Relationship Id="rId50" Type="http://schemas.openxmlformats.org/officeDocument/2006/relationships/hyperlink" Target="http://www.sec.gov/Archives/edgar/data/917520/000091752024000108/iart-20240930xexx31e.htm" TargetMode="External"/><Relationship Id="rId51" Type="http://schemas.openxmlformats.org/officeDocument/2006/relationships/hyperlink" Target="http://www.sec.gov/Archives/edgar/data/917520/000091752023000015/iart-20221231xexx33.htm" TargetMode="External"/><Relationship Id="rId52" Type="http://schemas.openxmlformats.org/officeDocument/2006/relationships/hyperlink" Target="http://www.sec.gov/Archives/edgar/data/0000917520/000091752021000029/ex101.htm" TargetMode="External"/><Relationship Id="rId53" Type="http://schemas.openxmlformats.org/officeDocument/2006/relationships/hyperlink" Target="http://www.sec.gov/Archives/edgar/data/0000917520/000091752024000066/amendmenttoequity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2024-11-04T16:18:41Z</dcterms:created>
  <dcterms:modified xsi:type="dcterms:W3CDTF">2024-11-04T16:18:41Z</dcterms:modified>
</cp:coreProperties>
</file>