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4"/>
          <w:szCs w:val="24"/>
          <w:color w:val="auto"/>
        </w:rPr>
        <w:t>Washington, D.C. 20549</w:t>
      </w:r>
    </w:p>
    <w:p>
      <w:pPr>
        <w:spacing w:after="0" w:line="24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May 5, 2025</w:t>
      </w:r>
    </w:p>
    <w:p>
      <w:pPr>
        <w:spacing w:after="0" w:line="2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INTEGRA LIFESCIENCES HOLDINGS CORPORATION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358" w:lineRule="exact"/>
        <w:rPr>
          <w:sz w:val="24"/>
          <w:szCs w:val="24"/>
          <w:color w:val="auto"/>
        </w:rPr>
      </w:pPr>
    </w:p>
    <w:tbl>
      <w:tblPr>
        <w:tblLayout w:type="fixed"/>
        <w:tblInd w:w="1660" w:type="dxa"/>
        <w:tblCellMar>
          <w:top w:w="0" w:type="dxa"/>
          <w:left w:w="0" w:type="dxa"/>
          <w:bottom w:w="0" w:type="dxa"/>
          <w:right w:w="0" w:type="dxa"/>
        </w:tblCellMar>
      </w:tblP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26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0-26224</w:t>
            </w: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b w:val="1"/>
                <w:bCs w:val="1"/>
                <w:color w:val="auto"/>
              </w:rPr>
              <w:t>51-0317849</w:t>
            </w:r>
          </w:p>
        </w:tc>
      </w:tr>
      <w:tr>
        <w:trPr>
          <w:trHeight w:val="189"/>
        </w:trPr>
        <w:tc>
          <w:tcPr>
            <w:tcW w:w="3280" w:type="dxa"/>
            <w:vAlign w:val="bottom"/>
          </w:tcPr>
          <w:p>
            <w:pPr>
              <w:jc w:val="center"/>
              <w:ind w:right="30"/>
              <w:spacing w:after="0" w:line="189" w:lineRule="exact"/>
              <w:rPr>
                <w:sz w:val="20"/>
                <w:szCs w:val="20"/>
                <w:color w:val="auto"/>
              </w:rPr>
            </w:pPr>
            <w:r>
              <w:rPr>
                <w:rFonts w:ascii="Times New Roman" w:cs="Times New Roman" w:eastAsia="Times New Roman" w:hAnsi="Times New Roman"/>
                <w:sz w:val="18"/>
                <w:szCs w:val="18"/>
                <w:color w:val="auto"/>
                <w:w w:val="99"/>
              </w:rPr>
              <w:t>(State or Other Jurisdiction of Incorporation</w:t>
            </w:r>
          </w:p>
        </w:tc>
        <w:tc>
          <w:tcPr>
            <w:tcW w:w="2260" w:type="dxa"/>
            <w:vAlign w:val="bottom"/>
          </w:tcPr>
          <w:p>
            <w:pPr>
              <w:jc w:val="center"/>
              <w:spacing w:after="0" w:line="189" w:lineRule="exact"/>
              <w:rPr>
                <w:sz w:val="20"/>
                <w:szCs w:val="20"/>
                <w:color w:val="auto"/>
              </w:rPr>
            </w:pPr>
            <w:r>
              <w:rPr>
                <w:rFonts w:ascii="Times New Roman" w:cs="Times New Roman" w:eastAsia="Times New Roman" w:hAnsi="Times New Roman"/>
                <w:sz w:val="18"/>
                <w:szCs w:val="18"/>
                <w:color w:val="auto"/>
              </w:rPr>
              <w:t>(Commission File Number)</w:t>
            </w:r>
          </w:p>
        </w:tc>
        <w:tc>
          <w:tcPr>
            <w:tcW w:w="2280" w:type="dxa"/>
            <w:vAlign w:val="bottom"/>
          </w:tcPr>
          <w:p>
            <w:pPr>
              <w:jc w:val="center"/>
              <w:ind w:left="70"/>
              <w:spacing w:after="0" w:line="189" w:lineRule="exact"/>
              <w:rPr>
                <w:sz w:val="20"/>
                <w:szCs w:val="20"/>
                <w:color w:val="auto"/>
              </w:rPr>
            </w:pPr>
            <w:r>
              <w:rPr>
                <w:rFonts w:ascii="Times New Roman" w:cs="Times New Roman" w:eastAsia="Times New Roman" w:hAnsi="Times New Roman"/>
                <w:sz w:val="18"/>
                <w:szCs w:val="18"/>
                <w:color w:val="auto"/>
              </w:rPr>
              <w:t>(IRS Employer Identification</w:t>
            </w:r>
          </w:p>
        </w:tc>
      </w:tr>
      <w:tr>
        <w:trPr>
          <w:trHeight w:val="234"/>
        </w:trPr>
        <w:tc>
          <w:tcPr>
            <w:tcW w:w="32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or Organization)</w:t>
            </w:r>
          </w:p>
        </w:tc>
        <w:tc>
          <w:tcPr>
            <w:tcW w:w="2260" w:type="dxa"/>
            <w:vAlign w:val="bottom"/>
          </w:tcPr>
          <w:p>
            <w:pPr>
              <w:spacing w:after="0"/>
              <w:rPr>
                <w:sz w:val="20"/>
                <w:szCs w:val="20"/>
                <w:color w:val="auto"/>
              </w:rPr>
            </w:pPr>
          </w:p>
        </w:tc>
        <w:tc>
          <w:tcPr>
            <w:tcW w:w="2280" w:type="dxa"/>
            <w:vAlign w:val="bottom"/>
          </w:tcPr>
          <w:p>
            <w:pPr>
              <w:jc w:val="center"/>
              <w:ind w:left="70"/>
              <w:spacing w:after="0"/>
              <w:rPr>
                <w:sz w:val="20"/>
                <w:szCs w:val="20"/>
                <w:color w:val="auto"/>
              </w:rPr>
            </w:pPr>
            <w:r>
              <w:rPr>
                <w:rFonts w:ascii="Times New Roman" w:cs="Times New Roman" w:eastAsia="Times New Roman" w:hAnsi="Times New Roman"/>
                <w:sz w:val="18"/>
                <w:szCs w:val="18"/>
                <w:color w:val="auto"/>
                <w:w w:val="98"/>
              </w:rPr>
              <w:t>No.)</w:t>
            </w:r>
          </w:p>
        </w:tc>
      </w:tr>
    </w:tbl>
    <w:p>
      <w:pPr>
        <w:spacing w:after="0" w:line="31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1100 Campus Road</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Princeton, NJ 08540</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(609) 275-0500</w:t>
      </w:r>
    </w:p>
    <w:p>
      <w:pPr>
        <w:spacing w:after="0" w:line="23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0"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216" w:lineRule="exact"/>
        <w:rPr>
          <w:sz w:val="24"/>
          <w:szCs w:val="24"/>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61"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5" w:lineRule="exact"/>
        <w:rPr>
          <w:rFonts w:ascii="MS PGothic" w:cs="MS PGothic" w:eastAsia="MS PGothic" w:hAnsi="MS PGothic"/>
          <w:sz w:val="20"/>
          <w:szCs w:val="20"/>
          <w:color w:val="auto"/>
        </w:rPr>
      </w:pPr>
    </w:p>
    <w:p>
      <w:pPr>
        <w:ind w:left="360" w:hanging="352"/>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307" w:lineRule="exact"/>
        <w:rPr>
          <w:sz w:val="24"/>
          <w:szCs w:val="24"/>
          <w:color w:val="auto"/>
        </w:rPr>
      </w:pPr>
    </w:p>
    <w:tbl>
      <w:tblPr>
        <w:tblLayout w:type="fixed"/>
        <w:tblInd w:w="0" w:type="dxa"/>
        <w:tblCellMar>
          <w:top w:w="0" w:type="dxa"/>
          <w:left w:w="0" w:type="dxa"/>
          <w:bottom w:w="0" w:type="dxa"/>
          <w:right w:w="0" w:type="dxa"/>
        </w:tblCellMar>
      </w:tblPr>
      <w:tr>
        <w:trPr>
          <w:trHeight w:val="210"/>
        </w:trPr>
        <w:tc>
          <w:tcPr>
            <w:tcW w:w="4420" w:type="dxa"/>
            <w:vAlign w:val="bottom"/>
            <w:gridSpan w:val="3"/>
          </w:tcPr>
          <w:p>
            <w:pPr>
              <w:spacing w:after="0"/>
              <w:rPr>
                <w:sz w:val="20"/>
                <w:szCs w:val="20"/>
                <w:color w:val="auto"/>
              </w:rPr>
            </w:pPr>
            <w:r>
              <w:rPr>
                <w:rFonts w:ascii="Times New Roman" w:cs="Times New Roman" w:eastAsia="Times New Roman" w:hAnsi="Times New Roman"/>
                <w:sz w:val="16"/>
                <w:szCs w:val="16"/>
                <w:color w:val="auto"/>
              </w:rPr>
              <w:t>Securities Registered Pursuant to Section12(b) of the Act:</w:t>
            </w: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780" w:type="dxa"/>
            <w:vAlign w:val="bottom"/>
          </w:tcPr>
          <w:p>
            <w:pPr>
              <w:spacing w:after="0"/>
              <w:rPr>
                <w:sz w:val="18"/>
                <w:szCs w:val="18"/>
                <w:color w:val="auto"/>
              </w:rPr>
            </w:pPr>
          </w:p>
        </w:tc>
      </w:tr>
      <w:tr>
        <w:trPr>
          <w:trHeight w:val="290"/>
        </w:trPr>
        <w:tc>
          <w:tcPr>
            <w:tcW w:w="1380" w:type="dxa"/>
            <w:vAlign w:val="bottom"/>
          </w:tcPr>
          <w:p>
            <w:pPr>
              <w:spacing w:after="0"/>
              <w:rPr>
                <w:sz w:val="24"/>
                <w:szCs w:val="24"/>
                <w:color w:val="auto"/>
              </w:rPr>
            </w:pPr>
          </w:p>
        </w:tc>
        <w:tc>
          <w:tcPr>
            <w:tcW w:w="3040" w:type="dxa"/>
            <w:vAlign w:val="bottom"/>
            <w:gridSpan w:val="2"/>
          </w:tcPr>
          <w:p>
            <w:pPr>
              <w:jc w:val="center"/>
              <w:ind w:right="17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258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rPr>
              <w:t>Trading Symbol</w:t>
            </w:r>
          </w:p>
        </w:tc>
        <w:tc>
          <w:tcPr>
            <w:tcW w:w="36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b w:val="1"/>
                <w:bCs w:val="1"/>
                <w:color w:val="auto"/>
              </w:rPr>
              <w:t>Name of Exchange on Which Registered</w:t>
            </w:r>
          </w:p>
        </w:tc>
      </w:tr>
      <w:tr>
        <w:trPr>
          <w:trHeight w:val="20"/>
        </w:trPr>
        <w:tc>
          <w:tcPr>
            <w:tcW w:w="13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780" w:type="dxa"/>
            <w:vAlign w:val="bottom"/>
            <w:shd w:val="clear" w:color="auto" w:fill="000000"/>
          </w:tcPr>
          <w:p>
            <w:pPr>
              <w:spacing w:after="0" w:line="20" w:lineRule="exact"/>
              <w:rPr>
                <w:sz w:val="1"/>
                <w:szCs w:val="1"/>
                <w:color w:val="auto"/>
              </w:rPr>
            </w:pPr>
          </w:p>
        </w:tc>
      </w:tr>
      <w:tr>
        <w:trPr>
          <w:trHeight w:val="250"/>
        </w:trPr>
        <w:tc>
          <w:tcPr>
            <w:tcW w:w="4420" w:type="dxa"/>
            <w:vAlign w:val="bottom"/>
            <w:gridSpan w:val="3"/>
          </w:tcPr>
          <w:p>
            <w:pPr>
              <w:jc w:val="center"/>
              <w:ind w:right="360"/>
              <w:spacing w:after="0"/>
              <w:rPr>
                <w:sz w:val="20"/>
                <w:szCs w:val="20"/>
                <w:color w:val="auto"/>
              </w:rPr>
            </w:pPr>
            <w:r>
              <w:rPr>
                <w:rFonts w:ascii="Times New Roman" w:cs="Times New Roman" w:eastAsia="Times New Roman" w:hAnsi="Times New Roman"/>
                <w:sz w:val="18"/>
                <w:szCs w:val="18"/>
                <w:color w:val="auto"/>
                <w:w w:val="99"/>
              </w:rPr>
              <w:t>Common Stock, Par Value $.01 Per Share</w:t>
            </w:r>
          </w:p>
        </w:tc>
        <w:tc>
          <w:tcPr>
            <w:tcW w:w="640" w:type="dxa"/>
            <w:vAlign w:val="bottom"/>
          </w:tcPr>
          <w:p>
            <w:pPr>
              <w:spacing w:after="0"/>
              <w:rPr>
                <w:sz w:val="21"/>
                <w:szCs w:val="21"/>
                <w:color w:val="auto"/>
              </w:rPr>
            </w:pPr>
          </w:p>
        </w:tc>
        <w:tc>
          <w:tcPr>
            <w:tcW w:w="1940" w:type="dxa"/>
            <w:vAlign w:val="bottom"/>
            <w:gridSpan w:val="2"/>
          </w:tcPr>
          <w:p>
            <w:pPr>
              <w:jc w:val="center"/>
              <w:ind w:right="820"/>
              <w:spacing w:after="0"/>
              <w:rPr>
                <w:sz w:val="20"/>
                <w:szCs w:val="20"/>
                <w:color w:val="auto"/>
              </w:rPr>
            </w:pPr>
            <w:r>
              <w:rPr>
                <w:rFonts w:ascii="Times New Roman" w:cs="Times New Roman" w:eastAsia="Times New Roman" w:hAnsi="Times New Roman"/>
                <w:sz w:val="18"/>
                <w:szCs w:val="18"/>
                <w:color w:val="auto"/>
                <w:w w:val="95"/>
              </w:rPr>
              <w:t>IART</w:t>
            </w:r>
          </w:p>
        </w:tc>
        <w:tc>
          <w:tcPr>
            <w:tcW w:w="820" w:type="dxa"/>
            <w:vAlign w:val="bottom"/>
          </w:tcPr>
          <w:p>
            <w:pPr>
              <w:spacing w:after="0"/>
              <w:rPr>
                <w:sz w:val="21"/>
                <w:szCs w:val="21"/>
                <w:color w:val="auto"/>
              </w:rPr>
            </w:pPr>
          </w:p>
        </w:tc>
        <w:tc>
          <w:tcPr>
            <w:tcW w:w="27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31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9"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169" w:lineRule="exact"/>
        <w:rPr>
          <w:sz w:val="24"/>
          <w:szCs w:val="24"/>
          <w:color w:val="auto"/>
        </w:rPr>
      </w:pPr>
    </w:p>
    <w:p>
      <w:pPr>
        <w:spacing w:after="0" w:line="250"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454025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62"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25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5, 2025, Integra LifeSciences Holdings Corporation (the “Company”) issued a press release announcing financial results for the quarter ended March 31, 2025 (the “Press Release”). A copy of the Press Release is attached as Exhibit 99.1 to this Current Report on Form 8-K and is incorporated by reference into this Item. In the financial statements portion of the Press Release, the Company has included a reconciliation of GAAP revenues to organic revenues for the quarters ended March 31, 2025 and 2024, GAAP net income to adjusted earnings before interest, taxes, depreciation and amortization (“EBITDA”) for the quarters ended March 31, 2025 and 2024, GAAP net income to adjusted net income for the quarters ended March 31, 2025 and 2024, GAAP gross profits to adjusted gross profits for the quarters ended March 31, 2025 and 2024, GAAP gross margin to adjusted gross margin for the quarters ended March 31, 2025 and 2024, GAAP earnings per diluted share to adjusted earnings per diluted share for the quarters ended March 31, 2025 and 2024, GAAP total debt to net debt for the quarters ended March 31, 2025 and December 31, 2024, and GAAP operating cash flow to free cash flow and adjusted free cash flow conversion used by management for the quarters and twelve months ended March 31, 2025 and 2024.</w:t>
      </w:r>
    </w:p>
    <w:p>
      <w:pPr>
        <w:spacing w:after="0" w:line="21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w:t>
      </w:r>
    </w:p>
    <w:p>
      <w:pPr>
        <w:spacing w:after="0" w:line="20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information contained in Item 2.02 of this Current Report on Form 8-K (including the Press Release and selected historical financial information) is being furnished and shall not be deemed “filed” for the purposes of Section 18 of the Securities Exchange Act of 1934, as amended (the “Exchange Act”), or otherwise subject to the liabilities of that Section. The information contained in Item 2.02 of this Current Report on Form 8-K (including the Press Release and selected historical financial information) shall not be incorporated by reference into any registration statement or other document pursuant to the Securities Act of 1933, as amended, or the Exchange Act, except as shall be expressly set forth by specific reference in any such filing.</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Discussion of Adjusted Financial Measures</w:t>
      </w:r>
    </w:p>
    <w:p>
      <w:pPr>
        <w:spacing w:after="0" w:line="25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In addition to our GAAP results, we provide certain non-GAAP measures, including organic revenues, adjusted EBITDA, adjusted net income, adjusted gross profit, adjusted gross margin, adjusted earnings per diluted share, net debt, free cash flow and adjusted free cash flow conversion.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 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 The measure of free cash flow consists of GAAP net cash provided by operating activities less purchases of property and equipment. The adjusted free cash flow conversion measure is calculated by dividing free cash flow by adjusted net income.</w:t>
      </w:r>
    </w:p>
    <w:p>
      <w:pPr>
        <w:spacing w:after="0" w:line="200" w:lineRule="exact"/>
        <w:rPr>
          <w:sz w:val="20"/>
          <w:szCs w:val="20"/>
          <w:color w:val="auto"/>
        </w:rPr>
      </w:pPr>
    </w:p>
    <w:p>
      <w:pPr>
        <w:spacing w:after="0" w:line="23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believes that the presentation of organic revenues and the various adjusted EBITDA, adjusted net income, adjusted gross profit, adjusted gross margin, adjusted earnings per diluted share, net debt, free cash flow and adjusted free cash flow conversion measures provides important supplemental information to management and investors regarding financial and business trends relating to the Company's financial condition and results of operations. Management uses non-GAAP financial measures in the form of organic revenues, ,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 w:name="page3"/>
    <w:bookmarkEnd w:id="2"/>
    <w:p>
      <w:pPr>
        <w:jc w:val="both"/>
        <w:spacing w:after="0" w:line="254" w:lineRule="auto"/>
        <w:rPr>
          <w:sz w:val="20"/>
          <w:szCs w:val="20"/>
          <w:color w:val="auto"/>
        </w:rPr>
      </w:pPr>
      <w:r>
        <w:rPr>
          <w:rFonts w:ascii="Times New Roman" w:cs="Times New Roman" w:eastAsia="Times New Roman" w:hAnsi="Times New Roman"/>
          <w:sz w:val="18"/>
          <w:szCs w:val="18"/>
          <w:color w:val="auto"/>
        </w:rPr>
        <w:t>adjusted net income, adjusted gross profit, adjusted gross margin, adjusted earnings per diluted share, net debt, free cash flow and adjusted free cash flow conversion when evaluating operating performance because we believe that the inclusion or exclusion of the items described below, for which the amounts and/or timing may vary significantly depending upon the Company's divestiture, acquisition, integration, and restructuring activities, for which the amounts are non-cash in nature, or for which the amounts are not expected to recur at the same magnitude, provides a supplemental measure of our operating results that facilitates comparability of our financial condition and operating performance from period to period, against our business model objectives, and against other companies in our industry. We have chosen to provide this information to investors so they can analyze our operating results in the same way that management does and use this information in their assessment of our core business and the valuation of our Company. In addition, since the Company has historically provided non-GAAP guidance to the investment community, we believe the continued inclusion of non-GAAP guidance provides consistency in the information made available to investors.</w:t>
      </w:r>
    </w:p>
    <w:p>
      <w:pPr>
        <w:spacing w:after="0" w:line="21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Organic revenues, adjusted EBITDA, adjusted net income, adjusted gross profit, adjusted gross margin, adjusted earnings per diluted share, net debt, free cash flow and adjusted free cash flow conversion are significant measures used by management for purposes of:</w:t>
      </w:r>
    </w:p>
    <w:p>
      <w:pPr>
        <w:spacing w:after="0" w:line="189" w:lineRule="exact"/>
        <w:rPr>
          <w:sz w:val="20"/>
          <w:szCs w:val="20"/>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supplementing the financial results and forecasts reported to the Company's board of directors;</w:t>
      </w:r>
    </w:p>
    <w:p>
      <w:pPr>
        <w:spacing w:after="0" w:line="27"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managing and benchmarking the operating performance of the Company;</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internal operating budgets;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compensation under bonus or other incentive programs;</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enhancing comparability from period to period;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comparing performance with internal forecasts and targeted business models; and</w:t>
      </w:r>
    </w:p>
    <w:p>
      <w:pPr>
        <w:spacing w:after="0" w:line="9" w:lineRule="exact"/>
        <w:rPr>
          <w:rFonts w:ascii="Times New Roman" w:cs="Times New Roman" w:eastAsia="Times New Roman" w:hAnsi="Times New Roman"/>
          <w:sz w:val="18"/>
          <w:szCs w:val="18"/>
          <w:color w:val="auto"/>
        </w:rPr>
      </w:pPr>
    </w:p>
    <w:p>
      <w:pPr>
        <w:ind w:left="760" w:hanging="104"/>
        <w:spacing w:after="0"/>
        <w:tabs>
          <w:tab w:leader="none" w:pos="7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evaluating and valuing potential acquisition candidates.</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measure of organic revenues that we report reflects the change in total revenues for the quarter ended March 31, 2025 adjusted for the effects of currency exchange rates, revenues from acquisitions, and revenues from divested products on current period revenues. We provide this measure because changes in foreign currency exchange rates can distort our reduction favorably or unfavorably, depending upon the strength of the U.S. dollar in relation to the various foreign currencies in which we generate revenues. We generate significant revenues outside the United States in multiple foreign currencies. We believe this measure provides useful information to determine the success of our international selling organizations in increasing sales of products in their local currencies without regard to fluctuations in currency exchanges rates, which we do not control. Additionally, significant divestitures and acquisitions can distort our current period revenues when compared to prior periods.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measures of adjusted net income and adjusted gross profit reflect GAAP net income and GAAP gross profit, respectively, each adjusted for one or more of the following items, as applicable:</w:t>
      </w:r>
    </w:p>
    <w:p>
      <w:pPr>
        <w:spacing w:after="0" w:line="189" w:lineRule="exact"/>
        <w:rPr>
          <w:sz w:val="20"/>
          <w:szCs w:val="20"/>
          <w:color w:val="auto"/>
        </w:rPr>
      </w:pPr>
    </w:p>
    <w:p>
      <w:pPr>
        <w:jc w:val="both"/>
        <w:ind w:left="660" w:hanging="328"/>
        <w:spacing w:after="0" w:line="254"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Structural optimization charges.</w:t>
      </w:r>
      <w:r>
        <w:rPr>
          <w:rFonts w:ascii="Times New Roman" w:cs="Times New Roman" w:eastAsia="Times New Roman" w:hAnsi="Times New Roman"/>
          <w:sz w:val="18"/>
          <w:szCs w:val="18"/>
          <w:color w:val="auto"/>
        </w:rPr>
        <w:t xml:space="preserve"> These charges include employee severance and other costs associated with exit or disposal of facilities, costs related to transferring manufacturing and/or distribution activities to different locations, and rationalization or enhancement of our organization, existing manufacturing, distribution, administrative, functional and commercial infrastructure. Some of these cost-saving and efficiency-driven activities are identified as opportunities in connection with acquisitions that provide the Company with additional capacity or economies of scale. Although recurring in nature, given management's ongoing review of the efficiency of our organization and structure, including manufacturing, distribution and administrative facilities and operations, management excludes these items when evaluating the operating performance of the Company because the frequency and amount of such charges vary significantly based on the timing and magnitude of the Company's rationalization activities and are, in some cases, dependent upon opportunities identified in acquisitions, which also vary in frequency and magnitude.</w:t>
      </w:r>
    </w:p>
    <w:p>
      <w:pPr>
        <w:spacing w:after="0" w:line="80" w:lineRule="exact"/>
        <w:rPr>
          <w:rFonts w:ascii="Times New Roman" w:cs="Times New Roman" w:eastAsia="Times New Roman" w:hAnsi="Times New Roman"/>
          <w:sz w:val="18"/>
          <w:szCs w:val="18"/>
          <w:color w:val="auto"/>
        </w:rPr>
      </w:pPr>
    </w:p>
    <w:p>
      <w:pPr>
        <w:jc w:val="both"/>
        <w:ind w:left="660" w:hanging="328"/>
        <w:spacing w:after="0" w:line="25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Acquisition, divestiture and integration-related charges.</w:t>
      </w:r>
      <w:r>
        <w:rPr>
          <w:rFonts w:ascii="Times New Roman" w:cs="Times New Roman" w:eastAsia="Times New Roman" w:hAnsi="Times New Roman"/>
          <w:sz w:val="18"/>
          <w:szCs w:val="18"/>
          <w:color w:val="auto"/>
        </w:rPr>
        <w:t xml:space="preserve"> Acquisition, divestiture and integration-related charges include (i) inventory fair value purchase accounting adjustments, (ii) changes in the fair value of contingent consideration after the acquisition date, (iii) costs related to acquisition integration, including systems, operations, retention and severance, (iv) legal, accounting, banking and other outside consultants expenses directly related to acquisitions or divestitures, and (v) gain or loss on sale of business and related costs to complete the divestiture of business. Although recurring, given the ongoing character of our acquisitions and divestitures, these charges are not factored into the evaluation of our performance by management after completion because they are of a temporary nature, they are not related to our core operating performance and the frequency and amount of such charges vary significantly based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633095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3" w:name="page4"/>
    <w:bookmarkEnd w:id="3"/>
    <w:p>
      <w:pPr>
        <w:ind w:left="660"/>
        <w:spacing w:after="0"/>
        <w:rPr>
          <w:sz w:val="20"/>
          <w:szCs w:val="20"/>
          <w:color w:val="auto"/>
        </w:rPr>
      </w:pPr>
      <w:r>
        <w:rPr>
          <w:rFonts w:ascii="Times New Roman" w:cs="Times New Roman" w:eastAsia="Times New Roman" w:hAnsi="Times New Roman"/>
          <w:sz w:val="18"/>
          <w:szCs w:val="18"/>
          <w:color w:val="auto"/>
        </w:rPr>
        <w:t>timing and magnitude of our acquisition and divestiture transactions as well as the level of inventory on hand at the time of acquisition.</w:t>
      </w:r>
    </w:p>
    <w:p>
      <w:pPr>
        <w:spacing w:after="0" w:line="117" w:lineRule="exact"/>
        <w:rPr>
          <w:sz w:val="20"/>
          <w:szCs w:val="20"/>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EU Medical Device Regulation charges</w:t>
      </w:r>
      <w:r>
        <w:rPr>
          <w:rFonts w:ascii="Times New Roman" w:cs="Times New Roman" w:eastAsia="Times New Roman" w:hAnsi="Times New Roman"/>
          <w:sz w:val="18"/>
          <w:szCs w:val="18"/>
          <w:color w:val="auto"/>
        </w:rPr>
        <w:t>. These charges represent costs specific to complying with the medical device reporting regulations and other requirements of the European Union’s regulation for medical devices. Management excludes this item when evaluating the Company’s operating performance because these costs incurred are not reflective of its ongoing operations.</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Boston Recall/Braintree transition charges</w:t>
      </w:r>
      <w:r>
        <w:rPr>
          <w:rFonts w:ascii="Times New Roman" w:cs="Times New Roman" w:eastAsia="Times New Roman" w:hAnsi="Times New Roman"/>
          <w:sz w:val="18"/>
          <w:szCs w:val="18"/>
          <w:color w:val="auto"/>
        </w:rPr>
        <w:t>. These charges represent costs, including inventory write-offs, idle capacity charges and charges related to the transition of Boston-related manufacturing operations to the Company’s Braintree, Massachusetts facility, incurred in connection with the recall. Management excludes this item when evaluating the Company’s operating performance because of the infrequent and/or large scale nature of these activities.</w:t>
      </w:r>
    </w:p>
    <w:p>
      <w:pPr>
        <w:spacing w:after="0" w:line="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Intangible asset amortization expense.</w:t>
      </w:r>
      <w:r>
        <w:rPr>
          <w:rFonts w:ascii="Times New Roman" w:cs="Times New Roman" w:eastAsia="Times New Roman" w:hAnsi="Times New Roman"/>
          <w:sz w:val="18"/>
          <w:szCs w:val="18"/>
          <w:color w:val="auto"/>
        </w:rPr>
        <w:t xml:space="preserve"> Management excludes this item when evaluating the Company's operating performance because it is a non-cash expense.</w:t>
      </w:r>
    </w:p>
    <w:p>
      <w:pPr>
        <w:spacing w:after="0" w:line="5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Income tax impact from adjustments.</w:t>
      </w:r>
      <w:r>
        <w:rPr>
          <w:rFonts w:ascii="Times New Roman" w:cs="Times New Roman" w:eastAsia="Times New Roman" w:hAnsi="Times New Roman"/>
          <w:sz w:val="18"/>
          <w:szCs w:val="18"/>
          <w:color w:val="auto"/>
        </w:rPr>
        <w:t xml:space="preserve"> This item represents adjustments to income tax expense for the amount of additional tax expense that the Company estimates that it would record if it used non-GAAP results instead of GAAP results in the calculation of its tax provision, based on the statutory rate applicable to jurisdictions in which the above non-GAAP adjustments relate.</w:t>
      </w:r>
    </w:p>
    <w:p>
      <w:pPr>
        <w:spacing w:after="0" w:line="31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Press Release, the Company provided forward-looking guidance regarding adjusted earnings per diluted share but did not provide a reconciliation to GAAP earnings per share, because certain GAAP expense items are highly variable and management is unable to predict them with reasonable certainty and without unreasonable effort. Specifically, the financial impact and timing of divestitures, acquisitions, integrations, structural optimization, efforts to comply with the EU Medical Device Regulation, and income tax impact from adjustments are uncertain, depend on various dynamic factors and are not reasonably ascertainable at this time. These expense items could have a material impact on GAAP results.</w:t>
      </w:r>
    </w:p>
    <w:p>
      <w:pPr>
        <w:spacing w:after="0" w:line="210"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Organic revenues, adjusted EBITDA, adjusted net income, adjusted gross profit, adjusted gross margin, adjusted earnings per diluted share, net debt, free cash flow and adjusted free cash flow conversion are not calculated in accordance with GAAP, and should be considered supplemental to, and not as a substitute for, or superior to, financial measures calculated in accordance with GAAP. Non-GAAP financial measures have limitations in that they do not reflect all of the revenues, costs or benefits associated with the operations of the Company's business as determined in accordance with GAAP. As a result, you should not consider these measures in isolation or as a substitute for analysis of the Company's results as reported under GAAP. The Company expects to continue to acquire businesses and product lines and to incur expenses of a nature similar to many of the non-GAAP adjustments described above, and exclusion of these items from its adjusted financial measures should not be construed as an inference that all of these revenue adjustments or costs are unusual, infrequent or non-recurring. Some of the limitations in relying on the adjusted financial measures are:</w:t>
      </w:r>
    </w:p>
    <w:p>
      <w:pPr>
        <w:spacing w:after="0" w:line="219" w:lineRule="exact"/>
        <w:rPr>
          <w:sz w:val="20"/>
          <w:szCs w:val="20"/>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periodically acquires other companies or businesses, and we expect to continue to incur acquisition-related expenses and charges in the future. These costs can directly impact the amount of the Company's available funds or could include costs for aborted deals which may be significant and reduce GAAP net income.</w:t>
      </w:r>
    </w:p>
    <w:p>
      <w:pPr>
        <w:spacing w:after="0" w:line="6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adjustments to GAAP net income have been tax affected at the Company's actual tax rates. Depending on the nature of the adjustments and the tax treatment of the underlying items, the effective tax rate related to adjusted net income could differ significantly from the effective tax rate related to GAAP net income.</w:t>
      </w:r>
    </w:p>
    <w:p>
      <w:pPr>
        <w:spacing w:after="0" w:line="3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the financial tables portion of the Press Release, the Company has included reconciliations of GAAP reported revenues to organic revenues, GAAP net income to adjusted EBITDA, GAAP net income to adjusted net income, GAAP gross profit to adjusted gross profit, GAAP gross margin to adjusted gross margin, and GAAP earnings per diluted share to adjusted earnings per diluted share each for the quarters ended March 31, 2025 and 2024. The Company has included reconciliations of GAAP operating cash flow to free cash flow and adjusted free cash flow conversion for the quarters and twelve months ended March 31, 2025 and 2024. The Company has included a reconciliation of GAAP total debt to net debt for the quarters ended March 31, 2025 and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632460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3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99.1 </w:t>
      </w:r>
      <w:r>
        <w:rPr>
          <w:rFonts w:ascii="Times New Roman" w:cs="Times New Roman" w:eastAsia="Times New Roman" w:hAnsi="Times New Roman"/>
          <w:sz w:val="18"/>
          <w:szCs w:val="18"/>
          <w:u w:val="single" w:color="auto"/>
          <w:color w:val="0000FF"/>
        </w:rPr>
        <w:t>Press Release with attachments, dated May 5, 2025, issued by Integra LifeSciences Holdings Corporation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104 Cover Page Interactive Data File (embedded within the inline XRBL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587375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170" w:right="1440" w:bottom="1440" w:gutter="0" w:footer="0" w:header="0"/>
        </w:sectPr>
      </w:pPr>
    </w:p>
    <w:bookmarkStart w:id="5" w:name="page6"/>
    <w:bookmarkEnd w:id="5"/>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67"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279"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5460" w:type="dxa"/>
            <w:vAlign w:val="bottom"/>
          </w:tcPr>
          <w:p>
            <w:pPr>
              <w:spacing w:after="0"/>
              <w:rPr>
                <w:sz w:val="20"/>
                <w:szCs w:val="20"/>
                <w:color w:val="auto"/>
              </w:rPr>
            </w:pPr>
            <w:r>
              <w:rPr>
                <w:rFonts w:ascii="Times New Roman" w:cs="Times New Roman" w:eastAsia="Times New Roman" w:hAnsi="Times New Roman"/>
                <w:sz w:val="18"/>
                <w:szCs w:val="18"/>
                <w:color w:val="auto"/>
              </w:rPr>
              <w:t>Date: May 5, 2025</w:t>
            </w:r>
          </w:p>
        </w:tc>
        <w:tc>
          <w:tcPr>
            <w:tcW w:w="12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Lea Knight</w:t>
            </w:r>
          </w:p>
        </w:tc>
        <w:tc>
          <w:tcPr>
            <w:tcW w:w="2640" w:type="dxa"/>
            <w:vAlign w:val="bottom"/>
          </w:tcPr>
          <w:p>
            <w:pPr>
              <w:spacing w:after="0"/>
              <w:rPr>
                <w:sz w:val="17"/>
                <w:szCs w:val="17"/>
                <w:color w:val="auto"/>
              </w:rPr>
            </w:pPr>
          </w:p>
        </w:tc>
      </w:tr>
      <w:tr>
        <w:trPr>
          <w:trHeight w:val="245"/>
        </w:trPr>
        <w:tc>
          <w:tcPr>
            <w:tcW w:w="5460" w:type="dxa"/>
            <w:vAlign w:val="bottom"/>
          </w:tcPr>
          <w:p>
            <w:pPr>
              <w:spacing w:after="0"/>
              <w:rPr>
                <w:sz w:val="21"/>
                <w:szCs w:val="21"/>
                <w:color w:val="auto"/>
              </w:rPr>
            </w:pP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Lea Knight</w:t>
            </w:r>
          </w:p>
        </w:tc>
      </w:tr>
      <w:tr>
        <w:trPr>
          <w:trHeight w:val="234"/>
        </w:trPr>
        <w:tc>
          <w:tcPr>
            <w:tcW w:w="5460" w:type="dxa"/>
            <w:vAlign w:val="bottom"/>
          </w:tcPr>
          <w:p>
            <w:pPr>
              <w:ind w:left="4740"/>
              <w:spacing w:after="0"/>
              <w:rPr>
                <w:sz w:val="20"/>
                <w:szCs w:val="20"/>
                <w:color w:val="auto"/>
              </w:rPr>
            </w:pPr>
            <w:r>
              <w:rPr>
                <w:rFonts w:ascii="Times New Roman" w:cs="Times New Roman" w:eastAsia="Times New Roman" w:hAnsi="Times New Roman"/>
                <w:sz w:val="18"/>
                <w:szCs w:val="18"/>
                <w:color w:val="auto"/>
              </w:rPr>
              <w:t>Title:</w:t>
            </w:r>
          </w:p>
        </w:tc>
        <w:tc>
          <w:tcPr>
            <w:tcW w:w="38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9"/>
              </w:rPr>
              <w:t>Executive Vice President and Chief Financial Officer</w:t>
            </w:r>
          </w:p>
        </w:tc>
      </w:tr>
    </w:tbl>
    <w:p>
      <w:pPr>
        <w:sectPr>
          <w:pgSz w:w="11900" w:h="16838" w:orient="portrait"/>
          <w:cols w:equalWidth="0" w:num="1">
            <w:col w:w="11240"/>
          </w:cols>
          <w:pgMar w:left="320" w:top="92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9"/>
          <w:szCs w:val="29"/>
          <w:i w:val="1"/>
          <w:iCs w:val="1"/>
          <w:color w:val="auto"/>
        </w:rPr>
        <w:t>News Release</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i w:val="1"/>
          <w:iCs w:val="1"/>
          <w:color w:val="auto"/>
        </w:rPr>
        <w:t>Integra LifeSciences Reports First Quarter 2025 Financial Results</w:t>
      </w:r>
    </w:p>
    <w:p>
      <w:pPr>
        <w:spacing w:after="0" w:line="245" w:lineRule="exact"/>
        <w:rPr>
          <w:sz w:val="20"/>
          <w:szCs w:val="20"/>
          <w:color w:val="auto"/>
        </w:rPr>
      </w:pPr>
    </w:p>
    <w:p>
      <w:pPr>
        <w:ind w:right="480"/>
        <w:spacing w:after="0" w:line="269" w:lineRule="auto"/>
        <w:rPr>
          <w:sz w:val="20"/>
          <w:szCs w:val="20"/>
          <w:color w:val="auto"/>
        </w:rPr>
      </w:pPr>
      <w:r>
        <w:rPr>
          <w:rFonts w:ascii="Times New Roman" w:cs="Times New Roman" w:eastAsia="Times New Roman" w:hAnsi="Times New Roman"/>
          <w:sz w:val="20"/>
          <w:szCs w:val="20"/>
          <w:color w:val="auto"/>
        </w:rPr>
        <w:t xml:space="preserve">PRINCETON, N.J., May 5, 2025 - </w:t>
      </w:r>
      <w:r>
        <w:rPr>
          <w:rFonts w:ascii="Times New Roman" w:cs="Times New Roman" w:eastAsia="Times New Roman" w:hAnsi="Times New Roman"/>
          <w:sz w:val="20"/>
          <w:szCs w:val="20"/>
          <w:u w:val="single" w:color="auto"/>
          <w:color w:val="0000FF"/>
        </w:rPr>
        <w:t>Integra LifeSciences Holdings Corporation</w:t>
      </w:r>
      <w:r>
        <w:rPr>
          <w:rFonts w:ascii="Times New Roman" w:cs="Times New Roman" w:eastAsia="Times New Roman" w:hAnsi="Times New Roman"/>
          <w:sz w:val="20"/>
          <w:szCs w:val="20"/>
          <w:color w:val="auto"/>
        </w:rPr>
        <w:t xml:space="preserve"> (NASDAQ: IART), a leading global medical technology company, today reported financial results for the first quarter ending March 31, 2025.</w:t>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First Quarter 2025 Highlights</w:t>
      </w:r>
    </w:p>
    <w:p>
      <w:pPr>
        <w:spacing w:after="0" w:line="193" w:lineRule="exact"/>
        <w:rPr>
          <w:sz w:val="20"/>
          <w:szCs w:val="20"/>
          <w:color w:val="auto"/>
        </w:rPr>
      </w:pPr>
    </w:p>
    <w:p>
      <w:pPr>
        <w:ind w:left="660" w:right="100" w:hanging="328"/>
        <w:spacing w:after="0" w:line="255" w:lineRule="auto"/>
        <w:tabs>
          <w:tab w:leader="none" w:pos="648" w:val="left"/>
        </w:tabs>
        <w:numPr>
          <w:ilvl w:val="0"/>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First quarter revenues of $382.7 million increased 3.7% on a reported basis and decreased 3.5% on an organic basis compared to the prior year.</w:t>
      </w:r>
    </w:p>
    <w:p>
      <w:pPr>
        <w:spacing w:after="0" w:line="199" w:lineRule="exact"/>
        <w:rPr>
          <w:rFonts w:ascii="Times New Roman" w:cs="Times New Roman" w:eastAsia="Times New Roman" w:hAnsi="Times New Roman"/>
          <w:sz w:val="20"/>
          <w:szCs w:val="20"/>
          <w:color w:val="auto"/>
        </w:rPr>
      </w:pPr>
    </w:p>
    <w:p>
      <w:pPr>
        <w:ind w:left="660" w:hanging="328"/>
        <w:spacing w:after="0" w:line="268" w:lineRule="auto"/>
        <w:tabs>
          <w:tab w:leader="none" w:pos="648" w:val="left"/>
        </w:tabs>
        <w:numPr>
          <w:ilvl w:val="0"/>
          <w:numId w:val="6"/>
        </w:numPr>
        <w:rPr>
          <w:rFonts w:ascii="Arial" w:cs="Arial" w:eastAsia="Arial" w:hAnsi="Arial"/>
          <w:sz w:val="20"/>
          <w:szCs w:val="20"/>
          <w:color w:val="auto"/>
        </w:rPr>
      </w:pPr>
      <w:r>
        <w:rPr>
          <w:rFonts w:ascii="Times New Roman" w:cs="Times New Roman" w:eastAsia="Times New Roman" w:hAnsi="Times New Roman"/>
          <w:sz w:val="20"/>
          <w:szCs w:val="20"/>
          <w:color w:val="auto"/>
        </w:rPr>
        <w:t>First quarter GAAP earnings per diluted share of $(0.33), compared to $(0.04) in the prior year; adjusted earnings per diluted share of $0.41, compared to $0.55 in the prior year.</w:t>
      </w:r>
    </w:p>
    <w:p>
      <w:pPr>
        <w:spacing w:after="0" w:line="227" w:lineRule="exact"/>
        <w:rPr>
          <w:rFonts w:ascii="Arial" w:cs="Arial" w:eastAsia="Arial" w:hAnsi="Arial"/>
          <w:sz w:val="20"/>
          <w:szCs w:val="20"/>
          <w:color w:val="auto"/>
        </w:rPr>
      </w:pPr>
    </w:p>
    <w:p>
      <w:pPr>
        <w:ind w:left="660" w:right="80" w:hanging="328"/>
        <w:spacing w:after="0" w:line="245" w:lineRule="auto"/>
        <w:tabs>
          <w:tab w:leader="none" w:pos="655" w:val="left"/>
        </w:tabs>
        <w:numPr>
          <w:ilvl w:val="0"/>
          <w:numId w:val="6"/>
        </w:numPr>
        <w:rPr>
          <w:rFonts w:ascii="Arial" w:cs="Arial" w:eastAsia="Arial" w:hAnsi="Arial"/>
          <w:sz w:val="22"/>
          <w:szCs w:val="22"/>
          <w:color w:val="auto"/>
        </w:rPr>
      </w:pPr>
      <w:r>
        <w:rPr>
          <w:rFonts w:ascii="Times New Roman" w:cs="Times New Roman" w:eastAsia="Times New Roman" w:hAnsi="Times New Roman"/>
          <w:sz w:val="20"/>
          <w:szCs w:val="20"/>
          <w:color w:val="auto"/>
        </w:rPr>
        <w:t>Reaffirming full-year 2025 revenue guidance range and updating adjusted EPS guidance to account for the impact related to the new tariffs.</w:t>
      </w:r>
    </w:p>
    <w:p>
      <w:pPr>
        <w:spacing w:after="0" w:line="222" w:lineRule="exact"/>
        <w:rPr>
          <w:sz w:val="20"/>
          <w:szCs w:val="20"/>
          <w:color w:val="auto"/>
        </w:rPr>
      </w:pPr>
    </w:p>
    <w:p>
      <w:pPr>
        <w:ind w:right="20"/>
        <w:spacing w:after="0" w:line="259" w:lineRule="auto"/>
        <w:rPr>
          <w:sz w:val="20"/>
          <w:szCs w:val="20"/>
          <w:color w:val="auto"/>
        </w:rPr>
      </w:pPr>
      <w:r>
        <w:rPr>
          <w:rFonts w:ascii="Times New Roman" w:cs="Times New Roman" w:eastAsia="Times New Roman" w:hAnsi="Times New Roman"/>
          <w:sz w:val="19"/>
          <w:szCs w:val="19"/>
          <w:color w:val="auto"/>
        </w:rPr>
        <w:t>“We remain laser focused on strengthening our quality systems, improving supply reliability, and driving operational excellence. There remains significant work ahead, but we are continuing to put the processes and people in place to execute on our comprehensive Compliance Master Plan and build a foundation for sustainable performance. With the launch of our Transformation and Program Management Office and the addition of key leadership, including in global operations, we are driving improved accountability and execution across the enterprise to deliver meaningful long-term value for patients, customers, and shareholders,” said Mojdeh Poul, president and chief executive officer.</w:t>
      </w:r>
    </w:p>
    <w:p>
      <w:pPr>
        <w:spacing w:after="0" w:line="198" w:lineRule="exact"/>
        <w:rPr>
          <w:sz w:val="20"/>
          <w:szCs w:val="20"/>
          <w:color w:val="auto"/>
        </w:rPr>
      </w:pPr>
    </w:p>
    <w:p>
      <w:pPr>
        <w:ind w:right="240"/>
        <w:spacing w:after="0" w:line="254" w:lineRule="auto"/>
        <w:rPr>
          <w:sz w:val="20"/>
          <w:szCs w:val="20"/>
          <w:color w:val="auto"/>
        </w:rPr>
      </w:pPr>
      <w:r>
        <w:rPr>
          <w:rFonts w:ascii="Times New Roman" w:cs="Times New Roman" w:eastAsia="Times New Roman" w:hAnsi="Times New Roman"/>
          <w:sz w:val="20"/>
          <w:szCs w:val="20"/>
          <w:color w:val="auto"/>
        </w:rPr>
        <w:t>“As I reflect on my first quarter at Integra and continue spending time across our operations and with employees, I remain inspired by the deep commitment of our teams to our customers and patients. I am also encouraged by the positive feedback I consistently receive from customers about the impact of our solutions and the value of our portfolio. I’m equally optimistic about the long-term growth and earnings potential of our differentiated offerings.”</w:t>
      </w:r>
    </w:p>
    <w:p>
      <w:pPr>
        <w:spacing w:after="0"/>
        <w:rPr>
          <w:sz w:val="20"/>
          <w:szCs w:val="20"/>
          <w:color w:val="auto"/>
        </w:rPr>
      </w:pPr>
      <w:r>
        <w:rPr>
          <w:rFonts w:ascii="Times New Roman" w:cs="Times New Roman" w:eastAsia="Times New Roman" w:hAnsi="Times New Roman"/>
          <w:sz w:val="20"/>
          <w:szCs w:val="20"/>
          <w:b w:val="1"/>
          <w:bCs w:val="1"/>
          <w:color w:val="auto"/>
        </w:rPr>
        <w:t>First Quarter 2025 Consolidated Performance</w:t>
      </w:r>
    </w:p>
    <w:p>
      <w:pPr>
        <w:spacing w:after="0" w:line="214" w:lineRule="exact"/>
        <w:rPr>
          <w:sz w:val="20"/>
          <w:szCs w:val="20"/>
          <w:color w:val="auto"/>
        </w:rPr>
      </w:pPr>
    </w:p>
    <w:p>
      <w:pPr>
        <w:ind w:right="140"/>
        <w:spacing w:after="0" w:line="283" w:lineRule="auto"/>
        <w:rPr>
          <w:sz w:val="20"/>
          <w:szCs w:val="20"/>
          <w:color w:val="auto"/>
        </w:rPr>
      </w:pPr>
      <w:r>
        <w:rPr>
          <w:rFonts w:ascii="Times New Roman" w:cs="Times New Roman" w:eastAsia="Times New Roman" w:hAnsi="Times New Roman"/>
          <w:sz w:val="20"/>
          <w:szCs w:val="20"/>
          <w:color w:val="auto"/>
        </w:rPr>
        <w:t>Total reported revenues of $382.7 million increased 3.7% on a reported basis and declined (3.5)% on an organic basis compared to the prior year.</w:t>
      </w:r>
    </w:p>
    <w:p>
      <w:pPr>
        <w:spacing w:after="0" w:line="119" w:lineRule="exact"/>
        <w:rPr>
          <w:sz w:val="20"/>
          <w:szCs w:val="20"/>
          <w:color w:val="auto"/>
        </w:rPr>
      </w:pPr>
    </w:p>
    <w:p>
      <w:pPr>
        <w:ind w:right="320"/>
        <w:spacing w:after="0" w:line="283" w:lineRule="auto"/>
        <w:rPr>
          <w:sz w:val="20"/>
          <w:szCs w:val="20"/>
          <w:color w:val="auto"/>
        </w:rPr>
      </w:pPr>
      <w:r>
        <w:rPr>
          <w:rFonts w:ascii="Times New Roman" w:cs="Times New Roman" w:eastAsia="Times New Roman" w:hAnsi="Times New Roman"/>
          <w:sz w:val="20"/>
          <w:szCs w:val="20"/>
          <w:color w:val="auto"/>
        </w:rPr>
        <w:t>The Company reported GAAP gross margin of 50.8%, compared to 56.1% in the first quarter of 2024. Adjusted gross margin was 62.2%, compared to 64.4% in the prior year.</w:t>
      </w:r>
    </w:p>
    <w:p>
      <w:pPr>
        <w:spacing w:after="0" w:line="119" w:lineRule="exact"/>
        <w:rPr>
          <w:sz w:val="20"/>
          <w:szCs w:val="20"/>
          <w:color w:val="auto"/>
        </w:rPr>
      </w:pPr>
    </w:p>
    <w:p>
      <w:pPr>
        <w:ind w:right="160"/>
        <w:spacing w:after="0" w:line="269" w:lineRule="auto"/>
        <w:rPr>
          <w:sz w:val="20"/>
          <w:szCs w:val="20"/>
          <w:color w:val="auto"/>
        </w:rPr>
      </w:pPr>
      <w:r>
        <w:rPr>
          <w:rFonts w:ascii="Times New Roman" w:cs="Times New Roman" w:eastAsia="Times New Roman" w:hAnsi="Times New Roman"/>
          <w:sz w:val="20"/>
          <w:szCs w:val="20"/>
          <w:color w:val="auto"/>
        </w:rPr>
        <w:t>Adjusted EBITDA for the first quarter of 2025 was $63.6 million, or 16.6% of revenue, compared to $71.8 million, or 19.5% of revenue, in the prior year.</w:t>
      </w:r>
    </w:p>
    <w:p>
      <w:pPr>
        <w:spacing w:after="0" w:line="132" w:lineRule="exact"/>
        <w:rPr>
          <w:sz w:val="20"/>
          <w:szCs w:val="20"/>
          <w:color w:val="auto"/>
        </w:rPr>
      </w:pPr>
    </w:p>
    <w:p>
      <w:pPr>
        <w:ind w:right="140"/>
        <w:spacing w:after="0" w:line="243" w:lineRule="auto"/>
        <w:rPr>
          <w:sz w:val="20"/>
          <w:szCs w:val="20"/>
          <w:color w:val="auto"/>
        </w:rPr>
      </w:pPr>
      <w:r>
        <w:rPr>
          <w:rFonts w:ascii="Times New Roman" w:cs="Times New Roman" w:eastAsia="Times New Roman" w:hAnsi="Times New Roman"/>
          <w:sz w:val="20"/>
          <w:szCs w:val="20"/>
          <w:color w:val="auto"/>
        </w:rPr>
        <w:t>The Company reported a GAAP net loss of $(25.3) million, or $(0.33) per diluted share, in the first quarter of 2025, compared to GAAP net loss of $(3.3) million, or $(0.04) per diluted share, in the prior year.</w:t>
      </w:r>
    </w:p>
    <w:p>
      <w:pPr>
        <w:spacing w:after="0" w:line="2" w:lineRule="exact"/>
        <w:rPr>
          <w:sz w:val="20"/>
          <w:szCs w:val="20"/>
          <w:color w:val="auto"/>
        </w:rPr>
      </w:pPr>
    </w:p>
    <w:p>
      <w:pPr>
        <w:ind w:right="500"/>
        <w:spacing w:after="0" w:line="246" w:lineRule="auto"/>
        <w:rPr>
          <w:sz w:val="20"/>
          <w:szCs w:val="20"/>
          <w:color w:val="auto"/>
        </w:rPr>
      </w:pPr>
      <w:r>
        <w:rPr>
          <w:rFonts w:ascii="Times New Roman" w:cs="Times New Roman" w:eastAsia="Times New Roman" w:hAnsi="Times New Roman"/>
          <w:sz w:val="20"/>
          <w:szCs w:val="20"/>
          <w:color w:val="auto"/>
        </w:rPr>
        <w:t>Adjusted net income for the first quarter of 2025 was $31.7 million, or $0.41 per diluted share, compared to $43.0 million, or $0.55 per diluted share, in the prior year.</w:t>
      </w:r>
    </w:p>
    <w:p>
      <w:pPr>
        <w:sectPr>
          <w:pgSz w:w="11900" w:h="16838" w:orient="portrait"/>
          <w:cols w:equalWidth="0" w:num="1">
            <w:col w:w="11220"/>
          </w:cols>
          <w:pgMar w:left="320" w:top="871" w:right="3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0"/>
          <w:szCs w:val="20"/>
          <w:b w:val="1"/>
          <w:bCs w:val="1"/>
          <w:color w:val="auto"/>
        </w:rPr>
        <w:t>First Quarter 2025 Segment Performance</w:t>
      </w: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Codman Specialty Surgical (~70% of Revenues)</w:t>
      </w:r>
    </w:p>
    <w:p>
      <w:pPr>
        <w:spacing w:after="0" w:line="193" w:lineRule="exact"/>
        <w:rPr>
          <w:sz w:val="20"/>
          <w:szCs w:val="20"/>
          <w:color w:val="auto"/>
        </w:rPr>
      </w:pPr>
    </w:p>
    <w:p>
      <w:pPr>
        <w:ind w:left="660" w:right="420"/>
        <w:spacing w:after="0" w:line="255" w:lineRule="auto"/>
        <w:rPr>
          <w:sz w:val="20"/>
          <w:szCs w:val="20"/>
          <w:color w:val="auto"/>
        </w:rPr>
      </w:pPr>
      <w:r>
        <w:rPr>
          <w:rFonts w:ascii="Times New Roman" w:cs="Times New Roman" w:eastAsia="Times New Roman" w:hAnsi="Times New Roman"/>
          <w:sz w:val="20"/>
          <w:szCs w:val="20"/>
          <w:color w:val="auto"/>
        </w:rPr>
        <w:t>Total revenues were $280.7 million, representing reported growth of 9.4% and an organic decline of 1.1% compared to the first quarter of 2024.</w:t>
      </w:r>
    </w:p>
    <w:p>
      <w:pPr>
        <w:spacing w:after="0" w:line="213" w:lineRule="exact"/>
        <w:rPr>
          <w:sz w:val="20"/>
          <w:szCs w:val="20"/>
          <w:color w:val="auto"/>
        </w:rPr>
      </w:pPr>
    </w:p>
    <w:p>
      <w:pPr>
        <w:ind w:left="1300" w:hanging="320"/>
        <w:spacing w:after="0"/>
        <w:tabs>
          <w:tab w:leader="none" w:pos="130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Sales in Neurosurgery declined 4.7% on an organic basis driven by shipping holds across several product lines</w:t>
      </w:r>
    </w:p>
    <w:p>
      <w:pPr>
        <w:spacing w:after="0" w:line="12" w:lineRule="exact"/>
        <w:rPr>
          <w:rFonts w:ascii="Arial" w:cs="Arial" w:eastAsia="Arial" w:hAnsi="Arial"/>
          <w:sz w:val="22"/>
          <w:szCs w:val="22"/>
          <w:color w:val="auto"/>
        </w:rPr>
      </w:pPr>
    </w:p>
    <w:p>
      <w:pPr>
        <w:ind w:left="1300" w:hanging="320"/>
        <w:spacing w:after="0" w:line="229" w:lineRule="auto"/>
        <w:tabs>
          <w:tab w:leader="none" w:pos="130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Sales in Instruments grew 15.1</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on an organic basis due to strong demand and favorable prior year comparator</w:t>
      </w:r>
    </w:p>
    <w:p>
      <w:pPr>
        <w:spacing w:after="0" w:line="1" w:lineRule="exact"/>
        <w:rPr>
          <w:rFonts w:ascii="Arial" w:cs="Arial" w:eastAsia="Arial" w:hAnsi="Arial"/>
          <w:sz w:val="22"/>
          <w:szCs w:val="22"/>
          <w:color w:val="auto"/>
        </w:rPr>
      </w:pPr>
    </w:p>
    <w:p>
      <w:pPr>
        <w:ind w:left="1300" w:hanging="320"/>
        <w:spacing w:after="0" w:line="224" w:lineRule="auto"/>
        <w:tabs>
          <w:tab w:leader="none" w:pos="1300" w:val="left"/>
        </w:tabs>
        <w:numPr>
          <w:ilvl w:val="0"/>
          <w:numId w:val="7"/>
        </w:numPr>
        <w:rPr>
          <w:rFonts w:ascii="Arial" w:cs="Arial" w:eastAsia="Arial" w:hAnsi="Arial"/>
          <w:sz w:val="22"/>
          <w:szCs w:val="22"/>
          <w:color w:val="auto"/>
        </w:rPr>
      </w:pPr>
      <w:r>
        <w:rPr>
          <w:rFonts w:ascii="Times New Roman" w:cs="Times New Roman" w:eastAsia="Times New Roman" w:hAnsi="Times New Roman"/>
          <w:sz w:val="20"/>
          <w:szCs w:val="20"/>
          <w:color w:val="auto"/>
        </w:rPr>
        <w:t>ENT reported revenue growth driven by the Acclarent acquisition</w:t>
      </w:r>
    </w:p>
    <w:p>
      <w:pPr>
        <w:spacing w:after="0" w:line="200" w:lineRule="exact"/>
        <w:rPr>
          <w:sz w:val="20"/>
          <w:szCs w:val="20"/>
          <w:color w:val="auto"/>
        </w:rPr>
      </w:pPr>
    </w:p>
    <w:p>
      <w:pPr>
        <w:spacing w:after="0" w:line="25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b w:val="1"/>
          <w:bCs w:val="1"/>
          <w:color w:val="auto"/>
        </w:rPr>
        <w:t>Tissue Technologies (~30% of Revenues)</w:t>
      </w:r>
    </w:p>
    <w:p>
      <w:pPr>
        <w:spacing w:after="0" w:line="247" w:lineRule="exact"/>
        <w:rPr>
          <w:sz w:val="20"/>
          <w:szCs w:val="20"/>
          <w:color w:val="auto"/>
        </w:rPr>
      </w:pPr>
    </w:p>
    <w:p>
      <w:pPr>
        <w:ind w:left="660" w:right="520"/>
        <w:spacing w:after="0" w:line="255" w:lineRule="auto"/>
        <w:rPr>
          <w:sz w:val="20"/>
          <w:szCs w:val="20"/>
          <w:color w:val="auto"/>
        </w:rPr>
      </w:pPr>
      <w:r>
        <w:rPr>
          <w:rFonts w:ascii="Times New Roman" w:cs="Times New Roman" w:eastAsia="Times New Roman" w:hAnsi="Times New Roman"/>
          <w:sz w:val="20"/>
          <w:szCs w:val="20"/>
          <w:color w:val="auto"/>
        </w:rPr>
        <w:t>Total revenues were $102.0 million, representing a reported decline of 9.3% and organic decline of 9.1% compared to the first quarter of 2024. Key drivers for the quarter include:</w:t>
      </w:r>
    </w:p>
    <w:p>
      <w:pPr>
        <w:spacing w:after="0" w:line="200" w:lineRule="exact"/>
        <w:rPr>
          <w:sz w:val="20"/>
          <w:szCs w:val="20"/>
          <w:color w:val="auto"/>
        </w:rPr>
      </w:pP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double-digit growth in DuraSorb®, MicroMatrix® and Cytal®</w:t>
      </w:r>
    </w:p>
    <w:p>
      <w:pPr>
        <w:spacing w:after="0" w:line="8" w:lineRule="exact"/>
        <w:rPr>
          <w:rFonts w:ascii="Times New Roman" w:cs="Times New Roman" w:eastAsia="Times New Roman" w:hAnsi="Times New Roman"/>
          <w:sz w:val="20"/>
          <w:szCs w:val="20"/>
          <w:color w:val="auto"/>
        </w:rPr>
      </w:pPr>
    </w:p>
    <w:p>
      <w:pPr>
        <w:ind w:left="1300" w:hanging="320"/>
        <w:spacing w:after="0" w:line="225" w:lineRule="auto"/>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Low double-digit decline in Integra Skin due to production timing</w:t>
      </w:r>
    </w:p>
    <w:p>
      <w:pPr>
        <w:ind w:left="1300" w:hanging="320"/>
        <w:spacing w:after="0"/>
        <w:tabs>
          <w:tab w:leader="none" w:pos="1300" w:val="left"/>
        </w:tabs>
        <w:numPr>
          <w:ilvl w:val="0"/>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Sales in private label were down 13.3% due to a component supply delay</w:t>
      </w: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Advancing our Priorities</w:t>
      </w:r>
    </w:p>
    <w:p>
      <w:pPr>
        <w:spacing w:after="0" w:line="233" w:lineRule="exact"/>
        <w:rPr>
          <w:sz w:val="20"/>
          <w:szCs w:val="20"/>
          <w:color w:val="auto"/>
        </w:rPr>
      </w:pP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Advancing the Compliance Master Plan and investments in supply reliability</w:t>
      </w:r>
    </w:p>
    <w:p>
      <w:pPr>
        <w:spacing w:after="0" w:line="21" w:lineRule="exact"/>
        <w:rPr>
          <w:rFonts w:ascii="Times New Roman" w:cs="Times New Roman" w:eastAsia="Times New Roman" w:hAnsi="Times New Roman"/>
          <w:sz w:val="20"/>
          <w:szCs w:val="20"/>
          <w:color w:val="auto"/>
        </w:rPr>
      </w:pPr>
    </w:p>
    <w:p>
      <w:pPr>
        <w:ind w:left="640" w:hanging="308"/>
        <w:spacing w:after="0" w:line="225"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Expansion of international portfolio</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Integra Skin production pacing to normal revenue levels for the second quarter</w:t>
      </w:r>
    </w:p>
    <w:p>
      <w:pPr>
        <w:ind w:left="640" w:hanging="308"/>
        <w:spacing w:after="0" w:line="225" w:lineRule="auto"/>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Appointed Valerie Young as CVP, global operations and supply chain</w:t>
      </w:r>
    </w:p>
    <w:p>
      <w:pPr>
        <w:ind w:left="640" w:hanging="308"/>
        <w:spacing w:after="0"/>
        <w:tabs>
          <w:tab w:leader="none" w:pos="640" w:val="left"/>
        </w:tabs>
        <w:numPr>
          <w:ilvl w:val="0"/>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Appointed Rick Maveus as SVP of the newly established Transformation and Program Management Office</w:t>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Balance Sheet, Cash Flow and Capital Allocation</w:t>
      </w:r>
    </w:p>
    <w:p>
      <w:pPr>
        <w:spacing w:after="0" w:line="179" w:lineRule="exact"/>
        <w:rPr>
          <w:sz w:val="20"/>
          <w:szCs w:val="20"/>
          <w:color w:val="auto"/>
        </w:rPr>
      </w:pPr>
    </w:p>
    <w:p>
      <w:pPr>
        <w:ind w:right="200"/>
        <w:spacing w:after="0" w:line="269" w:lineRule="auto"/>
        <w:rPr>
          <w:sz w:val="20"/>
          <w:szCs w:val="20"/>
          <w:color w:val="auto"/>
        </w:rPr>
      </w:pPr>
      <w:r>
        <w:rPr>
          <w:rFonts w:ascii="Times New Roman" w:cs="Times New Roman" w:eastAsia="Times New Roman" w:hAnsi="Times New Roman"/>
          <w:sz w:val="20"/>
          <w:szCs w:val="20"/>
          <w:color w:val="auto"/>
        </w:rPr>
        <w:t>The Company generated cash flow from operations of ($11.3) million in the quarter. Total balance sheet debt and net debt at the end of the quarter were $1.85 billion and $1.58 billion, respectively, and the consolidated total leverage ratio was 4.3x.</w:t>
      </w:r>
    </w:p>
    <w:p>
      <w:pPr>
        <w:spacing w:after="0" w:line="186" w:lineRule="exact"/>
        <w:rPr>
          <w:sz w:val="20"/>
          <w:szCs w:val="20"/>
          <w:color w:val="auto"/>
        </w:rPr>
      </w:pPr>
    </w:p>
    <w:p>
      <w:pPr>
        <w:ind w:right="120"/>
        <w:spacing w:after="0" w:line="269" w:lineRule="auto"/>
        <w:rPr>
          <w:sz w:val="20"/>
          <w:szCs w:val="20"/>
          <w:color w:val="auto"/>
        </w:rPr>
      </w:pPr>
      <w:r>
        <w:rPr>
          <w:rFonts w:ascii="Times New Roman" w:cs="Times New Roman" w:eastAsia="Times New Roman" w:hAnsi="Times New Roman"/>
          <w:sz w:val="20"/>
          <w:szCs w:val="20"/>
          <w:color w:val="auto"/>
        </w:rPr>
        <w:t>As of the end of the quarter, the Company had total liquidity of approximately $1.16 billion, including $273 million in cash plus short-term investments and the remainder available under its revolving credit facility.</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2025 Outlook</w:t>
      </w:r>
    </w:p>
    <w:p>
      <w:pPr>
        <w:spacing w:after="0" w:line="174"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20"/>
          <w:szCs w:val="20"/>
          <w:color w:val="auto"/>
        </w:rPr>
        <w:t xml:space="preserve">For the second quarter 2025, the Company expects reported revenues in the range of </w:t>
      </w:r>
      <w:r>
        <w:rPr>
          <w:rFonts w:ascii="Times New Roman" w:cs="Times New Roman" w:eastAsia="Times New Roman" w:hAnsi="Times New Roman"/>
          <w:sz w:val="21"/>
          <w:szCs w:val="21"/>
          <w:color w:val="auto"/>
        </w:rPr>
        <w:t>$390 million to $400 million, representing</w:t>
      </w:r>
      <w:r>
        <w:rPr>
          <w:rFonts w:ascii="Times New Roman" w:cs="Times New Roman" w:eastAsia="Times New Roman" w:hAnsi="Times New Roman"/>
          <w:sz w:val="20"/>
          <w:szCs w:val="20"/>
          <w:color w:val="auto"/>
        </w:rPr>
        <w:t xml:space="preserve"> a reported decline of (6.8)% to (4.4)% and organic decline of (</w:t>
      </w:r>
      <w:r>
        <w:rPr>
          <w:rFonts w:ascii="Times New Roman" w:cs="Times New Roman" w:eastAsia="Times New Roman" w:hAnsi="Times New Roman"/>
          <w:sz w:val="21"/>
          <w:szCs w:val="21"/>
          <w:color w:val="auto"/>
        </w:rPr>
        <w:t>7.5)% to (5.1)%</w:t>
      </w:r>
      <w:r>
        <w:rPr>
          <w:rFonts w:ascii="Times New Roman" w:cs="Times New Roman" w:eastAsia="Times New Roman" w:hAnsi="Times New Roman"/>
          <w:sz w:val="20"/>
          <w:szCs w:val="20"/>
          <w:color w:val="auto"/>
        </w:rPr>
        <w:t xml:space="preserve">. The Company expects adjusted EPS in a range of </w:t>
      </w:r>
      <w:r>
        <w:rPr>
          <w:rFonts w:ascii="Times New Roman" w:cs="Times New Roman" w:eastAsia="Times New Roman" w:hAnsi="Times New Roman"/>
          <w:sz w:val="21"/>
          <w:szCs w:val="21"/>
          <w:color w:val="auto"/>
        </w:rPr>
        <w:t>$0.40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$0.45 per share. Adjusted EPS guidance includes the Company’s estimate of $(0.04) </w:t>
      </w:r>
      <w:r>
        <w:rPr>
          <w:rFonts w:ascii="Times New Roman" w:cs="Times New Roman" w:eastAsia="Times New Roman" w:hAnsi="Times New Roman"/>
          <w:sz w:val="19"/>
          <w:szCs w:val="19"/>
          <w:color w:val="auto"/>
        </w:rPr>
        <w:t>per share to account for the impact of new</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tariffs</w:t>
      </w:r>
      <w:r>
        <w:rPr>
          <w:rFonts w:ascii="Times New Roman" w:cs="Times New Roman" w:eastAsia="Times New Roman" w:hAnsi="Times New Roman"/>
          <w:sz w:val="21"/>
          <w:szCs w:val="21"/>
          <w:color w:val="auto"/>
        </w:rPr>
        <w:t>.</w:t>
      </w:r>
    </w:p>
    <w:p>
      <w:pPr>
        <w:spacing w:after="0" w:line="189"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20"/>
          <w:szCs w:val="20"/>
          <w:color w:val="auto"/>
        </w:rPr>
        <w:t xml:space="preserve">For the full year 2025, the Company is reaffirming its revenue guidance ranges of </w:t>
      </w:r>
      <w:r>
        <w:rPr>
          <w:rFonts w:ascii="Times New Roman" w:cs="Times New Roman" w:eastAsia="Times New Roman" w:hAnsi="Times New Roman"/>
          <w:sz w:val="21"/>
          <w:szCs w:val="21"/>
          <w:color w:val="auto"/>
        </w:rPr>
        <w:t>$1.650 billion to $1.715 billion</w:t>
      </w:r>
      <w:r>
        <w:rPr>
          <w:rFonts w:ascii="Times New Roman" w:cs="Times New Roman" w:eastAsia="Times New Roman" w:hAnsi="Times New Roman"/>
          <w:sz w:val="20"/>
          <w:szCs w:val="20"/>
          <w:color w:val="auto"/>
        </w:rPr>
        <w:t xml:space="preserve">. The revenue range represents reported growth of </w:t>
      </w:r>
      <w:r>
        <w:rPr>
          <w:rFonts w:ascii="Times New Roman" w:cs="Times New Roman" w:eastAsia="Times New Roman" w:hAnsi="Times New Roman"/>
          <w:sz w:val="21"/>
          <w:szCs w:val="21"/>
          <w:color w:val="auto"/>
        </w:rPr>
        <w:t>2.4% to 6.5%</w:t>
      </w:r>
      <w:r>
        <w:rPr>
          <w:rFonts w:ascii="Times New Roman" w:cs="Times New Roman" w:eastAsia="Times New Roman" w:hAnsi="Times New Roman"/>
          <w:sz w:val="20"/>
          <w:szCs w:val="20"/>
          <w:color w:val="auto"/>
        </w:rPr>
        <w:t xml:space="preserve"> and organic growth of 0.4</w:t>
      </w:r>
      <w:r>
        <w:rPr>
          <w:rFonts w:ascii="Times New Roman" w:cs="Times New Roman" w:eastAsia="Times New Roman" w:hAnsi="Times New Roman"/>
          <w:sz w:val="21"/>
          <w:szCs w:val="21"/>
          <w:color w:val="auto"/>
        </w:rPr>
        <w:t>% to 4.4%</w:t>
      </w:r>
      <w:r>
        <w:rPr>
          <w:rFonts w:ascii="Times New Roman" w:cs="Times New Roman" w:eastAsia="Times New Roman" w:hAnsi="Times New Roman"/>
          <w:sz w:val="20"/>
          <w:szCs w:val="20"/>
          <w:color w:val="auto"/>
        </w:rPr>
        <w:t xml:space="preserve">. The Company is reducing its adjusted EPS guidance to a range of </w:t>
      </w:r>
      <w:r>
        <w:rPr>
          <w:rFonts w:ascii="Times New Roman" w:cs="Times New Roman" w:eastAsia="Times New Roman" w:hAnsi="Times New Roman"/>
          <w:sz w:val="21"/>
          <w:szCs w:val="21"/>
          <w:color w:val="auto"/>
        </w:rPr>
        <w:t>$2.19 to $2.29 per share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Adjusted EPS guidance includes the Company’s estimate of $(0.22)</w:t>
      </w:r>
      <w:r>
        <w:rPr>
          <w:rFonts w:ascii="Times New Roman" w:cs="Times New Roman" w:eastAsia="Times New Roman" w:hAnsi="Times New Roman"/>
          <w:sz w:val="20"/>
          <w:szCs w:val="20"/>
          <w:color w:val="auto"/>
        </w:rPr>
        <w:t xml:space="preserve"> per share for the impact of new tariffs</w:t>
      </w:r>
      <w:r>
        <w:rPr>
          <w:rFonts w:ascii="Times New Roman" w:cs="Times New Roman" w:eastAsia="Times New Roman" w:hAnsi="Times New Roman"/>
          <w:sz w:val="21"/>
          <w:szCs w:val="21"/>
          <w:color w:val="auto"/>
        </w:rPr>
        <w:t>.</w:t>
      </w:r>
    </w:p>
    <w:p>
      <w:pPr>
        <w:sectPr>
          <w:pgSz w:w="11900" w:h="16838" w:orient="portrait"/>
          <w:cols w:equalWidth="0" w:num="1">
            <w:col w:w="11160"/>
          </w:cols>
          <w:pgMar w:left="320" w:top="882" w:right="419" w:bottom="1440" w:gutter="0" w:footer="0" w:header="0"/>
        </w:sectPr>
      </w:pPr>
    </w:p>
    <w:bookmarkStart w:id="8" w:name="page9"/>
    <w:bookmarkEnd w:id="8"/>
    <w:p>
      <w:pPr>
        <w:ind w:right="220"/>
        <w:spacing w:after="0" w:line="269" w:lineRule="auto"/>
        <w:rPr>
          <w:sz w:val="20"/>
          <w:szCs w:val="20"/>
          <w:color w:val="auto"/>
        </w:rPr>
      </w:pPr>
      <w:r>
        <w:rPr>
          <w:rFonts w:ascii="Times New Roman" w:cs="Times New Roman" w:eastAsia="Times New Roman" w:hAnsi="Times New Roman"/>
          <w:sz w:val="20"/>
          <w:szCs w:val="20"/>
          <w:color w:val="auto"/>
        </w:rPr>
        <w:t>The Company’s organic sales growth guidance for the second quarter and the full year excludes acquisitions and divestitures, as well as the effects of foreign currency. The Acclarent acquisition will be included in organic growth beginning in the second quarter of 2025.</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Conference Call and Presentation Available Online</w:t>
      </w:r>
    </w:p>
    <w:p>
      <w:pPr>
        <w:spacing w:after="0" w:line="17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9"/>
          <w:szCs w:val="19"/>
          <w:color w:val="auto"/>
        </w:rPr>
        <w:t xml:space="preserve">Integra has scheduled a conference call for 8:30 a.m. ET on Monday, May 5, 2025, to discuss first quarter 2025 financial results and forward-looking financial guidance. The conference call will be hosted by Integra's senior management team and will be open to all listeners. Additional forward-looking information may be discussed in a question-and-answer session following the call. Integra's management team will reference a presentation during the conference call, which can be found on the Investor section of the website at </w:t>
      </w:r>
      <w:r>
        <w:rPr>
          <w:rFonts w:ascii="Times New Roman" w:cs="Times New Roman" w:eastAsia="Times New Roman" w:hAnsi="Times New Roman"/>
          <w:sz w:val="19"/>
          <w:szCs w:val="19"/>
          <w:u w:val="single" w:color="auto"/>
          <w:color w:val="0000FF"/>
        </w:rPr>
        <w:t>investor.integralife.com.</w:t>
      </w:r>
    </w:p>
    <w:p>
      <w:pPr>
        <w:spacing w:after="0" w:line="197" w:lineRule="exact"/>
        <w:rPr>
          <w:sz w:val="20"/>
          <w:szCs w:val="20"/>
          <w:color w:val="auto"/>
        </w:rPr>
      </w:pPr>
    </w:p>
    <w:p>
      <w:pPr>
        <w:ind w:right="120"/>
        <w:spacing w:after="0" w:line="249" w:lineRule="auto"/>
        <w:rPr>
          <w:sz w:val="20"/>
          <w:szCs w:val="20"/>
          <w:color w:val="auto"/>
        </w:rPr>
      </w:pPr>
      <w:r>
        <w:rPr>
          <w:rFonts w:ascii="Times New Roman" w:cs="Times New Roman" w:eastAsia="Times New Roman" w:hAnsi="Times New Roman"/>
          <w:sz w:val="20"/>
          <w:szCs w:val="20"/>
          <w:color w:val="auto"/>
        </w:rPr>
        <w:t xml:space="preserve">A live webcast will be available on the Investors section of the Company’s website at investor.integralife.com. For those planning to participate on the call, register </w:t>
      </w:r>
      <w:r>
        <w:rPr>
          <w:rFonts w:ascii="Times New Roman" w:cs="Times New Roman" w:eastAsia="Times New Roman" w:hAnsi="Times New Roman"/>
          <w:sz w:val="20"/>
          <w:szCs w:val="20"/>
          <w:color w:val="3051F2"/>
        </w:rPr>
        <w:t>here</w:t>
      </w:r>
      <w:r>
        <w:rPr>
          <w:rFonts w:ascii="Times New Roman" w:cs="Times New Roman" w:eastAsia="Times New Roman" w:hAnsi="Times New Roman"/>
          <w:sz w:val="20"/>
          <w:szCs w:val="20"/>
          <w:color w:val="auto"/>
        </w:rPr>
        <w:t xml:space="preserve"> to receive dial-in details and an individual pin. While not required, it is recommended to join 10 minutes prior to the event’s start. A webcast replay of the conference call will be available on the Investors section of the Company’s website following the call.</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About Integra</w:t>
      </w:r>
    </w:p>
    <w:p>
      <w:pPr>
        <w:spacing w:after="0" w:line="247"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20"/>
          <w:szCs w:val="20"/>
          <w:color w:val="auto"/>
        </w:rPr>
        <w:t xml:space="preserve">At Integra LifeSciences, we are driven by our purpose of restoring patients’ lives. We innovate treatment pathways to advance patient outcomes and set new standards of surgical, neurologic, and regenerative care. We offer a comprehensive portfolio of high quality, leadership brands. For the latest news and information about Integra and its products, please visit </w:t>
      </w:r>
      <w:r>
        <w:rPr>
          <w:rFonts w:ascii="Times New Roman" w:cs="Times New Roman" w:eastAsia="Times New Roman" w:hAnsi="Times New Roman"/>
          <w:sz w:val="20"/>
          <w:szCs w:val="20"/>
          <w:color w:val="0000FF"/>
        </w:rPr>
        <w:t>www.integralife.com.</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Forward-Looking Statements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This news release contains forward-looking statements within the meaning of the Private Securities Litigation Reform Act of 1995 that</w:t>
      </w:r>
    </w:p>
    <w:p>
      <w:pPr>
        <w:spacing w:after="0" w:line="8" w:lineRule="exact"/>
        <w:rPr>
          <w:sz w:val="20"/>
          <w:szCs w:val="20"/>
          <w:color w:val="auto"/>
        </w:rPr>
      </w:pPr>
    </w:p>
    <w:p>
      <w:pPr>
        <w:ind w:right="440"/>
        <w:spacing w:after="0" w:line="229" w:lineRule="auto"/>
        <w:rPr>
          <w:sz w:val="20"/>
          <w:szCs w:val="20"/>
          <w:color w:val="auto"/>
        </w:rPr>
      </w:pPr>
      <w:r>
        <w:rPr>
          <w:rFonts w:ascii="Times New Roman" w:cs="Times New Roman" w:eastAsia="Times New Roman" w:hAnsi="Times New Roman"/>
          <w:sz w:val="19"/>
          <w:szCs w:val="19"/>
          <w:color w:val="auto"/>
        </w:rPr>
        <w:t>involve risks and uncertainties and reflect the Company's judgment as of the date of this release. All statements, other than statements of historical fact, are statements that could be deemed forward-looking statements. Some of these forward-looking statements may contain</w:t>
      </w:r>
    </w:p>
    <w:p>
      <w:pPr>
        <w:spacing w:after="0" w:line="227" w:lineRule="auto"/>
        <w:rPr>
          <w:sz w:val="20"/>
          <w:szCs w:val="20"/>
          <w:color w:val="auto"/>
        </w:rPr>
      </w:pPr>
      <w:r>
        <w:rPr>
          <w:rFonts w:ascii="Times New Roman" w:cs="Times New Roman" w:eastAsia="Times New Roman" w:hAnsi="Times New Roman"/>
          <w:sz w:val="20"/>
          <w:szCs w:val="20"/>
          <w:color w:val="auto"/>
        </w:rPr>
        <w:t>words like “will,” “believe,” “may,” “could,” “would,” “might,” “possible,” “should,” “expect,” “intend,” "forecast," "guidance," “plan,”</w:t>
      </w:r>
    </w:p>
    <w:p>
      <w:pPr>
        <w:ind w:right="480"/>
        <w:spacing w:after="0" w:line="229" w:lineRule="auto"/>
        <w:rPr>
          <w:sz w:val="20"/>
          <w:szCs w:val="20"/>
          <w:color w:val="auto"/>
        </w:rPr>
      </w:pPr>
      <w:r>
        <w:rPr>
          <w:rFonts w:ascii="Times New Roman" w:cs="Times New Roman" w:eastAsia="Times New Roman" w:hAnsi="Times New Roman"/>
          <w:sz w:val="19"/>
          <w:szCs w:val="19"/>
          <w:color w:val="auto"/>
        </w:rPr>
        <w:t>“anticipate,” "target," or “continue,” the negative of these words, other terms of similar meaning or they may use future dates. Forward-looking statements contained in this news release include, but are not limited to, statements concerning: future financial performance,</w:t>
      </w:r>
    </w:p>
    <w:p>
      <w:pPr>
        <w:spacing w:after="0" w:line="227" w:lineRule="auto"/>
        <w:rPr>
          <w:sz w:val="20"/>
          <w:szCs w:val="20"/>
          <w:color w:val="auto"/>
        </w:rPr>
      </w:pPr>
      <w:r>
        <w:rPr>
          <w:rFonts w:ascii="Times New Roman" w:cs="Times New Roman" w:eastAsia="Times New Roman" w:hAnsi="Times New Roman"/>
          <w:sz w:val="20"/>
          <w:szCs w:val="20"/>
          <w:color w:val="auto"/>
        </w:rPr>
        <w:t>including projections for revenues, expected revenue growth (both reported and organic), GAAP and adjusted net income, GAAP and</w:t>
      </w:r>
    </w:p>
    <w:p>
      <w:pPr>
        <w:spacing w:after="0" w:line="229" w:lineRule="auto"/>
        <w:rPr>
          <w:sz w:val="20"/>
          <w:szCs w:val="20"/>
          <w:color w:val="auto"/>
        </w:rPr>
      </w:pPr>
      <w:r>
        <w:rPr>
          <w:rFonts w:ascii="Times New Roman" w:cs="Times New Roman" w:eastAsia="Times New Roman" w:hAnsi="Times New Roman"/>
          <w:sz w:val="19"/>
          <w:szCs w:val="19"/>
          <w:color w:val="auto"/>
        </w:rPr>
        <w:t>adjusted earnings per diluted share, non-GAAP adjustments such as divestiture, acquisition and integration-related charges, intangible asset amortization, structural optimization charges, EU Medical Device Regulation-related charges, charges related to the voluntary global recall of</w:t>
      </w:r>
    </w:p>
    <w:p>
      <w:pPr>
        <w:spacing w:after="0" w:line="227" w:lineRule="auto"/>
        <w:rPr>
          <w:sz w:val="20"/>
          <w:szCs w:val="20"/>
          <w:color w:val="auto"/>
        </w:rPr>
      </w:pPr>
      <w:r>
        <w:rPr>
          <w:rFonts w:ascii="Times New Roman" w:cs="Times New Roman" w:eastAsia="Times New Roman" w:hAnsi="Times New Roman"/>
          <w:sz w:val="20"/>
          <w:szCs w:val="20"/>
          <w:color w:val="auto"/>
        </w:rPr>
        <w:t>all products manufactured at the Company’s facility in Boston, Massachusetts and the transition of Boston-related manufacturing operations</w:t>
      </w:r>
    </w:p>
    <w:p>
      <w:pPr>
        <w:ind w:right="60"/>
        <w:spacing w:after="0" w:line="229" w:lineRule="auto"/>
        <w:rPr>
          <w:sz w:val="20"/>
          <w:szCs w:val="20"/>
          <w:color w:val="auto"/>
        </w:rPr>
      </w:pPr>
      <w:r>
        <w:rPr>
          <w:rFonts w:ascii="Times New Roman" w:cs="Times New Roman" w:eastAsia="Times New Roman" w:hAnsi="Times New Roman"/>
          <w:sz w:val="19"/>
          <w:szCs w:val="19"/>
          <w:color w:val="auto"/>
        </w:rPr>
        <w:t>to the Company’s Braintree, Massachusetts facility, and income tax expense (benefit) related to non-GAAP adjustments and other items; estimates regarding the projected impact of tariffs or other changes in trade policy on the Company's business, financial condition and results</w:t>
      </w:r>
    </w:p>
    <w:p>
      <w:pPr>
        <w:spacing w:after="0" w:line="227" w:lineRule="auto"/>
        <w:rPr>
          <w:sz w:val="20"/>
          <w:szCs w:val="20"/>
          <w:color w:val="auto"/>
        </w:rPr>
      </w:pPr>
      <w:r>
        <w:rPr>
          <w:rFonts w:ascii="Times New Roman" w:cs="Times New Roman" w:eastAsia="Times New Roman" w:hAnsi="Times New Roman"/>
          <w:sz w:val="20"/>
          <w:szCs w:val="20"/>
          <w:color w:val="auto"/>
        </w:rPr>
        <w:t>of operations; and the Company’s expectations and plans with respect to business and operational performance, strategic initiatives,</w:t>
      </w:r>
    </w:p>
    <w:p>
      <w:pPr>
        <w:ind w:right="180"/>
        <w:spacing w:after="0" w:line="229" w:lineRule="auto"/>
        <w:rPr>
          <w:sz w:val="20"/>
          <w:szCs w:val="20"/>
          <w:color w:val="auto"/>
        </w:rPr>
      </w:pPr>
      <w:r>
        <w:rPr>
          <w:rFonts w:ascii="Times New Roman" w:cs="Times New Roman" w:eastAsia="Times New Roman" w:hAnsi="Times New Roman"/>
          <w:sz w:val="19"/>
          <w:szCs w:val="19"/>
          <w:color w:val="auto"/>
        </w:rPr>
        <w:t>capabilities, resources, product development, product availability and regulatory approvals, including expectations regarding the efficacy of the Company’s compliance master plan to improve the Company's quality systems. It is important to note that the Company’s goals and</w:t>
      </w:r>
    </w:p>
    <w:p>
      <w:pPr>
        <w:spacing w:after="0" w:line="2" w:lineRule="exact"/>
        <w:rPr>
          <w:sz w:val="20"/>
          <w:szCs w:val="20"/>
          <w:color w:val="auto"/>
        </w:rPr>
      </w:pPr>
    </w:p>
    <w:p>
      <w:pPr>
        <w:ind w:right="420"/>
        <w:spacing w:after="0" w:line="237" w:lineRule="auto"/>
        <w:rPr>
          <w:sz w:val="20"/>
          <w:szCs w:val="20"/>
          <w:color w:val="auto"/>
        </w:rPr>
      </w:pPr>
      <w:r>
        <w:rPr>
          <w:rFonts w:ascii="Times New Roman" w:cs="Times New Roman" w:eastAsia="Times New Roman" w:hAnsi="Times New Roman"/>
          <w:sz w:val="19"/>
          <w:szCs w:val="19"/>
          <w:color w:val="auto"/>
        </w:rPr>
        <w:t>expectations are not predictions of actual performance. Such forward-looking statements involve risks and uncertainties that could cause actual results to differ materially from predicted or expected results. Such risks and uncertainties include, but are not limited, to the</w:t>
      </w:r>
    </w:p>
    <w:p>
      <w:pPr>
        <w:spacing w:after="0" w:line="1" w:lineRule="exact"/>
        <w:rPr>
          <w:sz w:val="20"/>
          <w:szCs w:val="20"/>
          <w:color w:val="auto"/>
        </w:rPr>
      </w:pPr>
    </w:p>
    <w:p>
      <w:pPr>
        <w:ind w:right="100"/>
        <w:spacing w:after="0" w:line="229" w:lineRule="auto"/>
        <w:rPr>
          <w:sz w:val="20"/>
          <w:szCs w:val="20"/>
          <w:color w:val="auto"/>
        </w:rPr>
      </w:pPr>
      <w:r>
        <w:rPr>
          <w:rFonts w:ascii="Times New Roman" w:cs="Times New Roman" w:eastAsia="Times New Roman" w:hAnsi="Times New Roman"/>
          <w:sz w:val="19"/>
          <w:szCs w:val="19"/>
          <w:color w:val="auto"/>
        </w:rPr>
        <w:t>following: the ongoing and possible future effects of global challenges, including macroeconomic uncertainties, inflation, supply chain disruptions, trade regulation and tariffs, duties or other measures implemented by the U.S. or other countries, geopolitical conflicts, and U.S.</w:t>
      </w:r>
    </w:p>
    <w:p>
      <w:pPr>
        <w:spacing w:after="0" w:line="227" w:lineRule="auto"/>
        <w:rPr>
          <w:sz w:val="20"/>
          <w:szCs w:val="20"/>
          <w:color w:val="auto"/>
        </w:rPr>
      </w:pPr>
      <w:r>
        <w:rPr>
          <w:rFonts w:ascii="Times New Roman" w:cs="Times New Roman" w:eastAsia="Times New Roman" w:hAnsi="Times New Roman"/>
          <w:sz w:val="20"/>
          <w:szCs w:val="20"/>
          <w:color w:val="auto"/>
        </w:rPr>
        <w:t>and global recession concerns, on the Company’s customers and on the Company’s business, financial condition, results of operations and</w:t>
      </w:r>
    </w:p>
    <w:p>
      <w:pPr>
        <w:ind w:right="140"/>
        <w:spacing w:after="0" w:line="229" w:lineRule="auto"/>
        <w:rPr>
          <w:sz w:val="20"/>
          <w:szCs w:val="20"/>
          <w:color w:val="auto"/>
        </w:rPr>
      </w:pPr>
      <w:r>
        <w:rPr>
          <w:rFonts w:ascii="Times New Roman" w:cs="Times New Roman" w:eastAsia="Times New Roman" w:hAnsi="Times New Roman"/>
          <w:sz w:val="19"/>
          <w:szCs w:val="19"/>
          <w:color w:val="auto"/>
        </w:rPr>
        <w:t>cash flows; the Company's ability to execute its operating plan effectively; the Company’s ability to successfully integrate Acclarent and other acquired businesses; the Company’s ability to achieve sales growth in a timely fashion; the Company's ability to manufacture and ship</w:t>
      </w:r>
    </w:p>
    <w:p>
      <w:pPr>
        <w:spacing w:after="0" w:line="227" w:lineRule="auto"/>
        <w:rPr>
          <w:sz w:val="20"/>
          <w:szCs w:val="20"/>
          <w:color w:val="auto"/>
        </w:rPr>
      </w:pPr>
      <w:r>
        <w:rPr>
          <w:rFonts w:ascii="Times New Roman" w:cs="Times New Roman" w:eastAsia="Times New Roman" w:hAnsi="Times New Roman"/>
          <w:sz w:val="20"/>
          <w:szCs w:val="20"/>
          <w:color w:val="auto"/>
        </w:rPr>
        <w:t>sufficient quantities of its products to meet its customers' demands; the ability of third-party suppliers to supply us with raw materials and</w:t>
      </w:r>
    </w:p>
    <w:p>
      <w:pPr>
        <w:ind w:right="120"/>
        <w:spacing w:after="0" w:line="228" w:lineRule="auto"/>
        <w:rPr>
          <w:sz w:val="20"/>
          <w:szCs w:val="20"/>
          <w:color w:val="auto"/>
        </w:rPr>
      </w:pPr>
      <w:r>
        <w:rPr>
          <w:rFonts w:ascii="Times New Roman" w:cs="Times New Roman" w:eastAsia="Times New Roman" w:hAnsi="Times New Roman"/>
          <w:sz w:val="20"/>
          <w:szCs w:val="20"/>
          <w:color w:val="auto"/>
        </w:rPr>
        <w:t>finished products; ; the Company's ability to manage its direct sales channels effectively; the sales performance of third-party distributors on whom the Company relies to generate revenue for certain products</w:t>
      </w:r>
    </w:p>
    <w:p>
      <w:pPr>
        <w:sectPr>
          <w:pgSz w:w="11900" w:h="16838" w:orient="portrait"/>
          <w:cols w:equalWidth="0" w:num="1">
            <w:col w:w="11240"/>
          </w:cols>
          <w:pgMar w:left="320" w:top="88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0"/>
          <w:szCs w:val="20"/>
          <w:color w:val="auto"/>
        </w:rPr>
        <w:t>and geographic regions; the Company's ability to access and maintain relationships with customers of acquired entities and businesses;</w:t>
      </w:r>
    </w:p>
    <w:p>
      <w:pPr>
        <w:spacing w:after="0" w:line="8" w:lineRule="exact"/>
        <w:rPr>
          <w:sz w:val="20"/>
          <w:szCs w:val="20"/>
          <w:color w:val="auto"/>
        </w:rPr>
      </w:pPr>
    </w:p>
    <w:p>
      <w:pPr>
        <w:ind w:right="280"/>
        <w:spacing w:after="0" w:line="229" w:lineRule="auto"/>
        <w:rPr>
          <w:sz w:val="20"/>
          <w:szCs w:val="20"/>
          <w:color w:val="auto"/>
        </w:rPr>
      </w:pPr>
      <w:r>
        <w:rPr>
          <w:rFonts w:ascii="Times New Roman" w:cs="Times New Roman" w:eastAsia="Times New Roman" w:hAnsi="Times New Roman"/>
          <w:sz w:val="19"/>
          <w:szCs w:val="19"/>
          <w:color w:val="auto"/>
        </w:rPr>
        <w:t>physicians' willingness to adopt and third-party payors' willingness to provide or maintain reimbursement for the Company's recently launched, planned and existing products; initiatives launched by the Company's competitors; downward pricing pressures from customers;</w:t>
      </w:r>
    </w:p>
    <w:p>
      <w:pPr>
        <w:spacing w:after="0" w:line="227" w:lineRule="auto"/>
        <w:rPr>
          <w:sz w:val="20"/>
          <w:szCs w:val="20"/>
          <w:color w:val="auto"/>
        </w:rPr>
      </w:pPr>
      <w:r>
        <w:rPr>
          <w:rFonts w:ascii="Times New Roman" w:cs="Times New Roman" w:eastAsia="Times New Roman" w:hAnsi="Times New Roman"/>
          <w:sz w:val="20"/>
          <w:szCs w:val="20"/>
          <w:color w:val="auto"/>
        </w:rPr>
        <w:t>the Company's ability to secure regulatory approval for products in development; the Company's ability to remediate quality systems</w:t>
      </w:r>
    </w:p>
    <w:p>
      <w:pPr>
        <w:ind w:right="260"/>
        <w:spacing w:after="0" w:line="229" w:lineRule="auto"/>
        <w:rPr>
          <w:sz w:val="20"/>
          <w:szCs w:val="20"/>
          <w:color w:val="auto"/>
        </w:rPr>
      </w:pPr>
      <w:r>
        <w:rPr>
          <w:rFonts w:ascii="Times New Roman" w:cs="Times New Roman" w:eastAsia="Times New Roman" w:hAnsi="Times New Roman"/>
          <w:sz w:val="19"/>
          <w:szCs w:val="19"/>
          <w:color w:val="auto"/>
        </w:rPr>
        <w:t>violations; difficulties in implementing the Company’s compliance master plan and realizing the benefits contemplated thereby within the anticipated timeframe, or at all; difficulties or delays in obtaining and maintaining required regulatory approvals related to the transition of</w:t>
      </w:r>
    </w:p>
    <w:p>
      <w:pPr>
        <w:spacing w:after="0" w:line="2" w:lineRule="exact"/>
        <w:rPr>
          <w:sz w:val="20"/>
          <w:szCs w:val="20"/>
          <w:color w:val="auto"/>
        </w:rPr>
      </w:pPr>
    </w:p>
    <w:p>
      <w:pPr>
        <w:ind w:right="240"/>
        <w:spacing w:after="0" w:line="237" w:lineRule="auto"/>
        <w:rPr>
          <w:sz w:val="20"/>
          <w:szCs w:val="20"/>
          <w:color w:val="auto"/>
        </w:rPr>
      </w:pPr>
      <w:r>
        <w:rPr>
          <w:rFonts w:ascii="Times New Roman" w:cs="Times New Roman" w:eastAsia="Times New Roman" w:hAnsi="Times New Roman"/>
          <w:sz w:val="19"/>
          <w:szCs w:val="19"/>
          <w:color w:val="auto"/>
        </w:rPr>
        <w:t>the manufacturing to the Company’s Braintree manufacturing facility; the possibility that costs or difficulties related to building and the operationalization of the Braintree facility or the transition of manufacturing activities from the Company’s Boston facility to the Braintree</w:t>
      </w:r>
    </w:p>
    <w:p>
      <w:pPr>
        <w:spacing w:after="0" w:line="1" w:lineRule="exact"/>
        <w:rPr>
          <w:sz w:val="20"/>
          <w:szCs w:val="20"/>
          <w:color w:val="auto"/>
        </w:rPr>
      </w:pPr>
    </w:p>
    <w:p>
      <w:pPr>
        <w:ind w:right="120"/>
        <w:spacing w:after="0" w:line="229" w:lineRule="auto"/>
        <w:rPr>
          <w:sz w:val="20"/>
          <w:szCs w:val="20"/>
          <w:color w:val="auto"/>
        </w:rPr>
      </w:pPr>
      <w:r>
        <w:rPr>
          <w:rFonts w:ascii="Times New Roman" w:cs="Times New Roman" w:eastAsia="Times New Roman" w:hAnsi="Times New Roman"/>
          <w:sz w:val="19"/>
          <w:szCs w:val="19"/>
          <w:color w:val="auto"/>
        </w:rPr>
        <w:t>facility will be greater than expected; disruptions at the U.S. Food and Drug Administration (the “FDA”), including due to a reduction in the FDA’s workforce and/or inadequate funding for the FDA; fluctuations in hospitals' spending for capital equipment; uncertainties inherent in</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development of new products and the enhancement of existing products, including FDA approval and/or clearance and other regulatory</w:t>
      </w:r>
    </w:p>
    <w:p>
      <w:pPr>
        <w:spacing w:after="0" w:line="6" w:lineRule="exact"/>
        <w:rPr>
          <w:sz w:val="20"/>
          <w:szCs w:val="20"/>
          <w:color w:val="auto"/>
        </w:rPr>
      </w:pPr>
    </w:p>
    <w:p>
      <w:pPr>
        <w:spacing w:after="0" w:line="233" w:lineRule="auto"/>
        <w:rPr>
          <w:sz w:val="20"/>
          <w:szCs w:val="20"/>
          <w:color w:val="auto"/>
        </w:rPr>
      </w:pPr>
      <w:r>
        <w:rPr>
          <w:rFonts w:ascii="Times New Roman" w:cs="Times New Roman" w:eastAsia="Times New Roman" w:hAnsi="Times New Roman"/>
          <w:sz w:val="19"/>
          <w:szCs w:val="19"/>
          <w:color w:val="auto"/>
        </w:rPr>
        <w:t>risks, technical risks, cost overruns and delays; the Company's ability to comply with regulations regarding products of human origin and products containing materials derived from animal source; difficulties in controlling expenses, including costs to procure and manufacture the</w:t>
      </w:r>
    </w:p>
    <w:p>
      <w:pPr>
        <w:spacing w:after="0" w:line="238" w:lineRule="auto"/>
        <w:rPr>
          <w:sz w:val="20"/>
          <w:szCs w:val="20"/>
          <w:color w:val="auto"/>
        </w:rPr>
      </w:pPr>
      <w:r>
        <w:rPr>
          <w:rFonts w:ascii="Times New Roman" w:cs="Times New Roman" w:eastAsia="Times New Roman" w:hAnsi="Times New Roman"/>
          <w:sz w:val="19"/>
          <w:szCs w:val="19"/>
          <w:color w:val="auto"/>
        </w:rPr>
        <w:t>Company’s products; the ability of the Company to successfully manage leadership and organizational changes and the impact of changes in</w:t>
      </w:r>
    </w:p>
    <w:p>
      <w:pPr>
        <w:ind w:right="100"/>
        <w:spacing w:after="0" w:line="229" w:lineRule="auto"/>
        <w:rPr>
          <w:sz w:val="20"/>
          <w:szCs w:val="20"/>
          <w:color w:val="auto"/>
        </w:rPr>
      </w:pPr>
      <w:r>
        <w:rPr>
          <w:rFonts w:ascii="Times New Roman" w:cs="Times New Roman" w:eastAsia="Times New Roman" w:hAnsi="Times New Roman"/>
          <w:sz w:val="19"/>
          <w:szCs w:val="19"/>
          <w:color w:val="auto"/>
        </w:rPr>
        <w:t>management or staff levels; the impact of goodwill and intangible asset impairment charges if future operating results of acquired businesses are significantly less than the results anticipated at the time of the acquisitions, the Company's ability to leverage its existing selling</w:t>
      </w:r>
    </w:p>
    <w:p>
      <w:pPr>
        <w:spacing w:after="0" w:line="227" w:lineRule="auto"/>
        <w:rPr>
          <w:sz w:val="20"/>
          <w:szCs w:val="20"/>
          <w:color w:val="auto"/>
        </w:rPr>
      </w:pPr>
      <w:r>
        <w:rPr>
          <w:rFonts w:ascii="Times New Roman" w:cs="Times New Roman" w:eastAsia="Times New Roman" w:hAnsi="Times New Roman"/>
          <w:sz w:val="20"/>
          <w:szCs w:val="20"/>
          <w:color w:val="auto"/>
        </w:rPr>
        <w:t>organizations and administrative infrastructure; the Company's ability to increase product sales and gross margins, and control non-product</w:t>
      </w:r>
    </w:p>
    <w:p>
      <w:pPr>
        <w:ind w:right="80"/>
        <w:spacing w:after="0" w:line="229" w:lineRule="auto"/>
        <w:rPr>
          <w:sz w:val="20"/>
          <w:szCs w:val="20"/>
          <w:color w:val="auto"/>
        </w:rPr>
      </w:pPr>
      <w:r>
        <w:rPr>
          <w:rFonts w:ascii="Times New Roman" w:cs="Times New Roman" w:eastAsia="Times New Roman" w:hAnsi="Times New Roman"/>
          <w:sz w:val="19"/>
          <w:szCs w:val="19"/>
          <w:color w:val="auto"/>
        </w:rPr>
        <w:t>costs; the Company’s ability to achieve anticipated growth rates, margins and scale and execute its strategy generally; the amount and timing of divestiture, acquisition and integration-related costs; the geographic distribution of where the Company generates its taxable income; new</w:t>
      </w:r>
    </w:p>
    <w:p>
      <w:pPr>
        <w:spacing w:after="0"/>
        <w:rPr>
          <w:sz w:val="20"/>
          <w:szCs w:val="20"/>
          <w:color w:val="auto"/>
        </w:rPr>
      </w:pPr>
      <w:r>
        <w:rPr>
          <w:rFonts w:ascii="Times New Roman" w:cs="Times New Roman" w:eastAsia="Times New Roman" w:hAnsi="Times New Roman"/>
          <w:sz w:val="19"/>
          <w:szCs w:val="19"/>
          <w:color w:val="auto"/>
        </w:rPr>
        <w:t>U.S. and foreign government laws and regulations, and changes in existing laws, regulations and enforcement guidance, which affect areas of</w:t>
      </w:r>
    </w:p>
    <w:p>
      <w:pPr>
        <w:ind w:right="100"/>
        <w:spacing w:after="0" w:line="229" w:lineRule="auto"/>
        <w:rPr>
          <w:sz w:val="20"/>
          <w:szCs w:val="20"/>
          <w:color w:val="auto"/>
        </w:rPr>
      </w:pPr>
      <w:r>
        <w:rPr>
          <w:rFonts w:ascii="Times New Roman" w:cs="Times New Roman" w:eastAsia="Times New Roman" w:hAnsi="Times New Roman"/>
          <w:sz w:val="19"/>
          <w:szCs w:val="19"/>
          <w:color w:val="auto"/>
        </w:rPr>
        <w:t>our operations including, but not limited to, those affecting the health care industry, including the EU Medical Device Regulation; the scope, duration and effect of U.S. and international governmental, regulatory, fiscal, monetary and public health responses to any future public</w:t>
      </w:r>
    </w:p>
    <w:p>
      <w:pPr>
        <w:spacing w:after="0" w:line="2" w:lineRule="exact"/>
        <w:rPr>
          <w:sz w:val="20"/>
          <w:szCs w:val="20"/>
          <w:color w:val="auto"/>
        </w:rPr>
      </w:pPr>
    </w:p>
    <w:p>
      <w:pPr>
        <w:ind w:right="60"/>
        <w:spacing w:after="0" w:line="237" w:lineRule="auto"/>
        <w:rPr>
          <w:sz w:val="20"/>
          <w:szCs w:val="20"/>
          <w:color w:val="auto"/>
        </w:rPr>
      </w:pPr>
      <w:r>
        <w:rPr>
          <w:rFonts w:ascii="Times New Roman" w:cs="Times New Roman" w:eastAsia="Times New Roman" w:hAnsi="Times New Roman"/>
          <w:sz w:val="19"/>
          <w:szCs w:val="19"/>
          <w:color w:val="auto"/>
        </w:rPr>
        <w:t>health crises; fluctuations in foreign currency exchange rates; the amount of our bank borrowings outstanding and other factors influencing liquidity; our ability to comply with the covenants under the agreements governing our indebtedness and the potential negative consequences</w:t>
      </w:r>
    </w:p>
    <w:p>
      <w:pPr>
        <w:spacing w:after="0" w:line="1" w:lineRule="exact"/>
        <w:rPr>
          <w:sz w:val="20"/>
          <w:szCs w:val="20"/>
          <w:color w:val="auto"/>
        </w:rPr>
      </w:pPr>
    </w:p>
    <w:p>
      <w:pPr>
        <w:ind w:right="200"/>
        <w:spacing w:after="0" w:line="229" w:lineRule="auto"/>
        <w:rPr>
          <w:sz w:val="20"/>
          <w:szCs w:val="20"/>
          <w:color w:val="auto"/>
        </w:rPr>
      </w:pPr>
      <w:r>
        <w:rPr>
          <w:rFonts w:ascii="Times New Roman" w:cs="Times New Roman" w:eastAsia="Times New Roman" w:hAnsi="Times New Roman"/>
          <w:sz w:val="19"/>
          <w:szCs w:val="19"/>
          <w:color w:val="auto"/>
        </w:rPr>
        <w:t>caused by any non-compliance; potential negative impacts resulting from environmental, social and governance matters; and the economic, competitive, governmental, technological, and other risk factors and uncertainties identified under the heading “Risk Factors” included in</w:t>
      </w:r>
    </w:p>
    <w:p>
      <w:pPr>
        <w:spacing w:after="0" w:line="2" w:lineRule="exact"/>
        <w:rPr>
          <w:sz w:val="20"/>
          <w:szCs w:val="20"/>
          <w:color w:val="auto"/>
        </w:rPr>
      </w:pPr>
    </w:p>
    <w:p>
      <w:pPr>
        <w:ind w:right="320"/>
        <w:spacing w:after="0" w:line="236" w:lineRule="auto"/>
        <w:rPr>
          <w:sz w:val="20"/>
          <w:szCs w:val="20"/>
          <w:color w:val="auto"/>
        </w:rPr>
      </w:pPr>
      <w:r>
        <w:rPr>
          <w:rFonts w:ascii="Times New Roman" w:cs="Times New Roman" w:eastAsia="Times New Roman" w:hAnsi="Times New Roman"/>
          <w:sz w:val="20"/>
          <w:szCs w:val="20"/>
          <w:color w:val="auto"/>
        </w:rPr>
        <w:t>Item 1A of Integra's Annual Report on Form 10-K for the year ended December 31, 2024 and information contained in subsequent filings with the Securities and Exchange Commission.</w:t>
      </w:r>
    </w:p>
    <w:p>
      <w:pPr>
        <w:spacing w:after="0" w:line="201" w:lineRule="exact"/>
        <w:rPr>
          <w:sz w:val="20"/>
          <w:szCs w:val="20"/>
          <w:color w:val="auto"/>
        </w:rPr>
      </w:pPr>
    </w:p>
    <w:p>
      <w:pPr>
        <w:ind w:right="400"/>
        <w:spacing w:after="0" w:line="310" w:lineRule="auto"/>
        <w:rPr>
          <w:sz w:val="20"/>
          <w:szCs w:val="20"/>
          <w:color w:val="auto"/>
        </w:rPr>
      </w:pPr>
      <w:r>
        <w:rPr>
          <w:rFonts w:ascii="Times New Roman" w:cs="Times New Roman" w:eastAsia="Times New Roman" w:hAnsi="Times New Roman"/>
          <w:sz w:val="19"/>
          <w:szCs w:val="19"/>
          <w:color w:val="auto"/>
        </w:rPr>
        <w:t>These forward-looking statements are made only as of the date hereof, and the Company undertakes no obligation to update or revise the forward-looking statements, whether as a result of new information, future events, or otherwise, except as otherwise required by law.</w:t>
      </w:r>
    </w:p>
    <w:p>
      <w:pPr>
        <w:spacing w:after="0" w:line="39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Discussion of Adjusted Financial Measures</w:t>
      </w:r>
    </w:p>
    <w:p>
      <w:pPr>
        <w:spacing w:after="0" w:line="260"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20"/>
          <w:szCs w:val="20"/>
          <w:color w:val="auto"/>
        </w:rPr>
        <w:t>In addition to our GAAP results, we provide certain non-GAAP measures, including organic revenues, adjusted earnings before interest, taxes, depreciation and amortization (“EBITDA”), adjusted net income, adjusted gross margin, adjusted earnings per diluted share, and net debt. Organic revenues consist of total revenues excluding the effects of currency exchange rates, revenues from current-period acquisitions and product divestitures. Adjusted EBITDA consists of GAAP net income excluding: (i) depreciation and amortization; (ii) other income (expense); (iii) interest income and expense; (iv) income tax expense (benefit); and (v) those operating expenses also excluded from adjusted net income. The measure of adjusted net income consists of GAAP net income, excluding: (i) structural optimization charges; (ii) divestiture, acquisition and integration-related charges; (iii) EU Medical Device Regulation-related charges; (iv) charges related to the manufacturing stoppage and voluntary global recall of all products manufactured at the Company’s Boston, Massachusetts facility and distributed between March 1, 2018 and May 22, 2023, as previously disclosed in the Company’s Current Report on Form 8-K filed with the Securities and Exchange Commission on May 23, 2023 (the “recall”) and the transition of Boston-related manufacturing operations to the Company’s Braintree, Massachusetts facility; (v) intangible asset amortization expense; and (vi) income tax impact from adjustments. The measure of adjusted gross margin is calculated by dividing adjusted gross</w:t>
      </w:r>
    </w:p>
    <w:p>
      <w:pPr>
        <w:sectPr>
          <w:pgSz w:w="11900" w:h="16838" w:orient="portrait"/>
          <w:cols w:equalWidth="0" w:num="1">
            <w:col w:w="11240"/>
          </w:cols>
          <w:pgMar w:left="320" w:top="873" w:right="339" w:bottom="1440" w:gutter="0" w:footer="0" w:header="0"/>
        </w:sectPr>
      </w:pPr>
    </w:p>
    <w:bookmarkStart w:id="10" w:name="page11"/>
    <w:bookmarkEnd w:id="10"/>
    <w:p>
      <w:pPr>
        <w:ind w:right="60"/>
        <w:spacing w:after="0" w:line="256" w:lineRule="auto"/>
        <w:rPr>
          <w:sz w:val="20"/>
          <w:szCs w:val="20"/>
          <w:color w:val="auto"/>
        </w:rPr>
      </w:pPr>
      <w:r>
        <w:rPr>
          <w:rFonts w:ascii="Times New Roman" w:cs="Times New Roman" w:eastAsia="Times New Roman" w:hAnsi="Times New Roman"/>
          <w:sz w:val="20"/>
          <w:szCs w:val="20"/>
          <w:color w:val="auto"/>
        </w:rPr>
        <w:t>profit by total revenues. Adjusted gross profit consists of GAAP gross profit adjusted for: (i) structural optimization charges; (ii) divestiture, acquisition and integration-related charges; (iii) charges related to the recall and the transition of Boston-related manufacturing operations to the Company’s Braintree, Massachusetts facility; (iv) EU Medical Device Regulation-related charges; and (v) intangible asset amortization expense. The adjusted earnings per diluted share measure is calculated by dividing adjusted net income attributable to diluted shares by diluted weighted average shares outstanding. The measure of net debt consists of GAAP total debt (excluding deferred financing costs) less short-term investments, cash and cash equivalents.</w:t>
      </w:r>
    </w:p>
    <w:p>
      <w:pPr>
        <w:spacing w:after="0" w:line="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20"/>
          <w:szCs w:val="20"/>
          <w:color w:val="auto"/>
        </w:rPr>
        <w:t>Reconciliations of GAAP revenues to organic revenues, GAAP net income to adjusted EBITDA, and adjusted net income, GAAP gross margin to adjusted gross margin, GAAP total debt to net debt, and GAAP earnings per diluted share to adjusted earnings per diluted share all for the quarters ended March 31, 2025 and 2024.</w:t>
      </w:r>
    </w:p>
    <w:p>
      <w:pPr>
        <w:spacing w:after="0" w:line="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 Company believes that the presentation of organic revenues and the other non-GAAP measures provide important supplemental information to management and investors regarding financial and business trends relating to the Company's financial condition and results of operations. For further information regarding why Integra believes that these non-GAAP financial measures provide useful information to investors, the specific manner in which management uses these measures, and some of the limitations associated with the use of these measures, please refer to the Company's Current Report on Form 8-K regarding this earnings press release filed today with the Securities and Exchange Commission. This Current Report on Form 8-K is available on the SEC's website at www.sec.gov or on our website at www.integralife.com.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Investor Relations Contact</w:t>
      </w:r>
      <w:r>
        <w:rPr>
          <w:rFonts w:ascii="Times New Roman" w:cs="Times New Roman" w:eastAsia="Times New Roman" w:hAnsi="Times New Roman"/>
          <w:sz w:val="17"/>
          <w:szCs w:val="17"/>
          <w:b w:val="1"/>
          <w:bCs w:val="1"/>
          <w:color w:val="auto"/>
        </w:rPr>
        <w: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Chris Ward</w:t>
      </w:r>
    </w:p>
    <w:p>
      <w:pPr>
        <w:spacing w:after="0" w:line="22" w:lineRule="exact"/>
        <w:rPr>
          <w:sz w:val="20"/>
          <w:szCs w:val="20"/>
          <w:color w:val="auto"/>
        </w:rPr>
      </w:pPr>
    </w:p>
    <w:p>
      <w:pPr>
        <w:ind w:right="8960" w:firstLine="8"/>
        <w:spacing w:after="0" w:line="286" w:lineRule="auto"/>
        <w:tabs>
          <w:tab w:leader="none" w:pos="478" w:val="left"/>
        </w:tabs>
        <w:numPr>
          <w:ilvl w:val="0"/>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772-7736 chris.ward@integralife.com</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Media Contact:</w:t>
      </w: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Laurene Isip</w:t>
      </w:r>
    </w:p>
    <w:p>
      <w:pPr>
        <w:spacing w:after="0" w:line="22" w:lineRule="exact"/>
        <w:rPr>
          <w:sz w:val="20"/>
          <w:szCs w:val="20"/>
          <w:color w:val="auto"/>
        </w:rPr>
      </w:pPr>
    </w:p>
    <w:p>
      <w:pPr>
        <w:ind w:right="8860" w:firstLine="8"/>
        <w:spacing w:after="0" w:line="286" w:lineRule="auto"/>
        <w:tabs>
          <w:tab w:leader="none" w:pos="478" w:val="left"/>
        </w:tabs>
        <w:numPr>
          <w:ilvl w:val="0"/>
          <w:numId w:val="11"/>
        </w:numPr>
        <w:rPr>
          <w:rFonts w:ascii="Times New Roman" w:cs="Times New Roman" w:eastAsia="Times New Roman" w:hAnsi="Times New Roman"/>
          <w:sz w:val="19"/>
          <w:szCs w:val="19"/>
          <w:color w:val="auto"/>
        </w:rPr>
      </w:pPr>
      <w:r>
        <w:rPr>
          <w:rFonts w:ascii="Times New Roman" w:cs="Times New Roman" w:eastAsia="Times New Roman" w:hAnsi="Times New Roman"/>
          <w:sz w:val="19"/>
          <w:szCs w:val="19"/>
          <w:color w:val="auto"/>
        </w:rPr>
        <w:t>208-8121 laurene.isip@integralife.com</w:t>
      </w:r>
    </w:p>
    <w:p>
      <w:pPr>
        <w:sectPr>
          <w:pgSz w:w="11900" w:h="16838" w:orient="portrait"/>
          <w:cols w:equalWidth="0" w:num="1">
            <w:col w:w="11180"/>
          </w:cols>
          <w:pgMar w:left="320" w:top="886" w:right="399" w:bottom="1440" w:gutter="0" w:footer="0" w:header="0"/>
        </w:sectPr>
      </w:pPr>
    </w:p>
    <w:bookmarkStart w:id="11" w:name="page12"/>
    <w:bookmarkEnd w:id="11"/>
    <w:p>
      <w:pPr>
        <w:jc w:val="center"/>
        <w:ind w:right="-1120"/>
        <w:spacing w:after="0"/>
        <w:rPr>
          <w:sz w:val="20"/>
          <w:szCs w:val="20"/>
          <w:color w:val="auto"/>
        </w:rPr>
      </w:pPr>
      <w:r>
        <w:rPr>
          <w:rFonts w:ascii="Times New Roman" w:cs="Times New Roman" w:eastAsia="Times New Roman" w:hAnsi="Times New Roman"/>
          <w:sz w:val="18"/>
          <w:szCs w:val="18"/>
          <w:color w:val="auto"/>
        </w:rPr>
        <w:t>INTEGRA LIFESCIENCES HOLDINGS CORPORATION</w:t>
      </w:r>
    </w:p>
    <w:p>
      <w:pPr>
        <w:spacing w:after="0" w:line="185" w:lineRule="exact"/>
        <w:rPr>
          <w:sz w:val="20"/>
          <w:szCs w:val="20"/>
          <w:color w:val="auto"/>
        </w:rPr>
      </w:pPr>
    </w:p>
    <w:p>
      <w:pPr>
        <w:jc w:val="center"/>
        <w:ind w:right="-1120"/>
        <w:spacing w:after="0"/>
        <w:rPr>
          <w:sz w:val="20"/>
          <w:szCs w:val="20"/>
          <w:color w:val="auto"/>
        </w:rPr>
      </w:pPr>
      <w:r>
        <w:rPr>
          <w:rFonts w:ascii="Times New Roman" w:cs="Times New Roman" w:eastAsia="Times New Roman" w:hAnsi="Times New Roman"/>
          <w:sz w:val="17"/>
          <w:szCs w:val="17"/>
          <w:color w:val="auto"/>
        </w:rPr>
        <w:t>CONDENSED CONSOLIDATED STATEMENTS OF OPERATIONS</w:t>
      </w:r>
    </w:p>
    <w:p>
      <w:pPr>
        <w:sectPr>
          <w:pgSz w:w="11900" w:h="16838" w:orient="portrait"/>
          <w:cols w:equalWidth="0" w:num="1">
            <w:col w:w="10139"/>
          </w:cols>
          <w:pgMar w:left="320" w:top="891" w:right="1440" w:bottom="1440" w:gutter="0" w:footer="0" w:header="0"/>
        </w:sectPr>
      </w:pPr>
    </w:p>
    <w:p>
      <w:pPr>
        <w:spacing w:after="0" w:line="21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(UNAUDITED)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revenues, net</w:t>
      </w:r>
    </w:p>
    <w:p>
      <w:pPr>
        <w:spacing w:after="0" w:line="1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Costs and expenses: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Cost of goods sold</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Research and development</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Selling, general and administrative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Intangible asset amortization</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Total costs and expenses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Operating income (loss)</w:t>
      </w:r>
    </w:p>
    <w:p>
      <w:pPr>
        <w:spacing w:after="0" w:line="279"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income</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Interest expense</w:t>
      </w:r>
    </w:p>
    <w:p>
      <w:pPr>
        <w:spacing w:after="0" w:line="2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Other expense, net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Loss before income taxes</w:t>
      </w:r>
    </w:p>
    <w:p>
      <w:pPr>
        <w:spacing w:after="0" w:line="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Income tax (benefit)</w:t>
      </w:r>
    </w:p>
    <w:p>
      <w:pPr>
        <w:spacing w:after="0" w:line="31"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Net Loss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00" w:type="dxa"/>
            <w:vAlign w:val="bottom"/>
          </w:tcPr>
          <w:p>
            <w:pPr>
              <w:spacing w:after="0"/>
              <w:rPr>
                <w:sz w:val="20"/>
                <w:szCs w:val="20"/>
                <w:color w:val="auto"/>
              </w:rPr>
            </w:pPr>
          </w:p>
        </w:tc>
        <w:tc>
          <w:tcPr>
            <w:tcW w:w="3100" w:type="dxa"/>
            <w:vAlign w:val="bottom"/>
            <w:gridSpan w:val="3"/>
          </w:tcPr>
          <w:p>
            <w:pPr>
              <w:jc w:val="right"/>
              <w:ind w:right="47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57"/>
        </w:trPr>
        <w:tc>
          <w:tcPr>
            <w:tcW w:w="30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2025</w:t>
            </w:r>
          </w:p>
        </w:tc>
        <w:tc>
          <w:tcPr>
            <w:tcW w:w="68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2024</w:t>
            </w:r>
          </w:p>
        </w:tc>
      </w:tr>
      <w:tr>
        <w:trPr>
          <w:trHeight w:val="228"/>
        </w:trPr>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382,653</w:t>
            </w:r>
          </w:p>
        </w:tc>
        <w:tc>
          <w:tcPr>
            <w:tcW w:w="6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368,872</w:t>
            </w:r>
          </w:p>
        </w:tc>
      </w:tr>
      <w:tr>
        <w:trPr>
          <w:trHeight w:val="557"/>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188,221</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162,038</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24,728</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26,965</w:t>
            </w:r>
          </w:p>
        </w:tc>
      </w:tr>
      <w:tr>
        <w:trPr>
          <w:trHeight w:val="230"/>
        </w:trPr>
        <w:tc>
          <w:tcPr>
            <w:tcW w:w="300" w:type="dxa"/>
            <w:vAlign w:val="bottom"/>
          </w:tcPr>
          <w:p>
            <w:pPr>
              <w:spacing w:after="0"/>
              <w:rPr>
                <w:sz w:val="19"/>
                <w:szCs w:val="19"/>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181,497</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165,798</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3,704</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10,107</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color w:val="auto"/>
              </w:rPr>
              <w:t>398,150</w:t>
            </w:r>
          </w:p>
        </w:tc>
        <w:tc>
          <w:tcPr>
            <w:tcW w:w="6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364,908</w:t>
            </w:r>
          </w:p>
        </w:tc>
      </w:tr>
      <w:tr>
        <w:trPr>
          <w:trHeight w:val="466"/>
        </w:trPr>
        <w:tc>
          <w:tcPr>
            <w:tcW w:w="30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(15,497)</w:t>
            </w:r>
          </w:p>
        </w:tc>
        <w:tc>
          <w:tcPr>
            <w:tcW w:w="6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3,964</w:t>
            </w:r>
          </w:p>
        </w:tc>
      </w:tr>
      <w:tr>
        <w:trPr>
          <w:trHeight w:val="461"/>
        </w:trPr>
        <w:tc>
          <w:tcPr>
            <w:tcW w:w="300" w:type="dxa"/>
            <w:vAlign w:val="bottom"/>
          </w:tcPr>
          <w:p>
            <w:pPr>
              <w:spacing w:after="0"/>
              <w:rPr>
                <w:sz w:val="24"/>
                <w:szCs w:val="24"/>
                <w:color w:val="auto"/>
              </w:rPr>
            </w:pPr>
          </w:p>
        </w:tc>
        <w:tc>
          <w:tcPr>
            <w:tcW w:w="140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rPr>
              <w:t>4,420</w:t>
            </w:r>
          </w:p>
        </w:tc>
        <w:tc>
          <w:tcPr>
            <w:tcW w:w="6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5,040</w:t>
            </w:r>
          </w:p>
        </w:tc>
      </w:tr>
      <w:tr>
        <w:trPr>
          <w:trHeight w:val="229"/>
        </w:trPr>
        <w:tc>
          <w:tcPr>
            <w:tcW w:w="300" w:type="dxa"/>
            <w:vAlign w:val="bottom"/>
          </w:tcPr>
          <w:p>
            <w:pPr>
              <w:spacing w:after="0"/>
              <w:rPr>
                <w:sz w:val="19"/>
                <w:szCs w:val="19"/>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(18,815)</w:t>
            </w:r>
          </w:p>
        </w:tc>
        <w:tc>
          <w:tcPr>
            <w:tcW w:w="6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(13,624)</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(144)</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(610)</w:t>
            </w:r>
          </w:p>
        </w:tc>
      </w:tr>
      <w:tr>
        <w:trPr>
          <w:trHeight w:val="218"/>
        </w:trPr>
        <w:tc>
          <w:tcPr>
            <w:tcW w:w="300" w:type="dxa"/>
            <w:vAlign w:val="bottom"/>
          </w:tcPr>
          <w:p>
            <w:pPr>
              <w:spacing w:after="0"/>
              <w:rPr>
                <w:sz w:val="18"/>
                <w:szCs w:val="18"/>
                <w:color w:val="auto"/>
              </w:rPr>
            </w:pPr>
          </w:p>
        </w:tc>
        <w:tc>
          <w:tcPr>
            <w:tcW w:w="140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(30,036)</w:t>
            </w:r>
          </w:p>
        </w:tc>
        <w:tc>
          <w:tcPr>
            <w:tcW w:w="6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(5,230)</w:t>
            </w:r>
          </w:p>
        </w:tc>
      </w:tr>
      <w:tr>
        <w:trPr>
          <w:trHeight w:val="234"/>
        </w:trPr>
        <w:tc>
          <w:tcPr>
            <w:tcW w:w="3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(4,743)</w:t>
            </w:r>
          </w:p>
        </w:tc>
        <w:tc>
          <w:tcPr>
            <w:tcW w:w="6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23"/>
        </w:trPr>
        <w:tc>
          <w:tcPr>
            <w:tcW w:w="30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(25,293)</w:t>
            </w:r>
          </w:p>
        </w:tc>
        <w:tc>
          <w:tcPr>
            <w:tcW w:w="6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(3,281)</w:t>
            </w:r>
          </w:p>
        </w:tc>
      </w:tr>
    </w:tbl>
    <w:p>
      <w:pPr>
        <w:spacing w:after="0" w:line="200" w:lineRule="exact"/>
        <w:rPr>
          <w:sz w:val="20"/>
          <w:szCs w:val="20"/>
          <w:color w:val="auto"/>
        </w:rPr>
      </w:pPr>
    </w:p>
    <w:p>
      <w:pPr>
        <w:sectPr>
          <w:pgSz w:w="11900" w:h="16838" w:orient="portrait"/>
          <w:cols w:equalWidth="0" w:num="2">
            <w:col w:w="6220" w:space="320"/>
            <w:col w:w="3599"/>
          </w:cols>
          <w:pgMar w:left="320" w:top="891" w:right="1440" w:bottom="1440" w:gutter="0" w:footer="0" w:header="0"/>
          <w:type w:val="continuous"/>
        </w:sectPr>
      </w:pPr>
    </w:p>
    <w:p>
      <w:pPr>
        <w:spacing w:after="0" w:line="38" w:lineRule="exact"/>
        <w:rPr>
          <w:sz w:val="20"/>
          <w:szCs w:val="20"/>
          <w:color w:val="auto"/>
        </w:rPr>
      </w:pPr>
    </w:p>
    <w:tbl>
      <w:tblPr>
        <w:tblLayout w:type="fixed"/>
        <w:tblInd w:w="134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Net income per share:</w:t>
            </w:r>
          </w:p>
        </w:tc>
        <w:tc>
          <w:tcPr>
            <w:tcW w:w="206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Diluted net loss per share</w:t>
            </w:r>
          </w:p>
        </w:tc>
        <w:tc>
          <w:tcPr>
            <w:tcW w:w="2060" w:type="dxa"/>
            <w:vAlign w:val="bottom"/>
            <w:tcBorders>
              <w:bottom w:val="single" w:sz="8" w:color="auto"/>
            </w:tcBorders>
          </w:tcPr>
          <w:p>
            <w:pPr>
              <w:jc w:val="right"/>
              <w:ind w:right="690"/>
              <w:spacing w:after="0"/>
              <w:rPr>
                <w:sz w:val="20"/>
                <w:szCs w:val="20"/>
                <w:color w:val="auto"/>
              </w:rPr>
            </w:pPr>
            <w:r>
              <w:rPr>
                <w:rFonts w:ascii="Times New Roman" w:cs="Times New Roman" w:eastAsia="Times New Roman" w:hAnsi="Times New Roman"/>
                <w:sz w:val="18"/>
                <w:szCs w:val="18"/>
                <w:color w:val="auto"/>
              </w:rPr>
              <w:t>$(0.33)</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$(0.04)</w:t>
            </w:r>
          </w:p>
        </w:tc>
      </w:tr>
      <w:tr>
        <w:trPr>
          <w:trHeight w:val="4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w:t>
            </w:r>
          </w:p>
        </w:tc>
        <w:tc>
          <w:tcPr>
            <w:tcW w:w="20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234"/>
        </w:trPr>
        <w:tc>
          <w:tcPr>
            <w:tcW w:w="5200" w:type="dxa"/>
            <w:vAlign w:val="bottom"/>
          </w:tcPr>
          <w:p>
            <w:pPr>
              <w:spacing w:after="0"/>
              <w:rPr>
                <w:sz w:val="20"/>
                <w:szCs w:val="20"/>
                <w:color w:val="auto"/>
              </w:rPr>
            </w:pPr>
            <w:r>
              <w:rPr>
                <w:rFonts w:ascii="Times New Roman" w:cs="Times New Roman" w:eastAsia="Times New Roman" w:hAnsi="Times New Roman"/>
                <w:sz w:val="18"/>
                <w:szCs w:val="18"/>
                <w:color w:val="auto"/>
              </w:rPr>
              <w:t>per share</w:t>
            </w:r>
          </w:p>
        </w:tc>
        <w:tc>
          <w:tcPr>
            <w:tcW w:w="206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auto"/>
              </w:rPr>
              <w:t>76,463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77,735</w:t>
            </w:r>
          </w:p>
        </w:tc>
      </w:tr>
    </w:tbl>
    <w:p>
      <w:pPr>
        <w:sectPr>
          <w:pgSz w:w="11900" w:h="16838" w:orient="portrait"/>
          <w:cols w:equalWidth="0" w:num="1">
            <w:col w:w="10139"/>
          </w:cols>
          <w:pgMar w:left="320" w:top="891" w:right="1440" w:bottom="1440" w:gutter="0" w:footer="0" w:header="0"/>
          <w:type w:val="continuous"/>
        </w:sectPr>
      </w:pPr>
    </w:p>
    <w:bookmarkStart w:id="12" w:name="page13"/>
    <w:bookmarkEnd w:id="12"/>
    <w:p>
      <w:pPr>
        <w:spacing w:after="0"/>
        <w:rPr>
          <w:sz w:val="20"/>
          <w:szCs w:val="20"/>
          <w:color w:val="auto"/>
        </w:rPr>
      </w:pPr>
      <w:r>
        <w:rPr>
          <w:rFonts w:ascii="Times New Roman" w:cs="Times New Roman" w:eastAsia="Times New Roman" w:hAnsi="Times New Roman"/>
          <w:sz w:val="18"/>
          <w:szCs w:val="18"/>
          <w:color w:val="auto"/>
        </w:rPr>
        <w:t>The following table presents revenues disaggregated by the major sources for the three months ended March 31, 2025 and 2024 (amounts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29"/>
        </w:trPr>
        <w:tc>
          <w:tcPr>
            <w:tcW w:w="60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700" w:type="dxa"/>
            <w:vAlign w:val="bottom"/>
            <w:gridSpan w:val="3"/>
          </w:tcPr>
          <w:p>
            <w:pPr>
              <w:jc w:val="right"/>
              <w:ind w:right="7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Neurosurgery</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7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2024</w:t>
            </w:r>
          </w:p>
        </w:tc>
        <w:tc>
          <w:tcPr>
            <w:tcW w:w="12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Change</w:t>
            </w:r>
          </w:p>
        </w:tc>
        <w:tc>
          <w:tcPr>
            <w:tcW w:w="0" w:type="dxa"/>
            <w:vAlign w:val="bottom"/>
          </w:tcPr>
          <w:p>
            <w:pPr>
              <w:spacing w:after="0"/>
              <w:rPr>
                <w:sz w:val="1"/>
                <w:szCs w:val="1"/>
                <w:color w:val="auto"/>
              </w:rPr>
            </w:pPr>
          </w:p>
        </w:tc>
      </w:tr>
      <w:tr>
        <w:trPr>
          <w:trHeight w:val="227"/>
        </w:trPr>
        <w:tc>
          <w:tcPr>
            <w:tcW w:w="6080" w:type="dxa"/>
            <w:vAlign w:val="bottom"/>
            <w:vMerge w:val="continue"/>
          </w:tcPr>
          <w:p>
            <w:pPr>
              <w:spacing w:after="0"/>
              <w:rPr>
                <w:sz w:val="19"/>
                <w:szCs w:val="19"/>
                <w:color w:val="auto"/>
              </w:rPr>
            </w:pPr>
          </w:p>
        </w:tc>
        <w:tc>
          <w:tcPr>
            <w:tcW w:w="1160" w:type="dxa"/>
            <w:vAlign w:val="bottom"/>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190,912</w:t>
            </w:r>
          </w:p>
        </w:tc>
        <w:tc>
          <w:tcPr>
            <w:tcW w:w="380" w:type="dxa"/>
            <w:vAlign w:val="bottom"/>
          </w:tcPr>
          <w:p>
            <w:pPr>
              <w:spacing w:after="0"/>
              <w:rPr>
                <w:sz w:val="19"/>
                <w:szCs w:val="19"/>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202,268</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(5.6)%</w:t>
            </w:r>
          </w:p>
        </w:tc>
        <w:tc>
          <w:tcPr>
            <w:tcW w:w="0" w:type="dxa"/>
            <w:vAlign w:val="bottom"/>
          </w:tcPr>
          <w:p>
            <w:pPr>
              <w:spacing w:after="0"/>
              <w:rPr>
                <w:sz w:val="1"/>
                <w:szCs w:val="1"/>
                <w:color w:val="auto"/>
              </w:rPr>
            </w:pPr>
          </w:p>
        </w:tc>
      </w:tr>
      <w:tr>
        <w:trPr>
          <w:trHeight w:val="257"/>
        </w:trPr>
        <w:tc>
          <w:tcPr>
            <w:tcW w:w="6080" w:type="dxa"/>
            <w:vAlign w:val="bottom"/>
          </w:tcPr>
          <w:p>
            <w:pPr>
              <w:spacing w:after="0" w:line="257" w:lineRule="exact"/>
              <w:rPr>
                <w:sz w:val="20"/>
                <w:szCs w:val="20"/>
                <w:color w:val="auto"/>
              </w:rPr>
            </w:pPr>
            <w:r>
              <w:rPr>
                <w:rFonts w:ascii="Times New Roman" w:cs="Times New Roman" w:eastAsia="Times New Roman" w:hAnsi="Times New Roman"/>
                <w:sz w:val="20"/>
                <w:szCs w:val="20"/>
                <w:color w:val="auto"/>
              </w:rPr>
              <w:t>Instruments</w:t>
            </w:r>
            <w:r>
              <w:rPr>
                <w:rFonts w:ascii="Times New Roman" w:cs="Times New Roman" w:eastAsia="Times New Roman" w:hAnsi="Times New Roman"/>
                <w:sz w:val="25"/>
                <w:szCs w:val="25"/>
                <w:color w:val="auto"/>
                <w:vertAlign w:val="superscript"/>
              </w:rPr>
              <w:t>(1)</w:t>
            </w:r>
          </w:p>
        </w:tc>
        <w:tc>
          <w:tcPr>
            <w:tcW w:w="116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50,950</w:t>
            </w:r>
          </w:p>
        </w:tc>
        <w:tc>
          <w:tcPr>
            <w:tcW w:w="380" w:type="dxa"/>
            <w:vAlign w:val="bottom"/>
          </w:tcPr>
          <w:p>
            <w:pPr>
              <w:spacing w:after="0"/>
              <w:rPr>
                <w:sz w:val="22"/>
                <w:szCs w:val="22"/>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44,373</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w w:val="98"/>
              </w:rPr>
              <w:t>14.8%</w:t>
            </w:r>
          </w:p>
        </w:tc>
        <w:tc>
          <w:tcPr>
            <w:tcW w:w="0" w:type="dxa"/>
            <w:vAlign w:val="bottom"/>
          </w:tcPr>
          <w:p>
            <w:pPr>
              <w:spacing w:after="0"/>
              <w:rPr>
                <w:sz w:val="1"/>
                <w:szCs w:val="1"/>
                <w:color w:val="auto"/>
              </w:rPr>
            </w:pPr>
          </w:p>
        </w:tc>
      </w:tr>
      <w:tr>
        <w:trPr>
          <w:trHeight w:val="266"/>
        </w:trPr>
        <w:tc>
          <w:tcPr>
            <w:tcW w:w="6080" w:type="dxa"/>
            <w:vAlign w:val="bottom"/>
          </w:tcPr>
          <w:p>
            <w:pPr>
              <w:spacing w:after="0" w:line="265" w:lineRule="exact"/>
              <w:rPr>
                <w:sz w:val="20"/>
                <w:szCs w:val="20"/>
                <w:color w:val="auto"/>
              </w:rPr>
            </w:pPr>
            <w:r>
              <w:rPr>
                <w:rFonts w:ascii="Times New Roman" w:cs="Times New Roman" w:eastAsia="Times New Roman" w:hAnsi="Times New Roman"/>
                <w:sz w:val="20"/>
                <w:szCs w:val="20"/>
                <w:color w:val="auto"/>
              </w:rPr>
              <w:t>ENT</w:t>
            </w:r>
            <w:r>
              <w:rPr>
                <w:rFonts w:ascii="Times New Roman" w:cs="Times New Roman" w:eastAsia="Times New Roman" w:hAnsi="Times New Roman"/>
                <w:sz w:val="25"/>
                <w:szCs w:val="25"/>
                <w:color w:val="auto"/>
                <w:vertAlign w:val="superscript"/>
              </w:rPr>
              <w:t>(1)</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38,802</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9,793</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7"/>
              </w:rPr>
              <w:t>296.2%</w:t>
            </w:r>
          </w:p>
        </w:tc>
        <w:tc>
          <w:tcPr>
            <w:tcW w:w="0" w:type="dxa"/>
            <w:vAlign w:val="bottom"/>
          </w:tcPr>
          <w:p>
            <w:pPr>
              <w:spacing w:after="0"/>
              <w:rPr>
                <w:sz w:val="1"/>
                <w:szCs w:val="1"/>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Codman Specialty Surgical</w:t>
            </w:r>
          </w:p>
        </w:tc>
        <w:tc>
          <w:tcPr>
            <w:tcW w:w="1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280,664</w:t>
            </w:r>
          </w:p>
        </w:tc>
        <w:tc>
          <w:tcPr>
            <w:tcW w:w="380" w:type="dxa"/>
            <w:vAlign w:val="bottom"/>
          </w:tcPr>
          <w:p>
            <w:pPr>
              <w:spacing w:after="0"/>
              <w:rPr>
                <w:sz w:val="20"/>
                <w:szCs w:val="20"/>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256,434</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407"/>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Wound Reconstruction and Care</w:t>
            </w: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74,779</w:t>
            </w:r>
          </w:p>
        </w:tc>
        <w:tc>
          <w:tcPr>
            <w:tcW w:w="3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80,877</w:t>
            </w:r>
          </w:p>
        </w:tc>
        <w:tc>
          <w:tcPr>
            <w:tcW w:w="1240" w:type="dxa"/>
            <w:vAlign w:val="bottom"/>
          </w:tcPr>
          <w:p>
            <w:pPr>
              <w:jc w:val="center"/>
              <w:ind w:right="25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Private Label</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27,210</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31,561</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w w:val="99"/>
              </w:rPr>
              <w:t>(13.8)%</w:t>
            </w:r>
          </w:p>
        </w:tc>
        <w:tc>
          <w:tcPr>
            <w:tcW w:w="0" w:type="dxa"/>
            <w:vAlign w:val="bottom"/>
          </w:tcPr>
          <w:p>
            <w:pPr>
              <w:spacing w:after="0"/>
              <w:rPr>
                <w:sz w:val="1"/>
                <w:szCs w:val="1"/>
                <w:color w:val="auto"/>
              </w:rPr>
            </w:pPr>
          </w:p>
        </w:tc>
      </w:tr>
      <w:tr>
        <w:trPr>
          <w:trHeight w:val="23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Total Tissue Technologies</w:t>
            </w:r>
          </w:p>
        </w:tc>
        <w:tc>
          <w:tcPr>
            <w:tcW w:w="11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101,989</w:t>
            </w:r>
          </w:p>
        </w:tc>
        <w:tc>
          <w:tcPr>
            <w:tcW w:w="38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112,438</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(9.3)%</w:t>
            </w:r>
          </w:p>
        </w:tc>
        <w:tc>
          <w:tcPr>
            <w:tcW w:w="0" w:type="dxa"/>
            <w:vAlign w:val="bottom"/>
          </w:tcPr>
          <w:p>
            <w:pPr>
              <w:spacing w:after="0"/>
              <w:rPr>
                <w:sz w:val="1"/>
                <w:szCs w:val="1"/>
                <w:color w:val="auto"/>
              </w:rPr>
            </w:pPr>
          </w:p>
        </w:tc>
      </w:tr>
      <w:tr>
        <w:trPr>
          <w:trHeight w:val="223"/>
        </w:trPr>
        <w:tc>
          <w:tcPr>
            <w:tcW w:w="6080" w:type="dxa"/>
            <w:vAlign w:val="bottom"/>
          </w:tcPr>
          <w:p>
            <w:pPr>
              <w:spacing w:after="0" w:line="223" w:lineRule="exact"/>
              <w:rPr>
                <w:sz w:val="20"/>
                <w:szCs w:val="20"/>
                <w:color w:val="auto"/>
              </w:rPr>
            </w:pPr>
            <w:r>
              <w:rPr>
                <w:rFonts w:ascii="Times New Roman" w:cs="Times New Roman" w:eastAsia="Times New Roman" w:hAnsi="Times New Roman"/>
                <w:sz w:val="20"/>
                <w:szCs w:val="20"/>
                <w:color w:val="auto"/>
              </w:rPr>
              <w:t>Total reported revenues</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382,653</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368,872</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1"/>
        </w:trPr>
        <w:tc>
          <w:tcPr>
            <w:tcW w:w="608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Impact of changes in currency exchange rates</w:t>
            </w: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84"/>
        </w:trPr>
        <w:tc>
          <w:tcPr>
            <w:tcW w:w="6080" w:type="dxa"/>
            <w:vAlign w:val="bottom"/>
            <w:vMerge w:val="continue"/>
          </w:tcPr>
          <w:p>
            <w:pPr>
              <w:spacing w:after="0"/>
              <w:rPr>
                <w:sz w:val="24"/>
                <w:szCs w:val="24"/>
                <w:color w:val="auto"/>
              </w:rPr>
            </w:pPr>
          </w:p>
        </w:tc>
        <w:tc>
          <w:tcPr>
            <w:tcW w:w="116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380" w:type="dxa"/>
            <w:vAlign w:val="bottom"/>
          </w:tcPr>
          <w:p>
            <w:pPr>
              <w:spacing w:after="0"/>
              <w:rPr>
                <w:sz w:val="24"/>
                <w:szCs w:val="24"/>
                <w:color w:val="auto"/>
              </w:rPr>
            </w:pPr>
          </w:p>
        </w:tc>
        <w:tc>
          <w:tcPr>
            <w:tcW w:w="162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6"/>
        </w:trPr>
        <w:tc>
          <w:tcPr>
            <w:tcW w:w="6080" w:type="dxa"/>
            <w:vAlign w:val="bottom"/>
          </w:tcPr>
          <w:p>
            <w:pPr>
              <w:spacing w:after="0"/>
              <w:rPr>
                <w:sz w:val="20"/>
                <w:szCs w:val="20"/>
                <w:color w:val="auto"/>
              </w:rPr>
            </w:pPr>
            <w:r>
              <w:rPr>
                <w:rFonts w:ascii="Times New Roman" w:cs="Times New Roman" w:eastAsia="Times New Roman" w:hAnsi="Times New Roman"/>
                <w:sz w:val="20"/>
                <w:szCs w:val="20"/>
                <w:color w:val="auto"/>
              </w:rPr>
              <w:t>Less contribution of revenues from acquisitions</w:t>
            </w:r>
          </w:p>
        </w:tc>
        <w:tc>
          <w:tcPr>
            <w:tcW w:w="116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(29,092)</w:t>
            </w:r>
          </w:p>
        </w:tc>
        <w:tc>
          <w:tcPr>
            <w:tcW w:w="380" w:type="dxa"/>
            <w:vAlign w:val="bottom"/>
            <w:tcBorders>
              <w:bottom w:val="single" w:sz="8" w:color="auto"/>
            </w:tcBorders>
          </w:tcPr>
          <w:p>
            <w:pPr>
              <w:spacing w:after="0"/>
              <w:rPr>
                <w:sz w:val="23"/>
                <w:szCs w:val="23"/>
                <w:color w:val="auto"/>
              </w:rPr>
            </w:pP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6080" w:type="dxa"/>
            <w:vAlign w:val="bottom"/>
          </w:tcPr>
          <w:p>
            <w:pPr>
              <w:ind w:left="260"/>
              <w:spacing w:after="0" w:line="223" w:lineRule="exact"/>
              <w:rPr>
                <w:sz w:val="20"/>
                <w:szCs w:val="20"/>
                <w:color w:val="auto"/>
              </w:rPr>
            </w:pPr>
            <w:r>
              <w:rPr>
                <w:rFonts w:ascii="Times New Roman" w:cs="Times New Roman" w:eastAsia="Times New Roman" w:hAnsi="Times New Roman"/>
                <w:sz w:val="20"/>
                <w:szCs w:val="20"/>
                <w:color w:val="auto"/>
              </w:rPr>
              <w:t>Total organic revenues</w:t>
            </w:r>
            <w:r>
              <w:rPr>
                <w:rFonts w:ascii="Times New Roman" w:cs="Times New Roman" w:eastAsia="Times New Roman" w:hAnsi="Times New Roman"/>
                <w:sz w:val="25"/>
                <w:szCs w:val="25"/>
                <w:color w:val="auto"/>
                <w:vertAlign w:val="superscript"/>
              </w:rPr>
              <w:t>(2)</w:t>
            </w:r>
          </w:p>
        </w:tc>
        <w:tc>
          <w:tcPr>
            <w:tcW w:w="1160" w:type="dxa"/>
            <w:vAlign w:val="bottom"/>
            <w:tcBorders>
              <w:bottom w:val="single" w:sz="8" w:color="auto"/>
            </w:tcBorders>
          </w:tcPr>
          <w:p>
            <w:pPr>
              <w:jc w:val="right"/>
              <w:ind w:right="97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355,798</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rPr>
              <w:t>368,872</w:t>
            </w:r>
          </w:p>
        </w:tc>
        <w:tc>
          <w:tcPr>
            <w:tcW w:w="1240" w:type="dxa"/>
            <w:vAlign w:val="bottom"/>
            <w:tcBorders>
              <w:bottom w:val="single" w:sz="8" w:color="auto"/>
            </w:tcBorders>
          </w:tcPr>
          <w:p>
            <w:pPr>
              <w:jc w:val="center"/>
              <w:ind w:right="25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5" w:lineRule="exact"/>
        <w:rPr>
          <w:sz w:val="20"/>
          <w:szCs w:val="20"/>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period revenues included within our instruments business have been reclassified under the ENT business.</w:t>
      </w:r>
    </w:p>
    <w:p>
      <w:pPr>
        <w:spacing w:after="0" w:line="27"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Organic revenues have been adjusted to exclude foreign currency (current period), acquisitions and to account for divested and discontinued products.</w:t>
      </w:r>
    </w:p>
    <w:p>
      <w:pPr>
        <w:sectPr>
          <w:pgSz w:w="11900" w:h="16838" w:orient="portrait"/>
          <w:cols w:equalWidth="0" w:num="1">
            <w:col w:w="11220"/>
          </w:cols>
          <w:pgMar w:left="320" w:top="89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March 31, 2025</w:t>
      </w:r>
    </w:p>
    <w:p>
      <w:pPr>
        <w:spacing w:after="0" w:line="210"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40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4"/>
                <w:szCs w:val="14"/>
                <w:color w:val="auto"/>
              </w:rPr>
              <w:t>Item</w:t>
            </w:r>
          </w:p>
        </w:tc>
        <w:tc>
          <w:tcPr>
            <w:tcW w:w="1140" w:type="dxa"/>
            <w:vAlign w:val="bottom"/>
            <w:tcBorders>
              <w:top w:val="single" w:sz="8" w:color="auto"/>
              <w:bottom w:val="single" w:sz="8" w:color="auto"/>
            </w:tcBorders>
          </w:tcPr>
          <w:p>
            <w:pPr>
              <w:jc w:val="right"/>
              <w:ind w:right="192"/>
              <w:spacing w:after="0"/>
              <w:rPr>
                <w:sz w:val="20"/>
                <w:szCs w:val="20"/>
                <w:color w:val="auto"/>
              </w:rPr>
            </w:pPr>
            <w:r>
              <w:rPr>
                <w:rFonts w:ascii="Times New Roman" w:cs="Times New Roman" w:eastAsia="Times New Roman" w:hAnsi="Times New Roman"/>
                <w:sz w:val="14"/>
                <w:szCs w:val="14"/>
                <w:color w:val="auto"/>
              </w:rPr>
              <w:t>Total Amount</w:t>
            </w:r>
          </w:p>
        </w:tc>
        <w:tc>
          <w:tcPr>
            <w:tcW w:w="1140" w:type="dxa"/>
            <w:vAlign w:val="bottom"/>
            <w:tcBorders>
              <w:top w:val="single" w:sz="8" w:color="auto"/>
              <w:bottom w:val="single" w:sz="8" w:color="auto"/>
            </w:tcBorders>
          </w:tcPr>
          <w:p>
            <w:pPr>
              <w:jc w:val="right"/>
              <w:ind w:right="492"/>
              <w:spacing w:after="0"/>
              <w:rPr>
                <w:sz w:val="20"/>
                <w:szCs w:val="20"/>
                <w:color w:val="auto"/>
              </w:rPr>
            </w:pPr>
            <w:r>
              <w:rPr>
                <w:rFonts w:ascii="Times New Roman" w:cs="Times New Roman" w:eastAsia="Times New Roman" w:hAnsi="Times New Roman"/>
                <w:sz w:val="14"/>
                <w:szCs w:val="14"/>
                <w:color w:val="auto"/>
              </w:rPr>
              <w:t>COGS(a)</w:t>
            </w:r>
          </w:p>
        </w:tc>
        <w:tc>
          <w:tcPr>
            <w:tcW w:w="1120" w:type="dxa"/>
            <w:vAlign w:val="bottom"/>
            <w:tcBorders>
              <w:top w:val="single" w:sz="8" w:color="auto"/>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color w:val="auto"/>
              </w:rPr>
              <w:t>SG&amp;A(b)</w:t>
            </w:r>
          </w:p>
        </w:tc>
        <w:tc>
          <w:tcPr>
            <w:tcW w:w="940" w:type="dxa"/>
            <w:vAlign w:val="bottom"/>
            <w:tcBorders>
              <w:top w:val="single" w:sz="8" w:color="auto"/>
              <w:bottom w:val="single" w:sz="8" w:color="auto"/>
            </w:tcBorders>
          </w:tcPr>
          <w:p>
            <w:pPr>
              <w:jc w:val="right"/>
              <w:ind w:right="332"/>
              <w:spacing w:after="0"/>
              <w:rPr>
                <w:sz w:val="20"/>
                <w:szCs w:val="20"/>
                <w:color w:val="auto"/>
              </w:rPr>
            </w:pPr>
            <w:r>
              <w:rPr>
                <w:rFonts w:ascii="Times New Roman" w:cs="Times New Roman" w:eastAsia="Times New Roman" w:hAnsi="Times New Roman"/>
                <w:sz w:val="14"/>
                <w:szCs w:val="14"/>
                <w:color w:val="auto"/>
              </w:rPr>
              <w:t>R&amp;D(c)</w:t>
            </w:r>
          </w:p>
        </w:tc>
        <w:tc>
          <w:tcPr>
            <w:tcW w:w="840" w:type="dxa"/>
            <w:vAlign w:val="bottom"/>
            <w:tcBorders>
              <w:top w:val="single" w:sz="8" w:color="auto"/>
              <w:bottom w:val="single" w:sz="8" w:color="auto"/>
            </w:tcBorders>
          </w:tcPr>
          <w:p>
            <w:pPr>
              <w:jc w:val="right"/>
              <w:ind w:right="152"/>
              <w:spacing w:after="0"/>
              <w:rPr>
                <w:sz w:val="20"/>
                <w:szCs w:val="20"/>
                <w:color w:val="auto"/>
              </w:rPr>
            </w:pPr>
            <w:r>
              <w:rPr>
                <w:rFonts w:ascii="Times New Roman" w:cs="Times New Roman" w:eastAsia="Times New Roman" w:hAnsi="Times New Roman"/>
                <w:sz w:val="14"/>
                <w:szCs w:val="14"/>
                <w:color w:val="auto"/>
              </w:rPr>
              <w:t>Amort (d)</w:t>
            </w:r>
          </w:p>
        </w:tc>
        <w:tc>
          <w:tcPr>
            <w:tcW w:w="90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color w:val="auto"/>
              </w:rPr>
              <w:t>OI&amp;E(e)</w:t>
            </w:r>
          </w:p>
        </w:tc>
        <w:tc>
          <w:tcPr>
            <w:tcW w:w="108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4"/>
                <w:szCs w:val="14"/>
                <w:color w:val="auto"/>
              </w:rPr>
              <w:t>Tax(f)</w:t>
            </w:r>
          </w:p>
        </w:tc>
      </w:tr>
      <w:tr>
        <w:trPr>
          <w:trHeight w:val="225"/>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6,224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10,663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6,436</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1,375</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4,761</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14,810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14,386</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22,769</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3,704</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20" w:type="dxa"/>
            <w:vAlign w:val="bottom"/>
          </w:tcPr>
          <w:p>
            <w:pPr>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23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(12,167)</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(12,167)</w:t>
            </w:r>
          </w:p>
        </w:tc>
      </w:tr>
      <w:tr>
        <w:trPr>
          <w:trHeight w:val="234"/>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10,456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Items included in GAAP net income and location where each item is recorded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Three Months Ended March 31, 2024</w:t>
      </w: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43"/>
        </w:trPr>
        <w:tc>
          <w:tcPr>
            <w:tcW w:w="40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Item</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Total Amount</w:t>
            </w:r>
          </w:p>
        </w:tc>
        <w:tc>
          <w:tcPr>
            <w:tcW w:w="11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99"/>
              </w:rPr>
              <w:t>COGS(a)</w:t>
            </w:r>
          </w:p>
        </w:tc>
        <w:tc>
          <w:tcPr>
            <w:tcW w:w="1120" w:type="dxa"/>
            <w:vAlign w:val="bottom"/>
            <w:tcBorders>
              <w:top w:val="single" w:sz="8" w:color="auto"/>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SG&amp;A(b)</w:t>
            </w:r>
          </w:p>
        </w:tc>
        <w:tc>
          <w:tcPr>
            <w:tcW w:w="94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R&amp;D(c)</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9"/>
              </w:rPr>
              <w:t>Amort (d)</w:t>
            </w:r>
          </w:p>
        </w:tc>
        <w:tc>
          <w:tcPr>
            <w:tcW w:w="92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OI&amp;E(e)</w:t>
            </w:r>
          </w:p>
        </w:tc>
        <w:tc>
          <w:tcPr>
            <w:tcW w:w="1060" w:type="dxa"/>
            <w:vAlign w:val="bottom"/>
            <w:tcBorders>
              <w:top w:val="single" w:sz="8" w:color="auto"/>
              <w:bottom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Tax(f)</w:t>
            </w:r>
          </w:p>
        </w:tc>
      </w:tr>
      <w:tr>
        <w:trPr>
          <w:trHeight w:val="21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4,802</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(46)</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4,657</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5,925</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8,210</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834</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27,698</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17,591</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10,107</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r>
        <w:trPr>
          <w:trHeight w:val="180"/>
        </w:trPr>
        <w:tc>
          <w:tcPr>
            <w:tcW w:w="404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Estimated income tax impact from above adjustments</w:t>
            </w: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60" w:type="dxa"/>
            <w:vAlign w:val="bottom"/>
          </w:tcPr>
          <w:p>
            <w:pPr>
              <w:spacing w:after="0"/>
              <w:rPr>
                <w:sz w:val="15"/>
                <w:szCs w:val="15"/>
                <w:color w:val="auto"/>
              </w:rPr>
            </w:pPr>
          </w:p>
        </w:tc>
      </w:tr>
      <w:tr>
        <w:trPr>
          <w:trHeight w:val="238"/>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and other items</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97"/>
              </w:rPr>
              <w:t>(11,696)</w:t>
            </w:r>
          </w:p>
        </w:tc>
      </w:tr>
      <w:tr>
        <w:trPr>
          <w:trHeight w:val="234"/>
        </w:trPr>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center"/>
              <w:ind w:left="530"/>
              <w:spacing w:after="0"/>
              <w:rPr>
                <w:sz w:val="20"/>
                <w:szCs w:val="20"/>
                <w:color w:val="auto"/>
              </w:rPr>
            </w:pPr>
            <w:r>
              <w:rPr>
                <w:rFonts w:ascii="Times New Roman" w:cs="Times New Roman" w:eastAsia="Times New Roman" w:hAnsi="Times New Roman"/>
                <w:sz w:val="18"/>
                <w:szCs w:val="18"/>
                <w:color w:val="auto"/>
                <w:w w:val="99"/>
              </w:rPr>
              <w:t>—</w:t>
            </w:r>
          </w:p>
        </w:tc>
        <w:tc>
          <w:tcPr>
            <w:tcW w:w="1060" w:type="dxa"/>
            <w:vAlign w:val="bottom"/>
          </w:tcPr>
          <w:p>
            <w:pPr>
              <w:ind w:left="820"/>
              <w:spacing w:after="0"/>
              <w:rPr>
                <w:sz w:val="20"/>
                <w:szCs w:val="20"/>
                <w:color w:val="auto"/>
              </w:rPr>
            </w:pPr>
            <w:r>
              <w:rPr>
                <w:rFonts w:ascii="Times New Roman" w:cs="Times New Roman" w:eastAsia="Times New Roman" w:hAnsi="Times New Roman"/>
                <w:sz w:val="18"/>
                <w:szCs w:val="18"/>
                <w:color w:val="auto"/>
              </w:rPr>
              <w:t>—</w:t>
            </w:r>
          </w:p>
        </w:tc>
      </w:tr>
    </w:tbl>
    <w:p>
      <w:pPr>
        <w:spacing w:after="0" w:line="319" w:lineRule="exact"/>
        <w:rPr>
          <w:sz w:val="20"/>
          <w:szCs w:val="20"/>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COGS - Cost of goods sold</w:t>
      </w:r>
    </w:p>
    <w:p>
      <w:pPr>
        <w:spacing w:after="0" w:line="27"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SG&amp;A - Selling, general and administrative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R&amp;D - Research &amp; development</w:t>
      </w:r>
    </w:p>
    <w:p>
      <w:pPr>
        <w:spacing w:after="0" w:line="9" w:lineRule="exact"/>
        <w:rPr>
          <w:rFonts w:ascii="Times New Roman" w:cs="Times New Roman" w:eastAsia="Times New Roman" w:hAnsi="Times New Roman"/>
          <w:sz w:val="18"/>
          <w:szCs w:val="18"/>
          <w:color w:val="auto"/>
        </w:rPr>
      </w:pPr>
    </w:p>
    <w:p>
      <w:pPr>
        <w:ind w:left="960" w:hanging="304"/>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Amort. - Intangible asset amortization</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OI&amp;E - Other income &amp; expense</w:t>
      </w:r>
    </w:p>
    <w:p>
      <w:pPr>
        <w:spacing w:after="0" w:line="9"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 Income tax expense (benefit)</w:t>
      </w:r>
    </w:p>
    <w:p>
      <w:pPr>
        <w:sectPr>
          <w:pgSz w:w="11900" w:h="16838" w:orient="portrait"/>
          <w:cols w:equalWidth="0" w:num="1">
            <w:col w:w="11220"/>
          </w:cols>
          <w:pgMar w:left="320" w:top="891" w:right="359" w:bottom="1440" w:gutter="0" w:footer="0" w:header="0"/>
        </w:sectPr>
      </w:pPr>
    </w:p>
    <w:bookmarkStart w:id="15" w:name="page16"/>
    <w:bookmarkEnd w:id="15"/>
    <w:p>
      <w:pPr>
        <w:jc w:val="center"/>
        <w:ind w:right="-1100"/>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ADJUSTED EBITDA</w:t>
      </w:r>
    </w:p>
    <w:p>
      <w:pPr>
        <w:spacing w:after="0" w:line="27"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126"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3"/>
          </w:tcPr>
          <w:p>
            <w:pPr>
              <w:jc w:val="right"/>
              <w:ind w:right="29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66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2025</w:t>
            </w:r>
          </w:p>
        </w:tc>
        <w:tc>
          <w:tcPr>
            <w:tcW w:w="5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color w:val="auto"/>
              </w:rPr>
              <w:t>2024</w:t>
            </w:r>
          </w:p>
        </w:tc>
      </w:tr>
      <w:tr>
        <w:trPr>
          <w:trHeight w:val="5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(25,293)</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intangible asset amortization expense</w:t>
            </w:r>
          </w:p>
        </w:tc>
        <w:tc>
          <w:tcPr>
            <w:tcW w:w="2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36,929</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37,597</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(320)</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656</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 net</w:t>
            </w:r>
          </w:p>
        </w:tc>
        <w:tc>
          <w:tcPr>
            <w:tcW w:w="2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14,394</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8,584</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9"/>
                <w:szCs w:val="19"/>
                <w:color w:val="auto"/>
              </w:rPr>
            </w:pP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(4,743)</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(1,949)</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10,663</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10,944</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29"/>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 Braintree transition</w:t>
            </w:r>
          </w:p>
        </w:tc>
        <w:tc>
          <w:tcPr>
            <w:tcW w:w="2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14,810</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30"/>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40" w:type="dxa"/>
            <w:vAlign w:val="bottom"/>
          </w:tcPr>
          <w:p>
            <w:pPr>
              <w:spacing w:after="0"/>
              <w:rPr>
                <w:sz w:val="19"/>
                <w:szCs w:val="19"/>
                <w:color w:val="auto"/>
              </w:rPr>
            </w:pP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6,224</w:t>
            </w:r>
          </w:p>
        </w:tc>
        <w:tc>
          <w:tcPr>
            <w:tcW w:w="50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34"/>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88,902</w:t>
            </w:r>
          </w:p>
        </w:tc>
        <w:tc>
          <w:tcPr>
            <w:tcW w:w="5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75,118</w:t>
            </w:r>
          </w:p>
        </w:tc>
      </w:tr>
      <w:tr>
        <w:trPr>
          <w:trHeight w:val="228"/>
        </w:trPr>
        <w:tc>
          <w:tcPr>
            <w:tcW w:w="6660" w:type="dxa"/>
            <w:vAlign w:val="bottom"/>
          </w:tcPr>
          <w:p>
            <w:pPr>
              <w:spacing w:after="0"/>
              <w:rPr>
                <w:sz w:val="20"/>
                <w:szCs w:val="20"/>
                <w:color w:val="auto"/>
              </w:rPr>
            </w:pPr>
            <w:r>
              <w:rPr>
                <w:rFonts w:ascii="Times New Roman" w:cs="Times New Roman" w:eastAsia="Times New Roman" w:hAnsi="Times New Roman"/>
                <w:sz w:val="18"/>
                <w:szCs w:val="18"/>
                <w:color w:val="auto"/>
              </w:rPr>
              <w:t>Adjusted EBITDA</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63,609</w:t>
            </w:r>
          </w:p>
        </w:tc>
        <w:tc>
          <w:tcPr>
            <w:tcW w:w="50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71,837</w:t>
            </w:r>
          </w:p>
        </w:tc>
      </w:tr>
    </w:tbl>
    <w:p>
      <w:pPr>
        <w:sectPr>
          <w:pgSz w:w="11900" w:h="16838" w:orient="portrait"/>
          <w:cols w:equalWidth="0" w:num="1">
            <w:col w:w="10139"/>
          </w:cols>
          <w:pgMar w:left="320" w:top="891" w:right="1440"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GAAP NET INCOME TO MEASURES OF ADJUSTED NET INCOME AND ADJUSTED</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EARNINGS PER SHARE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 share amounts)</w:t>
      </w:r>
    </w:p>
    <w:p>
      <w:pPr>
        <w:spacing w:after="0" w:line="126"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23"/>
        </w:trPr>
        <w:tc>
          <w:tcPr>
            <w:tcW w:w="78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2024</w:t>
            </w:r>
          </w:p>
        </w:tc>
      </w:tr>
      <w:tr>
        <w:trPr>
          <w:trHeight w:val="69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GAAP net loss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(25,293)</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(3,281)</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Non-GAAP adjustments:</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10,663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4,440</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6,224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4,723</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 charges</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10,944</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12,023</w:t>
            </w:r>
          </w:p>
        </w:tc>
      </w:tr>
      <w:tr>
        <w:trPr>
          <w:trHeight w:val="230"/>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14,810</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9,044</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Pr>
          <w:p>
            <w:pPr>
              <w:spacing w:after="0"/>
              <w:rPr>
                <w:sz w:val="19"/>
                <w:szCs w:val="19"/>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26,473</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27,698</w:t>
            </w:r>
          </w:p>
        </w:tc>
      </w:tr>
      <w:tr>
        <w:trPr>
          <w:trHeight w:val="229"/>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Estimated income tax impact from adjustments and other items</w:t>
            </w:r>
          </w:p>
        </w:tc>
        <w:tc>
          <w:tcPr>
            <w:tcW w:w="280" w:type="dxa"/>
            <w:vAlign w:val="bottom"/>
          </w:tcPr>
          <w:p>
            <w:pPr>
              <w:spacing w:after="0"/>
              <w:rPr>
                <w:sz w:val="19"/>
                <w:szCs w:val="19"/>
                <w:color w:val="auto"/>
              </w:rPr>
            </w:pPr>
          </w:p>
        </w:tc>
        <w:tc>
          <w:tcPr>
            <w:tcW w:w="12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(12,167)</w:t>
            </w:r>
          </w:p>
        </w:tc>
        <w:tc>
          <w:tcPr>
            <w:tcW w:w="6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(11,696)</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Total of non-GAAP adjustments</w:t>
            </w:r>
          </w:p>
        </w:tc>
        <w:tc>
          <w:tcPr>
            <w:tcW w:w="2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56,947</w:t>
            </w:r>
          </w:p>
        </w:tc>
        <w:tc>
          <w:tcPr>
            <w:tcW w:w="6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46,231</w:t>
            </w:r>
          </w:p>
        </w:tc>
      </w:tr>
      <w:tr>
        <w:trPr>
          <w:trHeight w:val="223"/>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net income</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31,654</w:t>
            </w:r>
          </w:p>
        </w:tc>
        <w:tc>
          <w:tcPr>
            <w:tcW w:w="6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42,950</w:t>
            </w:r>
          </w:p>
        </w:tc>
      </w:tr>
      <w:tr>
        <w:trPr>
          <w:trHeight w:val="461"/>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Adjusted diluted net income per share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0.41</w:t>
            </w:r>
          </w:p>
        </w:tc>
        <w:tc>
          <w:tcPr>
            <w:tcW w:w="6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0.55</w:t>
            </w:r>
          </w:p>
        </w:tc>
      </w:tr>
      <w:tr>
        <w:trPr>
          <w:trHeight w:val="234"/>
        </w:trPr>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Weighted average common shares outstanding for diluted net income per share</w:t>
            </w:r>
          </w:p>
        </w:tc>
        <w:tc>
          <w:tcPr>
            <w:tcW w:w="280" w:type="dxa"/>
            <w:vAlign w:val="bottom"/>
          </w:tcPr>
          <w:p>
            <w:pPr>
              <w:spacing w:after="0"/>
              <w:rPr>
                <w:sz w:val="20"/>
                <w:szCs w:val="20"/>
                <w:color w:val="auto"/>
              </w:rPr>
            </w:pPr>
          </w:p>
        </w:tc>
        <w:tc>
          <w:tcPr>
            <w:tcW w:w="12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76,586</w:t>
            </w:r>
          </w:p>
        </w:tc>
        <w:tc>
          <w:tcPr>
            <w:tcW w:w="6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77,958</w:t>
            </w:r>
          </w:p>
        </w:tc>
      </w:tr>
    </w:tbl>
    <w:p>
      <w:pPr>
        <w:sectPr>
          <w:pgSz w:w="11900" w:h="16838" w:orient="portrait"/>
          <w:cols w:equalWidth="0" w:num="1">
            <w:col w:w="11220"/>
          </w:cols>
          <w:pgMar w:left="320" w:top="1134" w:right="35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color w:val="auto"/>
        </w:rPr>
        <w:t>CONDENSED BALANCE SHEET DATA</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7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2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March 31,</w:t>
            </w:r>
          </w:p>
        </w:tc>
        <w:tc>
          <w:tcPr>
            <w:tcW w:w="620" w:type="dxa"/>
            <w:vAlign w:val="bottom"/>
          </w:tcPr>
          <w:p>
            <w:pPr>
              <w:spacing w:after="0"/>
              <w:rPr>
                <w:sz w:val="24"/>
                <w:szCs w:val="24"/>
                <w:color w:val="auto"/>
              </w:rPr>
            </w:pPr>
          </w:p>
        </w:tc>
        <w:tc>
          <w:tcPr>
            <w:tcW w:w="15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239"/>
        </w:trPr>
        <w:tc>
          <w:tcPr>
            <w:tcW w:w="70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rPr>
              <w:t>2025</w:t>
            </w:r>
          </w:p>
        </w:tc>
        <w:tc>
          <w:tcPr>
            <w:tcW w:w="6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tcPr>
          <w:p>
            <w:pPr>
              <w:jc w:val="right"/>
              <w:ind w:right="63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425"/>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Short term investments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34,191</w:t>
            </w:r>
          </w:p>
        </w:tc>
        <w:tc>
          <w:tcPr>
            <w:tcW w:w="62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30"/>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239,104</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Trade accounts receivable, net</w:t>
            </w:r>
          </w:p>
        </w:tc>
        <w:tc>
          <w:tcPr>
            <w:tcW w:w="28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252,446</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272,370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445,418</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429,090</w:t>
            </w:r>
          </w:p>
        </w:tc>
        <w:tc>
          <w:tcPr>
            <w:tcW w:w="0" w:type="dxa"/>
            <w:vAlign w:val="bottom"/>
          </w:tcPr>
          <w:p>
            <w:pPr>
              <w:spacing w:after="0"/>
              <w:rPr>
                <w:sz w:val="1"/>
                <w:szCs w:val="1"/>
                <w:color w:val="auto"/>
              </w:rPr>
            </w:pPr>
          </w:p>
        </w:tc>
      </w:tr>
      <w:tr>
        <w:trPr>
          <w:trHeight w:val="441"/>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Current and long-term borrowing under senior credit facility</w:t>
            </w:r>
          </w:p>
        </w:tc>
        <w:tc>
          <w:tcPr>
            <w:tcW w:w="280" w:type="dxa"/>
            <w:vAlign w:val="bottom"/>
          </w:tcPr>
          <w:p>
            <w:pPr>
              <w:spacing w:after="0"/>
              <w:rPr>
                <w:sz w:val="24"/>
                <w:szCs w:val="24"/>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1,167,291</w:t>
            </w:r>
          </w:p>
        </w:tc>
        <w:tc>
          <w:tcPr>
            <w:tcW w:w="620" w:type="dxa"/>
            <w:vAlign w:val="bottom"/>
          </w:tcPr>
          <w:p>
            <w:pPr>
              <w:spacing w:after="0"/>
              <w:rPr>
                <w:sz w:val="24"/>
                <w:szCs w:val="24"/>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1,121,823</w:t>
            </w:r>
          </w:p>
        </w:tc>
        <w:tc>
          <w:tcPr>
            <w:tcW w:w="0" w:type="dxa"/>
            <w:vAlign w:val="bottom"/>
          </w:tcPr>
          <w:p>
            <w:pPr>
              <w:spacing w:after="0"/>
              <w:rPr>
                <w:sz w:val="1"/>
                <w:szCs w:val="1"/>
                <w:color w:val="auto"/>
              </w:rPr>
            </w:pPr>
          </w:p>
        </w:tc>
      </w:tr>
      <w:tr>
        <w:trPr>
          <w:trHeight w:val="229"/>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80" w:type="dxa"/>
            <w:vAlign w:val="bottom"/>
          </w:tcPr>
          <w:p>
            <w:pPr>
              <w:spacing w:after="0"/>
              <w:rPr>
                <w:sz w:val="19"/>
                <w:szCs w:val="19"/>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102,100</w:t>
            </w:r>
          </w:p>
        </w:tc>
        <w:tc>
          <w:tcPr>
            <w:tcW w:w="6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34"/>
        </w:trPr>
        <w:tc>
          <w:tcPr>
            <w:tcW w:w="70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Convertible securities</w:t>
            </w:r>
          </w:p>
        </w:tc>
        <w:tc>
          <w:tcPr>
            <w:tcW w:w="280" w:type="dxa"/>
            <w:vAlign w:val="bottom"/>
          </w:tcPr>
          <w:p>
            <w:pPr>
              <w:spacing w:after="0"/>
              <w:rPr>
                <w:sz w:val="20"/>
                <w:szCs w:val="20"/>
                <w:color w:val="auto"/>
              </w:rPr>
            </w:pPr>
          </w:p>
        </w:tc>
        <w:tc>
          <w:tcPr>
            <w:tcW w:w="172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573,899</w:t>
            </w:r>
          </w:p>
        </w:tc>
        <w:tc>
          <w:tcPr>
            <w:tcW w:w="6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0" w:type="dxa"/>
            <w:vAlign w:val="bottom"/>
          </w:tcPr>
          <w:p>
            <w:pPr>
              <w:spacing w:after="0"/>
              <w:rPr>
                <w:sz w:val="1"/>
                <w:szCs w:val="1"/>
                <w:color w:val="auto"/>
              </w:rPr>
            </w:pPr>
          </w:p>
        </w:tc>
      </w:tr>
      <w:tr>
        <w:trPr>
          <w:trHeight w:val="432"/>
        </w:trPr>
        <w:tc>
          <w:tcPr>
            <w:tcW w:w="706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Stockholders' equity</w:t>
            </w:r>
          </w:p>
        </w:tc>
        <w:tc>
          <w:tcPr>
            <w:tcW w:w="28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vMerge w:val="continue"/>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1,524,139</w:t>
            </w:r>
          </w:p>
        </w:tc>
        <w:tc>
          <w:tcPr>
            <w:tcW w:w="6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1,545,280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CONDENSED STATEMENT OF CASH FLOWS</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87" w:lineRule="exact"/>
        <w:rPr>
          <w:sz w:val="20"/>
          <w:szCs w:val="20"/>
          <w:color w:val="auto"/>
        </w:rPr>
      </w:pPr>
    </w:p>
    <w:tbl>
      <w:tblPr>
        <w:tblLayout w:type="fixed"/>
        <w:tblInd w:w="60" w:type="dxa"/>
        <w:tblCellMar>
          <w:top w:w="0" w:type="dxa"/>
          <w:left w:w="0" w:type="dxa"/>
          <w:bottom w:w="0" w:type="dxa"/>
          <w:right w:w="0" w:type="dxa"/>
        </w:tblCellMar>
      </w:tblPr>
      <w:tr>
        <w:trPr>
          <w:trHeight w:val="230"/>
        </w:trPr>
        <w:tc>
          <w:tcPr>
            <w:tcW w:w="6980" w:type="dxa"/>
            <w:vAlign w:val="bottom"/>
          </w:tcPr>
          <w:p>
            <w:pPr>
              <w:spacing w:after="0"/>
              <w:rPr>
                <w:sz w:val="19"/>
                <w:szCs w:val="19"/>
                <w:color w:val="auto"/>
              </w:rPr>
            </w:pPr>
          </w:p>
        </w:tc>
        <w:tc>
          <w:tcPr>
            <w:tcW w:w="3480" w:type="dxa"/>
            <w:vAlign w:val="bottom"/>
            <w:gridSpan w:val="3"/>
          </w:tcPr>
          <w:p>
            <w:pPr>
              <w:jc w:val="right"/>
              <w:ind w:right="1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700" w:type="dxa"/>
            <w:vAlign w:val="bottom"/>
          </w:tcPr>
          <w:p>
            <w:pPr>
              <w:spacing w:after="0"/>
              <w:rPr>
                <w:sz w:val="19"/>
                <w:szCs w:val="19"/>
                <w:color w:val="auto"/>
              </w:rPr>
            </w:pPr>
          </w:p>
        </w:tc>
      </w:tr>
      <w:tr>
        <w:trPr>
          <w:trHeight w:val="234"/>
        </w:trPr>
        <w:tc>
          <w:tcPr>
            <w:tcW w:w="6980" w:type="dxa"/>
            <w:vAlign w:val="bottom"/>
          </w:tcPr>
          <w:p>
            <w:pPr>
              <w:spacing w:after="0"/>
              <w:rPr>
                <w:sz w:val="20"/>
                <w:szCs w:val="20"/>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2025</w:t>
            </w:r>
          </w:p>
        </w:tc>
        <w:tc>
          <w:tcPr>
            <w:tcW w:w="98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2024</w:t>
            </w:r>
          </w:p>
        </w:tc>
        <w:tc>
          <w:tcPr>
            <w:tcW w:w="700" w:type="dxa"/>
            <w:vAlign w:val="bottom"/>
            <w:tcBorders>
              <w:bottom w:val="single" w:sz="8" w:color="auto"/>
            </w:tcBorders>
          </w:tcPr>
          <w:p>
            <w:pPr>
              <w:spacing w:after="0"/>
              <w:rPr>
                <w:sz w:val="20"/>
                <w:szCs w:val="20"/>
                <w:color w:val="auto"/>
              </w:rPr>
            </w:pPr>
          </w:p>
        </w:tc>
      </w:tr>
      <w:tr>
        <w:trPr>
          <w:trHeight w:val="421"/>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104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(11,257)</w:t>
            </w:r>
          </w:p>
        </w:tc>
        <w:tc>
          <w:tcPr>
            <w:tcW w:w="1460" w:type="dxa"/>
            <w:vAlign w:val="bottom"/>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15,756</w:t>
            </w:r>
          </w:p>
        </w:tc>
      </w:tr>
      <w:tr>
        <w:trPr>
          <w:trHeight w:val="229"/>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40" w:type="dxa"/>
            <w:vAlign w:val="bottom"/>
          </w:tcPr>
          <w:p>
            <w:pPr>
              <w:spacing w:after="0"/>
              <w:rPr>
                <w:sz w:val="19"/>
                <w:szCs w:val="19"/>
                <w:color w:val="auto"/>
              </w:rPr>
            </w:pPr>
          </w:p>
        </w:tc>
        <w:tc>
          <w:tcPr>
            <w:tcW w:w="9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97"/>
              </w:rPr>
              <w:t>(35,920)</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(53,965)</w:t>
            </w:r>
          </w:p>
        </w:tc>
      </w:tr>
      <w:tr>
        <w:trPr>
          <w:trHeight w:val="230"/>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by) by financing activities</w:t>
            </w:r>
          </w:p>
        </w:tc>
        <w:tc>
          <w:tcPr>
            <w:tcW w:w="1040" w:type="dxa"/>
            <w:vAlign w:val="bottom"/>
          </w:tcPr>
          <w:p>
            <w:pPr>
              <w:spacing w:after="0"/>
              <w:rPr>
                <w:sz w:val="19"/>
                <w:szCs w:val="19"/>
                <w:color w:val="auto"/>
              </w:rPr>
            </w:pPr>
          </w:p>
        </w:tc>
        <w:tc>
          <w:tcPr>
            <w:tcW w:w="98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35,377</w:t>
            </w:r>
          </w:p>
        </w:tc>
        <w:tc>
          <w:tcPr>
            <w:tcW w:w="1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358,676</w:t>
            </w:r>
          </w:p>
        </w:tc>
      </w:tr>
      <w:tr>
        <w:trPr>
          <w:trHeight w:val="234"/>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0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8"/>
                <w:szCs w:val="18"/>
                <w:color w:val="auto"/>
              </w:rPr>
              <w:t>4,529</w:t>
            </w:r>
          </w:p>
        </w:tc>
        <w:tc>
          <w:tcPr>
            <w:tcW w:w="146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(4,963)</w:t>
            </w:r>
          </w:p>
        </w:tc>
      </w:tr>
      <w:tr>
        <w:trPr>
          <w:trHeight w:val="318"/>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4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(7,271)</w:t>
            </w:r>
          </w:p>
        </w:tc>
        <w:tc>
          <w:tcPr>
            <w:tcW w:w="1460" w:type="dxa"/>
            <w:vAlign w:val="bottom"/>
            <w:tcBorders>
              <w:bottom w:val="single" w:sz="8" w:color="auto"/>
            </w:tcBorders>
          </w:tcPr>
          <w:p>
            <w:pPr>
              <w:jc w:val="right"/>
              <w:ind w:right="91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315,504</w:t>
            </w:r>
          </w:p>
        </w:tc>
      </w:tr>
    </w:tbl>
    <w:p>
      <w:pPr>
        <w:sectPr>
          <w:pgSz w:w="11900" w:h="16838" w:orient="portrait"/>
          <w:cols w:equalWidth="0" w:num="1">
            <w:col w:w="11220"/>
          </w:cols>
          <w:pgMar w:left="320" w:top="891" w:right="359" w:bottom="1440" w:gutter="0" w:footer="0" w:header="0"/>
        </w:sectPr>
      </w:pPr>
    </w:p>
    <w:bookmarkStart w:id="18" w:name="page19"/>
    <w:bookmarkEnd w:id="18"/>
    <w:p>
      <w:pPr>
        <w:jc w:val="center"/>
        <w:ind w:left="420" w:right="1960"/>
        <w:spacing w:after="0" w:line="257" w:lineRule="auto"/>
        <w:rPr>
          <w:sz w:val="20"/>
          <w:szCs w:val="20"/>
          <w:color w:val="auto"/>
        </w:rPr>
      </w:pPr>
      <w:r>
        <w:rPr>
          <w:rFonts w:ascii="Times New Roman" w:cs="Times New Roman" w:eastAsia="Times New Roman" w:hAnsi="Times New Roman"/>
          <w:sz w:val="18"/>
          <w:szCs w:val="18"/>
          <w:color w:val="auto"/>
        </w:rPr>
        <w:t>RECONCILIATION OF NON-GAAP ADJUSTMENTS - GAAP OPERATING CASH FLOW TO MEASURES OF FREE CASH FLOW AND ADJUSTED FREE CASH FLOW CONVERSION (UNAUDITED)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38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8"/>
        </w:trPr>
        <w:tc>
          <w:tcPr>
            <w:tcW w:w="73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0" w:type="dxa"/>
            <w:vAlign w:val="bottom"/>
            <w:gridSpan w:val="3"/>
          </w:tcPr>
          <w:p>
            <w:pPr>
              <w:jc w:val="right"/>
              <w:ind w:right="65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0" w:type="dxa"/>
            <w:vAlign w:val="bottom"/>
          </w:tcPr>
          <w:p>
            <w:pPr>
              <w:spacing w:after="0"/>
              <w:rPr>
                <w:sz w:val="1"/>
                <w:szCs w:val="1"/>
                <w:color w:val="auto"/>
              </w:rPr>
            </w:pPr>
          </w:p>
        </w:tc>
      </w:tr>
      <w:tr>
        <w:trPr>
          <w:trHeight w:val="234"/>
        </w:trPr>
        <w:tc>
          <w:tcPr>
            <w:tcW w:w="736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cash (used)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(11,257)</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15,756</w:t>
            </w:r>
          </w:p>
        </w:tc>
        <w:tc>
          <w:tcPr>
            <w:tcW w:w="0" w:type="dxa"/>
            <w:vAlign w:val="bottom"/>
          </w:tcPr>
          <w:p>
            <w:pPr>
              <w:spacing w:after="0"/>
              <w:rPr>
                <w:sz w:val="1"/>
                <w:szCs w:val="1"/>
                <w:color w:val="auto"/>
              </w:rPr>
            </w:pPr>
          </w:p>
        </w:tc>
      </w:tr>
      <w:tr>
        <w:trPr>
          <w:trHeight w:val="520"/>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(28,920)</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(15,465)</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spacing w:after="0"/>
              <w:rPr>
                <w:sz w:val="19"/>
                <w:szCs w:val="19"/>
                <w:color w:val="auto"/>
              </w:rPr>
            </w:pP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(40,177)</w:t>
            </w:r>
          </w:p>
        </w:tc>
        <w:tc>
          <w:tcPr>
            <w:tcW w:w="480" w:type="dxa"/>
            <w:vAlign w:val="bottom"/>
          </w:tcPr>
          <w:p>
            <w:pPr>
              <w:spacing w:after="0"/>
              <w:rPr>
                <w:sz w:val="19"/>
                <w:szCs w:val="19"/>
                <w:color w:val="auto"/>
              </w:rPr>
            </w:pP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291</w:t>
            </w:r>
          </w:p>
        </w:tc>
        <w:tc>
          <w:tcPr>
            <w:tcW w:w="0" w:type="dxa"/>
            <w:vAlign w:val="bottom"/>
          </w:tcPr>
          <w:p>
            <w:pPr>
              <w:spacing w:after="0"/>
              <w:rPr>
                <w:sz w:val="1"/>
                <w:szCs w:val="1"/>
                <w:color w:val="auto"/>
              </w:rPr>
            </w:pPr>
          </w:p>
        </w:tc>
      </w:tr>
      <w:tr>
        <w:trPr>
          <w:trHeight w:val="265"/>
        </w:trPr>
        <w:tc>
          <w:tcPr>
            <w:tcW w:w="7360" w:type="dxa"/>
            <w:vAlign w:val="bottom"/>
            <w:vMerge w:val="restart"/>
          </w:tcPr>
          <w:p>
            <w:pPr>
              <w:ind w:left="140"/>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36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31,654</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42,950</w:t>
            </w:r>
          </w:p>
        </w:tc>
        <w:tc>
          <w:tcPr>
            <w:tcW w:w="0" w:type="dxa"/>
            <w:vAlign w:val="bottom"/>
          </w:tcPr>
          <w:p>
            <w:pPr>
              <w:spacing w:after="0"/>
              <w:rPr>
                <w:sz w:val="1"/>
                <w:szCs w:val="1"/>
                <w:color w:val="auto"/>
              </w:rPr>
            </w:pPr>
          </w:p>
        </w:tc>
      </w:tr>
      <w:tr>
        <w:trPr>
          <w:trHeight w:val="228"/>
        </w:trPr>
        <w:tc>
          <w:tcPr>
            <w:tcW w:w="736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(126.9)%</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tbl>
      <w:tblPr>
        <w:tblLayout w:type="fixed"/>
        <w:tblInd w:w="140" w:type="dxa"/>
        <w:tblCellMar>
          <w:top w:w="0" w:type="dxa"/>
          <w:left w:w="0" w:type="dxa"/>
          <w:bottom w:w="0" w:type="dxa"/>
          <w:right w:w="0" w:type="dxa"/>
        </w:tblCellMar>
      </w:tblPr>
      <w:tr>
        <w:trPr>
          <w:trHeight w:val="229"/>
        </w:trPr>
        <w:tc>
          <w:tcPr>
            <w:tcW w:w="7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3400" w:type="dxa"/>
            <w:vAlign w:val="bottom"/>
            <w:gridSpan w:val="3"/>
          </w:tcPr>
          <w:p>
            <w:pPr>
              <w:jc w:val="right"/>
              <w:ind w:right="610"/>
              <w:spacing w:after="0"/>
              <w:rPr>
                <w:sz w:val="20"/>
                <w:szCs w:val="20"/>
                <w:color w:val="auto"/>
              </w:rPr>
            </w:pPr>
            <w:r>
              <w:rPr>
                <w:rFonts w:ascii="Times New Roman" w:cs="Times New Roman" w:eastAsia="Times New Roman" w:hAnsi="Times New Roman"/>
                <w:sz w:val="18"/>
                <w:szCs w:val="18"/>
                <w:color w:val="auto"/>
              </w:rPr>
              <w:t>Twelve Months Ended March 31,</w:t>
            </w:r>
          </w:p>
        </w:tc>
        <w:tc>
          <w:tcPr>
            <w:tcW w:w="0" w:type="dxa"/>
            <w:vAlign w:val="bottom"/>
          </w:tcPr>
          <w:p>
            <w:pPr>
              <w:spacing w:after="0"/>
              <w:rPr>
                <w:sz w:val="1"/>
                <w:szCs w:val="1"/>
                <w:color w:val="auto"/>
              </w:rPr>
            </w:pPr>
          </w:p>
        </w:tc>
      </w:tr>
      <w:tr>
        <w:trPr>
          <w:trHeight w:val="234"/>
        </w:trPr>
        <w:tc>
          <w:tcPr>
            <w:tcW w:w="7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90"/>
              <w:spacing w:after="0"/>
              <w:rPr>
                <w:sz w:val="20"/>
                <w:szCs w:val="20"/>
                <w:color w:val="auto"/>
              </w:rPr>
            </w:pPr>
            <w:r>
              <w:rPr>
                <w:rFonts w:ascii="Times New Roman" w:cs="Times New Roman" w:eastAsia="Times New Roman" w:hAnsi="Times New Roman"/>
                <w:sz w:val="18"/>
                <w:szCs w:val="18"/>
                <w:color w:val="auto"/>
              </w:rPr>
              <w:t>2025</w:t>
            </w:r>
          </w:p>
        </w:tc>
        <w:tc>
          <w:tcPr>
            <w:tcW w:w="48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tcPr>
          <w:p>
            <w:pPr>
              <w:jc w:val="right"/>
              <w:ind w:right="77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23"/>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102,368</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129,552</w:t>
            </w:r>
          </w:p>
        </w:tc>
        <w:tc>
          <w:tcPr>
            <w:tcW w:w="0" w:type="dxa"/>
            <w:vAlign w:val="bottom"/>
          </w:tcPr>
          <w:p>
            <w:pPr>
              <w:spacing w:after="0"/>
              <w:rPr>
                <w:sz w:val="1"/>
                <w:szCs w:val="1"/>
                <w:color w:val="auto"/>
              </w:rPr>
            </w:pPr>
          </w:p>
        </w:tc>
      </w:tr>
      <w:tr>
        <w:trPr>
          <w:trHeight w:val="250"/>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380" w:type="dxa"/>
            <w:vAlign w:val="bottom"/>
            <w:tcBorders>
              <w:bottom w:val="single" w:sz="8" w:color="auto"/>
            </w:tcBorders>
          </w:tcPr>
          <w:p>
            <w:pPr>
              <w:spacing w:after="0"/>
              <w:rPr>
                <w:sz w:val="21"/>
                <w:szCs w:val="21"/>
                <w:color w:val="auto"/>
              </w:rPr>
            </w:pPr>
          </w:p>
        </w:tc>
        <w:tc>
          <w:tcPr>
            <w:tcW w:w="132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60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(117,872)</w:t>
            </w:r>
          </w:p>
        </w:tc>
        <w:tc>
          <w:tcPr>
            <w:tcW w:w="4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(68,737)</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Free cash flow</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(15,504)</w:t>
            </w:r>
          </w:p>
        </w:tc>
        <w:tc>
          <w:tcPr>
            <w:tcW w:w="48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60,815</w:t>
            </w:r>
          </w:p>
        </w:tc>
        <w:tc>
          <w:tcPr>
            <w:tcW w:w="0" w:type="dxa"/>
            <w:vAlign w:val="bottom"/>
          </w:tcPr>
          <w:p>
            <w:pPr>
              <w:spacing w:after="0"/>
              <w:rPr>
                <w:sz w:val="1"/>
                <w:szCs w:val="1"/>
                <w:color w:val="auto"/>
              </w:rPr>
            </w:pPr>
          </w:p>
        </w:tc>
      </w:tr>
      <w:tr>
        <w:trPr>
          <w:trHeight w:val="265"/>
        </w:trPr>
        <w:tc>
          <w:tcPr>
            <w:tcW w:w="72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Adjusted net income</w:t>
            </w:r>
            <w:r>
              <w:rPr>
                <w:rFonts w:ascii="Times New Roman" w:cs="Times New Roman" w:eastAsia="Times New Roman" w:hAnsi="Times New Roman"/>
                <w:sz w:val="23"/>
                <w:szCs w:val="23"/>
                <w:color w:val="auto"/>
                <w:vertAlign w:val="superscript"/>
              </w:rPr>
              <w:t>(1)</w:t>
            </w:r>
          </w:p>
        </w:tc>
        <w:tc>
          <w:tcPr>
            <w:tcW w:w="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23"/>
        </w:trPr>
        <w:tc>
          <w:tcPr>
            <w:tcW w:w="7220" w:type="dxa"/>
            <w:vAlign w:val="bottom"/>
            <w:vMerge w:val="continue"/>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185,652</w:t>
            </w: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60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230,004</w:t>
            </w:r>
          </w:p>
        </w:tc>
        <w:tc>
          <w:tcPr>
            <w:tcW w:w="0" w:type="dxa"/>
            <w:vAlign w:val="bottom"/>
          </w:tcPr>
          <w:p>
            <w:pPr>
              <w:spacing w:after="0"/>
              <w:rPr>
                <w:sz w:val="1"/>
                <w:szCs w:val="1"/>
                <w:color w:val="auto"/>
              </w:rPr>
            </w:pPr>
          </w:p>
        </w:tc>
      </w:tr>
      <w:tr>
        <w:trPr>
          <w:trHeight w:val="228"/>
        </w:trPr>
        <w:tc>
          <w:tcPr>
            <w:tcW w:w="7220" w:type="dxa"/>
            <w:vAlign w:val="bottom"/>
          </w:tcPr>
          <w:p>
            <w:pPr>
              <w:spacing w:after="0"/>
              <w:rPr>
                <w:sz w:val="20"/>
                <w:szCs w:val="20"/>
                <w:color w:val="auto"/>
              </w:rPr>
            </w:pPr>
            <w:r>
              <w:rPr>
                <w:rFonts w:ascii="Times New Roman" w:cs="Times New Roman" w:eastAsia="Times New Roman" w:hAnsi="Times New Roman"/>
                <w:sz w:val="18"/>
                <w:szCs w:val="18"/>
                <w:color w:val="auto"/>
              </w:rPr>
              <w:t>Adjusted free cash flow conversion</w:t>
            </w:r>
          </w:p>
        </w:tc>
        <w:tc>
          <w:tcPr>
            <w:tcW w:w="3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48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71" w:lineRule="exact"/>
        <w:rPr>
          <w:sz w:val="20"/>
          <w:szCs w:val="20"/>
          <w:color w:val="auto"/>
        </w:rPr>
      </w:pPr>
    </w:p>
    <w:p>
      <w:pPr>
        <w:ind w:right="360" w:firstLine="8"/>
        <w:spacing w:after="0" w:line="266" w:lineRule="auto"/>
        <w:tabs>
          <w:tab w:leader="none" w:pos="25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for quarters ended March 31, 2025 and 2024 are reconciled above. Adjusted net income for remaining quarters in the trailing twelve months calculation have been previously reconciled and are publicly available in the Quarterly Earnings Call Presentations on our website at investor.integralife.com under Events &amp; Presentations.</w:t>
      </w:r>
    </w:p>
    <w:p>
      <w:pPr>
        <w:spacing w:after="0" w:line="200" w:lineRule="exact"/>
        <w:rPr>
          <w:sz w:val="20"/>
          <w:szCs w:val="20"/>
          <w:color w:val="auto"/>
        </w:rPr>
      </w:pPr>
    </w:p>
    <w:p>
      <w:pPr>
        <w:spacing w:after="0" w:line="246"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Company calculates adjusted free cash flow conversion by dividing its free cash flow by adjusted net income. The Company believes this measure is useful in evaluating the significance of the cash special charges in its adjusted earnings measures.</w:t>
      </w:r>
    </w:p>
    <w:p>
      <w:pPr>
        <w:sectPr>
          <w:pgSz w:w="11900" w:h="16838" w:orient="portrait"/>
          <w:cols w:equalWidth="0" w:num="1">
            <w:col w:w="11140"/>
          </w:cols>
          <w:pgMar w:left="320" w:top="891" w:right="4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color w:val="auto"/>
        </w:rPr>
        <w:t>RECONCILIATION OF NON-GAAP ADJUSTMENTS - NET DEBT CALCULATION</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31"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(In thousands)</w:t>
            </w:r>
          </w:p>
        </w:tc>
        <w:tc>
          <w:tcPr>
            <w:tcW w:w="260" w:type="dxa"/>
            <w:vAlign w:val="bottom"/>
          </w:tcPr>
          <w:p>
            <w:pPr>
              <w:spacing w:after="0"/>
              <w:rPr>
                <w:sz w:val="20"/>
                <w:szCs w:val="20"/>
                <w:color w:val="auto"/>
              </w:rPr>
            </w:pPr>
          </w:p>
        </w:tc>
        <w:tc>
          <w:tcPr>
            <w:tcW w:w="1300" w:type="dxa"/>
            <w:vAlign w:val="bottom"/>
            <w:vMerge w:val="restart"/>
          </w:tcPr>
          <w:p>
            <w:pPr>
              <w:jc w:val="right"/>
              <w:ind w:right="310"/>
              <w:spacing w:after="0"/>
              <w:rPr>
                <w:sz w:val="20"/>
                <w:szCs w:val="20"/>
                <w:color w:val="auto"/>
              </w:rPr>
            </w:pPr>
            <w:r>
              <w:rPr>
                <w:rFonts w:ascii="Times New Roman" w:cs="Times New Roman" w:eastAsia="Times New Roman" w:hAnsi="Times New Roman"/>
                <w:sz w:val="18"/>
                <w:szCs w:val="18"/>
                <w:color w:val="auto"/>
              </w:rPr>
              <w:t>March 31,</w:t>
            </w:r>
          </w:p>
        </w:tc>
        <w:tc>
          <w:tcPr>
            <w:tcW w:w="300" w:type="dxa"/>
            <w:vAlign w:val="bottom"/>
          </w:tcPr>
          <w:p>
            <w:pPr>
              <w:spacing w:after="0"/>
              <w:rPr>
                <w:sz w:val="20"/>
                <w:szCs w:val="20"/>
                <w:color w:val="auto"/>
              </w:rPr>
            </w:pPr>
          </w:p>
        </w:tc>
        <w:tc>
          <w:tcPr>
            <w:tcW w:w="1680" w:type="dxa"/>
            <w:vAlign w:val="bottom"/>
            <w:vMerge w:val="restart"/>
          </w:tcPr>
          <w:p>
            <w:pPr>
              <w:jc w:val="right"/>
              <w:ind w:right="390"/>
              <w:spacing w:after="0"/>
              <w:rPr>
                <w:sz w:val="20"/>
                <w:szCs w:val="20"/>
                <w:color w:val="auto"/>
              </w:rPr>
            </w:pPr>
            <w:r>
              <w:rPr>
                <w:rFonts w:ascii="Times New Roman" w:cs="Times New Roman" w:eastAsia="Times New Roman" w:hAnsi="Times New Roman"/>
                <w:sz w:val="18"/>
                <w:szCs w:val="18"/>
                <w:color w:val="auto"/>
              </w:rPr>
              <w:t>December 31,</w:t>
            </w:r>
          </w:p>
        </w:tc>
        <w:tc>
          <w:tcPr>
            <w:tcW w:w="0" w:type="dxa"/>
            <w:vAlign w:val="bottom"/>
          </w:tcPr>
          <w:p>
            <w:pPr>
              <w:spacing w:after="0"/>
              <w:rPr>
                <w:sz w:val="1"/>
                <w:szCs w:val="1"/>
                <w:color w:val="auto"/>
              </w:rPr>
            </w:pPr>
          </w:p>
        </w:tc>
      </w:tr>
      <w:tr>
        <w:trPr>
          <w:trHeight w:val="175"/>
        </w:trPr>
        <w:tc>
          <w:tcPr>
            <w:tcW w:w="74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Times New Roman" w:cs="Times New Roman" w:eastAsia="Times New Roman" w:hAnsi="Times New Roman"/>
                <w:sz w:val="18"/>
                <w:szCs w:val="18"/>
                <w:color w:val="auto"/>
              </w:rPr>
              <w:t>2025</w:t>
            </w:r>
          </w:p>
        </w:tc>
        <w:tc>
          <w:tcPr>
            <w:tcW w:w="300" w:type="dxa"/>
            <w:vAlign w:val="bottom"/>
          </w:tcPr>
          <w:p>
            <w:pPr>
              <w:spacing w:after="0"/>
              <w:rPr>
                <w:sz w:val="20"/>
                <w:szCs w:val="20"/>
                <w:color w:val="auto"/>
              </w:rPr>
            </w:pPr>
          </w:p>
        </w:tc>
        <w:tc>
          <w:tcPr>
            <w:tcW w:w="16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rPr>
              <w:t>2024</w:t>
            </w:r>
          </w:p>
        </w:tc>
        <w:tc>
          <w:tcPr>
            <w:tcW w:w="0" w:type="dxa"/>
            <w:vAlign w:val="bottom"/>
          </w:tcPr>
          <w:p>
            <w:pPr>
              <w:spacing w:after="0"/>
              <w:rPr>
                <w:sz w:val="1"/>
                <w:szCs w:val="1"/>
                <w:color w:val="auto"/>
              </w:rPr>
            </w:pPr>
          </w:p>
        </w:tc>
      </w:tr>
      <w:tr>
        <w:trPr>
          <w:trHeight w:val="233"/>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Short-term borrowings under senior credit facility</w:t>
            </w:r>
          </w:p>
        </w:tc>
        <w:tc>
          <w:tcPr>
            <w:tcW w:w="2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38,750</w:t>
            </w:r>
          </w:p>
        </w:tc>
        <w:tc>
          <w:tcPr>
            <w:tcW w:w="30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33,906</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Long-term borrowings under senior credit facility</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1,128,541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1,087,917</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Borrowings under securitization facility</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102,100</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108,100</w:t>
            </w:r>
          </w:p>
        </w:tc>
        <w:tc>
          <w:tcPr>
            <w:tcW w:w="0" w:type="dxa"/>
            <w:vAlign w:val="bottom"/>
          </w:tcPr>
          <w:p>
            <w:pPr>
              <w:spacing w:after="0"/>
              <w:rPr>
                <w:sz w:val="1"/>
                <w:szCs w:val="1"/>
                <w:color w:val="auto"/>
              </w:rPr>
            </w:pPr>
          </w:p>
        </w:tc>
      </w:tr>
      <w:tr>
        <w:trPr>
          <w:trHeight w:val="230"/>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Convertible securities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573,899</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573,170</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Deferred financing costs netted in the above</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5,475</w:t>
            </w:r>
          </w:p>
        </w:tc>
        <w:tc>
          <w:tcPr>
            <w:tcW w:w="0" w:type="dxa"/>
            <w:vAlign w:val="bottom"/>
          </w:tcPr>
          <w:p>
            <w:pPr>
              <w:spacing w:after="0"/>
              <w:rPr>
                <w:sz w:val="1"/>
                <w:szCs w:val="1"/>
                <w:color w:val="auto"/>
              </w:rPr>
            </w:pPr>
          </w:p>
        </w:tc>
      </w:tr>
      <w:tr>
        <w:trPr>
          <w:trHeight w:val="229"/>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Short term investments</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(34,191)</w:t>
            </w:r>
          </w:p>
        </w:tc>
        <w:tc>
          <w:tcPr>
            <w:tcW w:w="3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(27,192)</w:t>
            </w:r>
          </w:p>
        </w:tc>
        <w:tc>
          <w:tcPr>
            <w:tcW w:w="0" w:type="dxa"/>
            <w:vAlign w:val="bottom"/>
          </w:tcPr>
          <w:p>
            <w:pPr>
              <w:spacing w:after="0"/>
              <w:rPr>
                <w:sz w:val="1"/>
                <w:szCs w:val="1"/>
                <w:color w:val="auto"/>
              </w:rPr>
            </w:pPr>
          </w:p>
        </w:tc>
      </w:tr>
      <w:tr>
        <w:trPr>
          <w:trHeight w:val="234"/>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Cash &amp; Cash Equivalents</w:t>
            </w:r>
          </w:p>
        </w:tc>
        <w:tc>
          <w:tcPr>
            <w:tcW w:w="26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(239,104)</w:t>
            </w:r>
          </w:p>
        </w:tc>
        <w:tc>
          <w:tcPr>
            <w:tcW w:w="30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(246,375)</w:t>
            </w:r>
          </w:p>
        </w:tc>
        <w:tc>
          <w:tcPr>
            <w:tcW w:w="0" w:type="dxa"/>
            <w:vAlign w:val="bottom"/>
          </w:tcPr>
          <w:p>
            <w:pPr>
              <w:spacing w:after="0"/>
              <w:rPr>
                <w:sz w:val="1"/>
                <w:szCs w:val="1"/>
                <w:color w:val="auto"/>
              </w:rPr>
            </w:pPr>
          </w:p>
        </w:tc>
      </w:tr>
      <w:tr>
        <w:trPr>
          <w:trHeight w:val="228"/>
        </w:trPr>
        <w:tc>
          <w:tcPr>
            <w:tcW w:w="7460" w:type="dxa"/>
            <w:vAlign w:val="bottom"/>
          </w:tcPr>
          <w:p>
            <w:pPr>
              <w:spacing w:after="0"/>
              <w:rPr>
                <w:sz w:val="20"/>
                <w:szCs w:val="20"/>
                <w:color w:val="auto"/>
              </w:rPr>
            </w:pPr>
            <w:r>
              <w:rPr>
                <w:rFonts w:ascii="Times New Roman" w:cs="Times New Roman" w:eastAsia="Times New Roman" w:hAnsi="Times New Roman"/>
                <w:sz w:val="18"/>
                <w:szCs w:val="18"/>
                <w:color w:val="auto"/>
              </w:rPr>
              <w:t>Net Debt</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1,574,431</w:t>
            </w:r>
          </w:p>
        </w:tc>
        <w:tc>
          <w:tcPr>
            <w:tcW w:w="30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1,535,001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left="340"/>
        <w:spacing w:after="0" w:line="253" w:lineRule="auto"/>
        <w:rPr>
          <w:sz w:val="20"/>
          <w:szCs w:val="20"/>
          <w:color w:val="auto"/>
        </w:rPr>
      </w:pPr>
      <w:r>
        <w:rPr>
          <w:rFonts w:ascii="Times New Roman" w:cs="Times New Roman" w:eastAsia="Times New Roman" w:hAnsi="Times New Roman"/>
          <w:sz w:val="18"/>
          <w:szCs w:val="18"/>
          <w:color w:val="auto"/>
        </w:rPr>
        <w:t>RECONCILIATION OF NON-GAAP ADJUSTMENTS - GAAP GROSS PROFIT TO MEASURES OF ADJUSTED GROSS PROFIT AND ADJUSTED GROSS MARGIN</w:t>
      </w:r>
    </w:p>
    <w:p>
      <w:pPr>
        <w:jc w:val="center"/>
        <w:ind w:right="-19"/>
        <w:spacing w:after="0"/>
        <w:rPr>
          <w:sz w:val="20"/>
          <w:szCs w:val="20"/>
          <w:color w:val="auto"/>
        </w:rPr>
      </w:pPr>
      <w:r>
        <w:rPr>
          <w:rFonts w:ascii="Times New Roman" w:cs="Times New Roman" w:eastAsia="Times New Roman" w:hAnsi="Times New Roman"/>
          <w:sz w:val="18"/>
          <w:szCs w:val="18"/>
          <w:color w:val="auto"/>
        </w:rPr>
        <w:t>(UNAUDITED)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 except percentages)</w:t>
      </w:r>
    </w:p>
    <w:p>
      <w:pPr>
        <w:spacing w:after="0" w:line="112" w:lineRule="exact"/>
        <w:rPr>
          <w:sz w:val="20"/>
          <w:szCs w:val="20"/>
          <w:color w:val="auto"/>
        </w:rPr>
      </w:pPr>
    </w:p>
    <w:tbl>
      <w:tblPr>
        <w:tblLayout w:type="fixed"/>
        <w:tblInd w:w="200" w:type="dxa"/>
        <w:tblCellMar>
          <w:top w:w="0" w:type="dxa"/>
          <w:left w:w="0" w:type="dxa"/>
          <w:bottom w:w="0" w:type="dxa"/>
          <w:right w:w="0" w:type="dxa"/>
        </w:tblCellMar>
      </w:tblPr>
      <w:tr>
        <w:trPr>
          <w:trHeight w:val="230"/>
        </w:trPr>
        <w:tc>
          <w:tcPr>
            <w:tcW w:w="7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000" w:type="dxa"/>
            <w:vAlign w:val="bottom"/>
            <w:gridSpan w:val="3"/>
          </w:tcPr>
          <w:p>
            <w:pPr>
              <w:jc w:val="right"/>
              <w:ind w:right="410"/>
              <w:spacing w:after="0"/>
              <w:rPr>
                <w:sz w:val="20"/>
                <w:szCs w:val="20"/>
                <w:color w:val="auto"/>
              </w:rPr>
            </w:pPr>
            <w:r>
              <w:rPr>
                <w:rFonts w:ascii="Times New Roman" w:cs="Times New Roman" w:eastAsia="Times New Roman" w:hAnsi="Times New Roman"/>
                <w:sz w:val="18"/>
                <w:szCs w:val="18"/>
                <w:color w:val="auto"/>
              </w:rPr>
              <w:t>Three Months Ended March 31,</w:t>
            </w:r>
          </w:p>
        </w:tc>
      </w:tr>
      <w:tr>
        <w:trPr>
          <w:trHeight w:val="234"/>
        </w:trPr>
        <w:tc>
          <w:tcPr>
            <w:tcW w:w="7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60" w:type="dxa"/>
            <w:vAlign w:val="bottom"/>
          </w:tcPr>
          <w:p>
            <w:pPr>
              <w:jc w:val="right"/>
              <w:ind w:right="690"/>
              <w:spacing w:after="0"/>
              <w:rPr>
                <w:sz w:val="20"/>
                <w:szCs w:val="20"/>
                <w:color w:val="auto"/>
              </w:rPr>
            </w:pPr>
            <w:r>
              <w:rPr>
                <w:rFonts w:ascii="Times New Roman" w:cs="Times New Roman" w:eastAsia="Times New Roman" w:hAnsi="Times New Roman"/>
                <w:sz w:val="18"/>
                <w:szCs w:val="18"/>
                <w:color w:val="auto"/>
              </w:rPr>
              <w:t>2025</w:t>
            </w:r>
          </w:p>
        </w:tc>
        <w:tc>
          <w:tcPr>
            <w:tcW w:w="560" w:type="dxa"/>
            <w:vAlign w:val="bottom"/>
          </w:tcPr>
          <w:p>
            <w:pPr>
              <w:spacing w:after="0"/>
              <w:rPr>
                <w:sz w:val="20"/>
                <w:szCs w:val="20"/>
                <w:color w:val="auto"/>
              </w:rPr>
            </w:pPr>
          </w:p>
        </w:tc>
        <w:tc>
          <w:tcPr>
            <w:tcW w:w="108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2024</w:t>
            </w:r>
          </w:p>
        </w:tc>
      </w:tr>
      <w:tr>
        <w:trPr>
          <w:trHeight w:val="481"/>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 net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382,653</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368,872</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188,221</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162,038</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Reported Gross Profit</w:t>
            </w:r>
          </w:p>
        </w:tc>
        <w:tc>
          <w:tcPr>
            <w:tcW w:w="280" w:type="dxa"/>
            <w:vAlign w:val="bottom"/>
          </w:tcPr>
          <w:p>
            <w:pPr>
              <w:spacing w:after="0"/>
              <w:rPr>
                <w:sz w:val="18"/>
                <w:szCs w:val="18"/>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194,432</w:t>
            </w:r>
          </w:p>
        </w:tc>
        <w:tc>
          <w:tcPr>
            <w:tcW w:w="560" w:type="dxa"/>
            <w:vAlign w:val="bottom"/>
          </w:tcPr>
          <w:p>
            <w:pPr>
              <w:spacing w:after="0"/>
              <w:rPr>
                <w:sz w:val="18"/>
                <w:szCs w:val="18"/>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206,834</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Structural optimization charges</w:t>
            </w:r>
          </w:p>
        </w:tc>
        <w:tc>
          <w:tcPr>
            <w:tcW w:w="28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4,276</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3,320</w:t>
            </w:r>
          </w:p>
        </w:tc>
      </w:tr>
      <w:tr>
        <w:trPr>
          <w:trHeight w:val="229"/>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Acquisition, divestiture and integration-related charges</w:t>
            </w:r>
          </w:p>
        </w:tc>
        <w:tc>
          <w:tcPr>
            <w:tcW w:w="28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671</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50</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Boston Recall/Braintree Transition</w:t>
            </w:r>
          </w:p>
        </w:tc>
        <w:tc>
          <w:tcPr>
            <w:tcW w:w="28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14,386</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8,210</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EU Medical Device Regulation</w:t>
            </w:r>
          </w:p>
        </w:tc>
        <w:tc>
          <w:tcPr>
            <w:tcW w:w="280" w:type="dxa"/>
            <w:vAlign w:val="bottom"/>
          </w:tcPr>
          <w:p>
            <w:pPr>
              <w:spacing w:after="0"/>
              <w:rPr>
                <w:sz w:val="19"/>
                <w:szCs w:val="19"/>
                <w:color w:val="auto"/>
              </w:rPr>
            </w:pP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1,375</w:t>
            </w:r>
          </w:p>
        </w:tc>
        <w:tc>
          <w:tcPr>
            <w:tcW w:w="560" w:type="dxa"/>
            <w:vAlign w:val="bottom"/>
          </w:tcPr>
          <w:p>
            <w:pPr>
              <w:spacing w:after="0"/>
              <w:rPr>
                <w:sz w:val="19"/>
                <w:szCs w:val="19"/>
                <w:color w:val="auto"/>
              </w:rPr>
            </w:pP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1,441</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 amortization expense</w:t>
            </w:r>
          </w:p>
        </w:tc>
        <w:tc>
          <w:tcPr>
            <w:tcW w:w="28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22,769</w:t>
            </w:r>
          </w:p>
        </w:tc>
        <w:tc>
          <w:tcPr>
            <w:tcW w:w="5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17,591</w:t>
            </w:r>
          </w:p>
        </w:tc>
      </w:tr>
      <w:tr>
        <w:trPr>
          <w:trHeight w:val="218"/>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Profit</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237,909</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237,446</w:t>
            </w:r>
          </w:p>
        </w:tc>
      </w:tr>
      <w:tr>
        <w:trPr>
          <w:trHeight w:val="230"/>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382,653</w:t>
            </w: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368,872</w:t>
            </w:r>
          </w:p>
        </w:tc>
      </w:tr>
      <w:tr>
        <w:trPr>
          <w:trHeight w:val="234"/>
        </w:trPr>
        <w:tc>
          <w:tcPr>
            <w:tcW w:w="7580" w:type="dxa"/>
            <w:vAlign w:val="bottom"/>
          </w:tcPr>
          <w:p>
            <w:pPr>
              <w:spacing w:after="0"/>
              <w:rPr>
                <w:sz w:val="20"/>
                <w:szCs w:val="20"/>
                <w:color w:val="auto"/>
              </w:rPr>
            </w:pPr>
            <w:r>
              <w:rPr>
                <w:rFonts w:ascii="Times New Roman" w:cs="Times New Roman" w:eastAsia="Times New Roman" w:hAnsi="Times New Roman"/>
                <w:sz w:val="18"/>
                <w:szCs w:val="18"/>
                <w:color w:val="auto"/>
              </w:rPr>
              <w:t>Adjusted Gross Margin</w:t>
            </w:r>
          </w:p>
        </w:tc>
        <w:tc>
          <w:tcPr>
            <w:tcW w:w="280" w:type="dxa"/>
            <w:vAlign w:val="bottom"/>
          </w:tcPr>
          <w:p>
            <w:pPr>
              <w:spacing w:after="0"/>
              <w:rPr>
                <w:sz w:val="20"/>
                <w:szCs w:val="20"/>
                <w:color w:val="auto"/>
              </w:rPr>
            </w:pPr>
          </w:p>
        </w:tc>
        <w:tc>
          <w:tcPr>
            <w:tcW w:w="136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62.2 %</w:t>
            </w:r>
          </w:p>
        </w:tc>
        <w:tc>
          <w:tcPr>
            <w:tcW w:w="56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64.4 %</w:t>
            </w:r>
          </w:p>
        </w:tc>
      </w:tr>
    </w:tbl>
    <w:p>
      <w:pPr>
        <w:spacing w:after="0" w:line="1" w:lineRule="exact"/>
        <w:rPr>
          <w:sz w:val="20"/>
          <w:szCs w:val="20"/>
          <w:color w:val="auto"/>
        </w:rPr>
      </w:pPr>
    </w:p>
    <w:sectPr>
      <w:pgSz w:w="11900" w:h="16838" w:orient="portrait"/>
      <w:cols w:equalWidth="0" w:num="1">
        <w:col w:w="11220"/>
      </w:cols>
      <w:pgMar w:left="320" w:top="113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
      <w:numFmt w:val="bullet"/>
      <w:start w:val="1"/>
    </w:lvl>
  </w:abstractNum>
  <w:abstractNum w:abstractNumId="9">
    <w:nsid w:val="140E0F76"/>
    <w:multiLevelType w:val="hybridMultilevel"/>
    <w:lvl w:ilvl="0">
      <w:lvlJc w:val="left"/>
      <w:lvlText w:val="(%1)"/>
      <w:numFmt w:val="decimal"/>
      <w:start w:val="609"/>
    </w:lvl>
  </w:abstractNum>
  <w:abstractNum w:abstractNumId="10">
    <w:nsid w:val="3352255A"/>
    <w:multiLevelType w:val="hybridMultilevel"/>
    <w:lvl w:ilvl="0">
      <w:lvlJc w:val="left"/>
      <w:lvlText w:val="(%1)"/>
      <w:numFmt w:val="decimal"/>
      <w:start w:val="609"/>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lowerLetter"/>
      <w:start w:val="1"/>
    </w:lvl>
  </w:abstractNum>
  <w:abstractNum w:abstractNumId="13">
    <w:nsid w:val="7FDCC233"/>
    <w:multiLevelType w:val="hybridMultilevel"/>
    <w:lvl w:ilvl="0">
      <w:lvlJc w:val="left"/>
      <w:lvlText w:val="%1)"/>
      <w:numFmt w:val="lowerLetter"/>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2025-05-05T05:49:40Z</dcterms:created>
  <dcterms:modified xsi:type="dcterms:W3CDTF">2025-05-05T05:49:40Z</dcterms:modified>
</cp:coreProperties>
</file>