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7"/>
        </w:rPr>
      </w:pPr>
      <w:r>
        <w:rPr>
          <w:rFonts w:ascii="Times New Roman;serif" w:hAnsi="Times New Roman;serif"/>
          <w:b w:val="false"/>
          <w:color w:val="000000"/>
          <w:sz w:val="27"/>
        </w:rPr>
        <w:t xml:space="preserve">Washington, D.C. 20549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before="0" w:after="0"/>
        <w:jc w:val="both"/>
        <w:rPr/>
      </w:pPr>
      <w:r>
        <w:rPr/>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 xml:space="preserve">October 30, 2025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INTEGRA LIFESCIENCES HOLDINGS CORPORATION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23"/>
        <w:gridCol w:w="1602"/>
        <w:gridCol w:w="1618"/>
        <w:gridCol w:w="758"/>
        <w:gridCol w:w="758"/>
        <w:gridCol w:w="766"/>
        <w:gridCol w:w="840"/>
        <w:gridCol w:w="840"/>
        <w:gridCol w:w="1200"/>
      </w:tblGrid>
      <w:tr>
        <w:trPr/>
        <w:tc>
          <w:tcPr>
            <w:tcW w:w="1823"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0-26224</w:t>
            </w:r>
          </w:p>
        </w:tc>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51-0317849</w:t>
            </w:r>
          </w:p>
        </w:tc>
      </w:tr>
      <w:tr>
        <w:trPr/>
        <w:tc>
          <w:tcPr>
            <w:tcW w:w="5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Incorporation or Organization) </w:t>
            </w:r>
          </w:p>
        </w:tc>
        <w:tc>
          <w:tcPr>
            <w:tcW w:w="2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1100 Campus Road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Princeton, NJ 08540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(Zip Code) </w:t>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(609) 275-0500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(Former name or former address, if changed since last report) </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both"/>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60" w:after="283"/>
        <w:jc w:val="left"/>
        <w:rPr/>
      </w:pPr>
      <w:r>
        <w:rPr>
          <w:rFonts w:ascii="Times New Roman;serif" w:hAnsi="Times New Roman;serif"/>
          <w:b w:val="false"/>
          <w:color w:val="000000"/>
          <w:sz w:val="18"/>
        </w:rPr>
        <w:t>Securities Registered Pursuant to Section12(b) of the Act:</w:t>
      </w:r>
      <w:r>
        <w:rPr>
          <w:color w:val="000000"/>
        </w:rPr>
        <w:t xml:space="preserve"> </w:t>
      </w:r>
    </w:p>
    <w:tbl>
      <w:tblPr>
        <w:tblW w:w="8052" w:type="dxa"/>
        <w:jc w:val="center"/>
        <w:tblInd w:w="0" w:type="dxa"/>
        <w:tblLayout w:type="fixed"/>
        <w:tblCellMar>
          <w:top w:w="28" w:type="dxa"/>
          <w:left w:w="28" w:type="dxa"/>
          <w:bottom w:w="28" w:type="dxa"/>
          <w:right w:w="28" w:type="dxa"/>
        </w:tblCellMar>
      </w:tblPr>
      <w:tblGrid>
        <w:gridCol w:w="1249"/>
        <w:gridCol w:w="1097"/>
        <w:gridCol w:w="1103"/>
        <w:gridCol w:w="454"/>
        <w:gridCol w:w="454"/>
        <w:gridCol w:w="456"/>
        <w:gridCol w:w="947"/>
        <w:gridCol w:w="947"/>
        <w:gridCol w:w="1345"/>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Exchange on Which Registered</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$.01 Per Share</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IART</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30, 2025, Integra LifeSciences Holdings Corporation (the “Company”) issued a press release announcing financial results for the quarter ended September 30, 2025 (the “Press Release”). A copy of the Press Release is attached as Exhibit 99.1 to this Current Report on Form 8-K and is incorporated by reference into this Item. In the financial statements portion of the Press Release, the Company has included a reconciliation of GAAP revenues to organic revenues for the quarters ended September 30, 2025 and 2024, GAAP net income to adjusted earnings before interest, taxes, depreciation and amortization (“EBITDA”) for the quarters ended September 30, 2025 and 2024, GAAP net income to adjusted net income for the quarters ended September 30, 2025 and 2024, GAAP gross profits to adjusted gross profits for the quarters ended September 30, 2025 and 2024, GAAP gross margin to adjusted gross margin for the quarters ended September 30, 2025 and 2024, GAAP earnings per diluted share to adjusted earnings per diluted share for the quarters ended September 30, 2025 and 2024, GAAP total debt to net debt for the quarters ended September 30, 2025 and December 31, 2024, and GAAP operating cash flow to free cash flow and adjusted free cash flow conversion used by management for the quarters and twelve months ended September 30, 2025 and 2024.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Press Release, the Company provided forward-looking guidance regarding adjusted earnings per diluted share but did not provide a reconciliation to GAAP earnings per share, because certain GAAP expense items are highly variable and management is unable to predict them with reasonable certainty and without unreasonable effort.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Item 2.02 of this Current Report on Form 8-K (including the Press Release and selected historical financial information) is being furnished and shall not be deemed “filed” for the purposes of Section 18 of the Securities Exchange Act of 1934, as amended (the “Exchange Act”), or otherwise subject to the liabilities of that Section. The information contained in Item 2.02 of this Current Report on Form 8-K (including the Press Release and selected historical financial information) shall not be incorporated by reference into any registration statement or other document pursuant to the Securities Act of 1933, as amended, or the Exchange Act, except as shall be expressly set forth by specific reference in any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Discussion of Adjusted Financial Measures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our GAAP results, we provide certain non-GAAP measures, including organic revenues, adjusted EBITDA, adjusted net income, adjusted gross profit, adjusted gross margin, adjusted earnings per diluted share, net debt, free cash flow and adjusted free cash flow conversion. Organic revenues consist of total revenues excluding the effects of currency exchange rates, revenues from current-period acquisitions and product divestitures. Adjusted EBITDA consists of GAAP net income excluding: (i) depreciation and amortization; (ii) other income (expense); (iii) interest income and expense; (iv) income tax expense (benefit); (v) impairment charges; and (vi) those operating expenses also excluded from adjusted net income. The measure of adjusted net income consists of GAAP net income, excluding: (i) structural optimization charges; (ii) divestiture, acquisition and integration-related charges; (iii) EU Medical Device Regulation-related charges; (iv) charges related to the manufacturing stoppage and voluntary global recall of all products manufactured at the Company’s Boston, Massachusetts facility and distributed between March 1, 2018 and May 22, 2023, as previously disclosed in the Company’s Current Report on Form 8-K filed with the Securities and Exchange Commission on May 23, 2023 (the “recall”) and the transition of Boston-related manufacturing operations to the Company’s Braintree, Massachusetts facility; (v) intangible asset amortization expense; (vi) income tax impact from adjustments; and (vii) impairment charges. The measure of adjusted gross margin is calculated by dividing adjusted gross profit by total revenues. Adjusted gross profit consists of GAAP gross profit adjusted for: (i) structural optimization charges; (ii) divestiture, acquisition and integration-related charges; (iii) charges related to the recall and the transition of Boston-related manufacturing operations to the Company’s Braintree, Massachusetts facility; (iv) EU Medical Device Regulation-related charges; and (v) intangible asset amortization expense. The adjusted earnings per diluted share measure is calculated by dividing adjusted net income attributable to diluted shares by diluted weighted average shares outstanding. The measure of net debt consists of GAAP total debt (excluding deferred financing costs) less short-term investments, cash and cash equivalents. The measure of free cash flow consists of GAAP net cash provided by operating activities less purchases of property and equipment. The adjusted free cash flow conversion measure is calculated by dividing free cash flow by adjusted net income.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believes that the presentation of organic revenues and the various adjusted EBITDA, adjusted net income, adjusted gross profit, adjusted gross margin, adjusted earnings per diluted share, net debt, free cash flow and adjusted free cash flow conversion measures provides important supplemental information to management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investors regarding financial and business trends relating to the Company's financial condition and results of operations. Management uses non-GAAP financial measures in the form of organic revenues, adjusted EBITDA, adjusted net income, adjusted gross profit, adjusted gross margin, adjusted earnings per diluted share, net debt, free cash flow and adjusted free cash flow conversion when evaluating operating performance because we believe that the inclusion or exclusion of the items described below, for which the amounts and/or timing may vary significantly depending upon the Company's divestiture, acquisition, integration, and restructuring activities, for which the amounts are non-cash in nature, or for which the amounts are not expected to recur at the same magnitude, provides a supplemental measure of our operating results that facilitates comparability of our financial condition and operating performance from period to period, against our business model objectives, and against other companies in our industry. We have chosen to provide this information to investors so they can analyze our operating results in the same way that management does and use this information in their assessment of our core business and the valuation of our Company. In addition, since the Company has historically provided non-GAAP guidance to the investment community, we believe the continued inclusion of non-GAAP guidance provides consistency in the information made available to investors.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Organic revenues, adjusted EBITDA, adjusted net income, adjusted gross profit, adjusted gross margin, adjusted earnings per diluted share, net debt, free cash flow and adjusted free cash flow conversion are significant measures used by management for purposes of:</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supplementing the financial results and forecasts reported to the Company's board of directors;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evaluating, managing and benchmarking the operating performance of the Company;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establishing internal operating budgets;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determining compensation under bonus or other incentive programs;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enhancing comparability from period to period;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comparing performance with internal forecasts and targeted business models;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evaluating and valuing potential acquisition candidates.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measure of organic revenues that we report reflects the change in total revenues for the quarter ended September 30, 2025 adjusted for the effects of currency exchange rates, revenues from acquisitions, and revenues from divested products on current period revenues. We provide this measure because changes in foreign currency exchange rates can distort our reduction favorably or unfavorably, depending upon the strength of the U.S. dollar in relation to the various foreign currencies in which we generate revenues. We generate significant revenues outside the United States in multiple foreign currencies. We believe this measure provides useful information to determine the success of our international selling organizations in increasing sales of products in their local currencies without regard to fluctuations in currency exchanges rates, which we do not control. Additionally, significant divestitures and acquisitions can distort our current period revenues when compared to prior periods.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measures of adjusted net income and adjusted gross profit reflect GAAP net income and GAAP gross profit, respectively, each adjusted for one or more of the following items, as applicable:</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u w:val="single"/>
        </w:rPr>
        <w:t>Structural optimization charges.</w:t>
      </w:r>
      <w:r>
        <w:rPr>
          <w:color w:val="000000"/>
        </w:rPr>
        <w:t xml:space="preserve"> </w:t>
      </w:r>
      <w:r>
        <w:rPr>
          <w:rFonts w:ascii="Times New Roman;serif" w:hAnsi="Times New Roman;serif"/>
          <w:b w:val="false"/>
          <w:color w:val="000000"/>
          <w:sz w:val="20"/>
        </w:rPr>
        <w:t>These charges include employee severance and other costs associated with exit or disposal of facilities, costs related to transferring manufacturing and/or distribution activities to different locations, and rationalization or enhancement of our organization, existing manufacturing, distribution, administrative, functional and commercial infrastructure. Some of these cost-saving and efficiency-driven activities are identified as opportunities in connection with acquisitions that provide the Company with additional capacity or economies of scale. Although recurring in nature, given management's ongoing review of the efficiency of our organization and structure, including manufacturing, distribution and administrative facilities and operations, management excludes these items when evaluating the operating performance of the Company because the frequency and amount of such charges vary significantly based on the timing and magnitude of the Company's rationalization activities and are, in some cases, dependent upon opportunities identified in acquisitions, which also vary in frequency and magnitude.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u w:val="single"/>
        </w:rPr>
        <w:t>Acquisition, divestiture and integration-related charges.</w:t>
      </w:r>
      <w:r>
        <w:rPr>
          <w:color w:val="000000"/>
        </w:rPr>
        <w:t xml:space="preserve"> </w:t>
      </w:r>
      <w:r>
        <w:rPr>
          <w:rFonts w:ascii="Times New Roman;serif" w:hAnsi="Times New Roman;serif"/>
          <w:b w:val="false"/>
          <w:color w:val="000000"/>
          <w:sz w:val="20"/>
          <w:shd w:fill="FFFFFF" w:val="clear"/>
        </w:rPr>
        <w:t xml:space="preserve">Acquisition, divestiture and integration-related charges include (i) inventory fair value purchase accounting adjustments, (ii) changes in the fair value of contingent consideration after the acquisition date, (iii) costs related to acquisition integration, including systems, operations, retention and severance, (iv) legal, accounting, banking and other outside consultants expenses directly related to acquisitions or divestitures, and (v) gain or loss on sale of business and related costs to complete the divestiture of business. Although recurring, given the ongoing character of our acquisitions and divestitures, these charges are not factored into the evaluation of our performance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management after completion because they are of a temporary nature, they are not related to our core operating performance and the frequency and amount of such charges vary significantly based on the timing and magnitude of our acquisition and divestiture transactions as well as the level of inventory on hand at the time of acquisition.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u w:val="single"/>
        </w:rPr>
        <w:t>EU Medical Device Regulation charges</w:t>
      </w:r>
      <w:r>
        <w:rPr>
          <w:rFonts w:ascii="Times New Roman;serif" w:hAnsi="Times New Roman;serif"/>
          <w:b w:val="false"/>
          <w:color w:val="000000"/>
          <w:sz w:val="20"/>
        </w:rPr>
        <w:t>. These charges represent costs specific to complying with the medical device reporting regulations and other requirements of the European Union’s regulation for medical devices. Management excludes this item when evaluating the Company’s operating performance because these costs incurred are not reflective of its ongoing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u w:val="single"/>
        </w:rPr>
        <w:t>Boston Recall/Braintree transition charges</w:t>
      </w:r>
      <w:r>
        <w:rPr>
          <w:rFonts w:ascii="Times New Roman;serif" w:hAnsi="Times New Roman;serif"/>
          <w:b w:val="false"/>
          <w:color w:val="000000"/>
          <w:sz w:val="20"/>
        </w:rPr>
        <w:t xml:space="preserve">. These charges represent costs, including inventory write-offs, idle capacity charges and charges related to the transition of Boston-related manufacturing operations to the Company’s Braintree, Massachusetts facility, incurred in connection with the recall. Management excludes this item when evaluating the Company’s operating performance because of the infrequent and/or large scale nature of these activities.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u w:val="single"/>
        </w:rPr>
        <w:t>Intangible asset amortization expense.</w:t>
      </w:r>
      <w:r>
        <w:rPr>
          <w:color w:val="000000"/>
        </w:rPr>
        <w:t xml:space="preserve"> </w:t>
      </w:r>
      <w:r>
        <w:rPr>
          <w:rFonts w:ascii="Times New Roman;serif" w:hAnsi="Times New Roman;serif"/>
          <w:b w:val="false"/>
          <w:color w:val="000000"/>
          <w:sz w:val="20"/>
        </w:rPr>
        <w:t>Management excludes this item when evaluating the Company's operating performance because it is a non-cash expense.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u w:val="single"/>
        </w:rPr>
        <w:t>Income tax impact from adjustments.</w:t>
      </w:r>
      <w:r>
        <w:rPr>
          <w:color w:val="000000"/>
        </w:rPr>
        <w:t xml:space="preserve"> </w:t>
      </w:r>
      <w:r>
        <w:rPr>
          <w:rFonts w:ascii="Times New Roman;serif" w:hAnsi="Times New Roman;serif"/>
          <w:b w:val="false"/>
          <w:color w:val="000000"/>
          <w:sz w:val="20"/>
        </w:rPr>
        <w:t>This item represents adjustments to income tax expense for the amount of additional tax expense that the Company estimates that it would record if it used non-GAAP results instead of GAAP results in the calculation of its tax provision, based on the statutory rate applicable to jurisdictions in which the above non-GAAP adjustments relate.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u w:val="single"/>
        </w:rPr>
        <w:t>Impairment charges.</w:t>
      </w:r>
      <w:r>
        <w:rPr>
          <w:color w:val="000000"/>
        </w:rPr>
        <w:t xml:space="preserve"> </w:t>
      </w:r>
      <w:r>
        <w:rPr>
          <w:rFonts w:ascii="Times New Roman;serif" w:hAnsi="Times New Roman;serif"/>
          <w:b w:val="false"/>
          <w:color w:val="000000"/>
          <w:sz w:val="20"/>
        </w:rPr>
        <w:t>These charges represent the impairment of goodwill due to the increased risk to the Company’s future results of operations from a number of factors, including recent tariff changes that have created broad economic uncertainty and the impact of quality, operational, and supply issues that have had a negative impact on the Company’s market capitalization. Management excludes this item when evaluating the Company's operating performance because it is a non-cash expense.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Press Release, the Company provided forward-looking guidance regarding adjusted earnings per diluted share but did not provide a reconciliation to GAAP earnings per share, because certain GAAP expense items are highly variable and management is unable to predict them with reasonable certainty and without unreasonable effort. Specifically, the financial impact and timing of divestitures, acquisitions, integrations, structural optimization, efforts to comply with the EU Medical Device Regulation, and income tax impact from adjustments are uncertain, depend on various dynamic factors and are not reasonably ascertainable at this time. These expense items could have a material impact on GAAP results.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Organic revenues, adjusted EBITDA, adjusted net income, adjusted gross profit, adjusted gross margin, adjusted earnings per diluted share, net debt, free cash flow and adjusted free cash flow conversion are not calculated in accordance with GAAP, and should be considered supplemental to, and not as a substitute for, or superior to, financial measures calculated in accordance with GAAP. Non-GAAP financial measures have limitations in that they do not reflect all of the revenues, costs or benefits associated with the operations of the Company's business as determined in accordance with GAAP. As a result, you should not consider these measures in isolation or as a substitute for analysis of the Company's results as reported under GAAP. The Company expects to continue to acquire businesses and product lines and to incur expenses of a nature similar to many of the non-GAAP adjustments described above, and exclusion of these items from its adjusted financial measures should not be construed as an inference that all of these revenue adjustments or costs are unusual, infrequent or non-recurring. Some of the limitations in relying on the adjusted financial measures are:</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Company periodically acquires other companies or businesses, and we expect to continue to incur acquisition-related expenses and charges in the future. These costs can directly impact the amount of the Company's available funds or could include costs for aborted deals which may be significant and reduce GAAP net income.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All of the adjustments to GAAP net income have been tax affected at the Company's actual tax rates. Depending on the nature of the adjustments and the tax treatment of the underlying items, the effective tax rate related to adjusted net income could differ significantly from the effective tax rate related to GAAP net income.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financial tables portion of the Press Release, the Company has included reconciliations of GAAP reported revenues to organic revenues, GAAP net income to adjusted EBITDA, GAAP net income to adjusted net income, GAAP gross profit to adjusted gross profit, GAAP gross margin to adjusted gross margin, and GAAP earnings per diluted share to adjusted earnings per diluted share each for the quarters ended September 30, 2025 and 2024. The Company has included reconciliations of GAAP operating cash flow to free cash flow and adjusted free cash flow conversion for the quarters and twelve months ended September 30, 2025 and 2024. The Company has included a reconciliation of GAAP total debt to net debt for the quarters ended September 30, 2025 and December 31, 2024.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99.1</w:t>
      </w:r>
      <w:hyperlink w:anchor="ex991-q32025earningsrelease.htm">
        <w:r>
          <w:rPr>
            <w:rStyle w:val="InternetLink"/>
            <w:color w:val="0000FF"/>
            <w:u w:val="single"/>
          </w:rPr>
          <w:t xml:space="preserve"> </w:t>
        </w:r>
      </w:hyperlink>
      <w:hyperlink w:anchor="ex991-q32025earningsrelease.htm">
        <w:r>
          <w:rPr>
            <w:rStyle w:val="InternetLink"/>
            <w:rFonts w:ascii="Times New Roman;serif" w:hAnsi="Times New Roman;serif"/>
            <w:b w:val="false"/>
            <w:color w:val="0000FF"/>
            <w:sz w:val="20"/>
            <w:u w:val="single"/>
          </w:rPr>
          <w:t xml:space="preserve">Press Release with attachments, dated October </w:t>
        </w:r>
      </w:hyperlink>
      <w:hyperlink w:anchor="ex991-q32025earningsrelease.htm">
        <w:r>
          <w:rPr>
            <w:rStyle w:val="InternetLink"/>
          </w:rPr>
          <w:t>30</w:t>
        </w:r>
      </w:hyperlink>
      <w:hyperlink w:anchor="ex991-q32025earningsrelease.htm">
        <w:r>
          <w:rPr>
            <w:rStyle w:val="InternetLink"/>
          </w:rPr>
          <w:t>, 202</w:t>
        </w:r>
      </w:hyperlink>
      <w:hyperlink w:anchor="ex991-q32025earningsrelease.htm">
        <w:r>
          <w:rPr>
            <w:rStyle w:val="InternetLink"/>
          </w:rPr>
          <w:t>5</w:t>
        </w:r>
      </w:hyperlink>
      <w:hyperlink w:anchor="ex991-q32025earningsrelease.htm">
        <w:r>
          <w:rPr>
            <w:rStyle w:val="InternetLink"/>
          </w:rPr>
          <w:t>, issued by Integra LifeSciences Holdings Corporation</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104 Cover Page Interactive Data File (embedded within the inline XRBL document)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before="0" w:after="0"/>
        <w:jc w:val="both"/>
        <w:rPr/>
      </w:pPr>
      <w:r>
        <w:rPr/>
      </w:r>
    </w:p>
    <w:tbl>
      <w:tblPr>
        <w:tblW w:w="8674" w:type="dxa"/>
        <w:jc w:val="left"/>
        <w:tblInd w:w="0" w:type="dxa"/>
        <w:tblLayout w:type="fixed"/>
        <w:tblCellMar>
          <w:top w:w="28" w:type="dxa"/>
          <w:left w:w="28" w:type="dxa"/>
          <w:bottom w:w="28" w:type="dxa"/>
          <w:right w:w="28" w:type="dxa"/>
        </w:tblCellMar>
      </w:tblPr>
      <w:tblGrid>
        <w:gridCol w:w="726"/>
        <w:gridCol w:w="640"/>
        <w:gridCol w:w="643"/>
        <w:gridCol w:w="742"/>
        <w:gridCol w:w="742"/>
        <w:gridCol w:w="742"/>
        <w:gridCol w:w="1296"/>
        <w:gridCol w:w="1296"/>
        <w:gridCol w:w="1847"/>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LIFESCIENCES HOLDINGS CORPORATION</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30, 2025</w:t>
            </w:r>
          </w:p>
        </w:tc>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Lea Knight     </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 Knight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ind w:left="0" w:right="0" w:hanging="558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i/>
          <w:color w:val="000000"/>
          <w:sz w:val="32"/>
        </w:rPr>
      </w:pPr>
      <w:r>
        <w:rPr>
          <w:rFonts w:ascii="Times New Roman;serif" w:hAnsi="Times New Roman;serif"/>
          <w:b w:val="false"/>
          <w:i/>
          <w:color w:val="000000"/>
          <w:sz w:val="32"/>
        </w:rPr>
        <w:t>News Release</w:t>
      </w:r>
    </w:p>
    <w:p>
      <w:pPr>
        <w:pStyle w:val="TextBody"/>
        <w:bidi w:val="0"/>
        <w:spacing w:before="0" w:after="200"/>
        <w:jc w:val="left"/>
        <w:rPr/>
      </w:pPr>
      <w:r>
        <w:rPr/>
      </w:r>
    </w:p>
    <w:p>
      <w:pPr>
        <w:pStyle w:val="TextBody"/>
        <w:bidi w:val="0"/>
        <w:spacing w:lineRule="auto" w:line="288" w:before="100" w:after="240"/>
        <w:jc w:val="center"/>
        <w:rPr>
          <w:rFonts w:ascii="Times New Roman;serif" w:hAnsi="Times New Roman;serif"/>
          <w:b/>
          <w:i/>
          <w:color w:val="000000"/>
          <w:sz w:val="28"/>
        </w:rPr>
      </w:pPr>
      <w:r>
        <w:rPr>
          <w:rFonts w:ascii="Times New Roman;serif" w:hAnsi="Times New Roman;serif"/>
          <w:b/>
          <w:i/>
          <w:color w:val="000000"/>
          <w:sz w:val="28"/>
        </w:rPr>
        <w:t>Integra LifeSciences Reports Third Quarter 2025 Financial Results</w:t>
      </w:r>
    </w:p>
    <w:p>
      <w:pPr>
        <w:pStyle w:val="TextBody"/>
        <w:bidi w:val="0"/>
        <w:spacing w:lineRule="auto" w:line="268" w:before="0" w:after="0"/>
        <w:jc w:val="left"/>
        <w:rPr/>
      </w:pPr>
      <w:r>
        <w:rPr>
          <w:rFonts w:ascii="Times New Roman;serif" w:hAnsi="Times New Roman;serif"/>
          <w:b w:val="false"/>
          <w:color w:val="000000"/>
          <w:sz w:val="22"/>
        </w:rPr>
        <w:t xml:space="preserve">PRINCETON, N.J., October 30, 2025 - </w:t>
      </w:r>
      <w:r>
        <w:rPr>
          <w:rFonts w:ascii="Times New Roman;serif" w:hAnsi="Times New Roman;serif"/>
          <w:b w:val="false"/>
          <w:color w:val="0000FF"/>
          <w:sz w:val="22"/>
          <w:u w:val="single"/>
        </w:rPr>
        <w:t>Integra LifeSciences Holdings Corporation</w:t>
      </w:r>
      <w:r>
        <w:rPr>
          <w:color w:val="000000"/>
        </w:rPr>
        <w:t xml:space="preserve"> </w:t>
      </w:r>
      <w:r>
        <w:rPr>
          <w:rFonts w:ascii="Times New Roman;serif" w:hAnsi="Times New Roman;serif"/>
          <w:b w:val="false"/>
          <w:color w:val="000000"/>
          <w:sz w:val="22"/>
        </w:rPr>
        <w:t>(Nasdaq: IART), a leading global medical technology company, today reported financial results for the third quarter ending September 30, 2025.</w:t>
      </w:r>
    </w:p>
    <w:p>
      <w:pPr>
        <w:pStyle w:val="TextBody"/>
        <w:bidi w:val="0"/>
        <w:spacing w:before="100" w:after="200"/>
        <w:jc w:val="left"/>
        <w:rPr/>
      </w:pPr>
      <w:r>
        <w:rPr/>
      </w:r>
    </w:p>
    <w:p>
      <w:pPr>
        <w:pStyle w:val="TextBody"/>
        <w:bidi w:val="0"/>
        <w:spacing w:lineRule="auto" w:line="288" w:before="100" w:after="200"/>
        <w:jc w:val="left"/>
        <w:rPr/>
      </w:pPr>
      <w:r>
        <w:rPr>
          <w:rFonts w:ascii="Times New Roman;serif" w:hAnsi="Times New Roman;serif"/>
          <w:b/>
          <w:color w:val="000000"/>
          <w:sz w:val="22"/>
        </w:rPr>
        <w:t>Third Quarter 2025 Highlights</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Third quarter revenues of $402.1 million increased 5.6% on a reported basis and 5.0% on an organic basis compared to the prior year.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Third quarter GAAP earnings per diluted share of $(0.07), compared to $(0.14) in the prior year. </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Adjusted earnings per diluted share of $0.54, compared to $0.41 in the prior year.</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Relaunch of PriMatrix® and Durepair® ahead of schedule, through dual sourcing supply strategy.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Appointed Dr. Raymond Turner, a board-certified neurosurgeon, fellowship-trained in endovascular neurosurgery, as chief medical officer.</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Revising 2025 guidance to reflect third quarter revenue and updated assumptions for the fourth quarter.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2"/>
        </w:rPr>
        <w:t xml:space="preserve">In the third quarter, we continued to see healthy demand across our portfolio. While revenue was impacted by two supply interruptions, we delivered strong profitability and cash flow through disciplined cost management and operational efficiencies.” said Mojdeh Poul, president and chief executive officer. “We are making progress in implementing our comprehensive plan to systematically strengthen the entirety of our supply chain and quality management system, and we remain confident in our strategy to improve overall performance and drive the Company’s transformation.” </w:t>
      </w:r>
    </w:p>
    <w:p>
      <w:pPr>
        <w:pStyle w:val="TextBody"/>
        <w:bidi w:val="0"/>
        <w:spacing w:lineRule="auto" w:line="276" w:before="100" w:after="200"/>
        <w:jc w:val="left"/>
        <w:rPr>
          <w:rFonts w:ascii="Times New Roman;serif" w:hAnsi="Times New Roman;serif"/>
          <w:b/>
          <w:color w:val="000000"/>
          <w:sz w:val="22"/>
        </w:rPr>
      </w:pPr>
      <w:r>
        <w:rPr>
          <w:rFonts w:ascii="Times New Roman;serif" w:hAnsi="Times New Roman;serif"/>
          <w:b/>
          <w:color w:val="000000"/>
          <w:sz w:val="22"/>
        </w:rPr>
        <w:t>Third Quarter 2025 Consolidated Performance</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2"/>
        </w:rPr>
      </w:pPr>
      <w:r>
        <w:rPr>
          <w:rFonts w:ascii="Times New Roman;serif" w:hAnsi="Times New Roman;serif"/>
          <w:b w:val="false"/>
          <w:color w:val="000000"/>
          <w:sz w:val="22"/>
        </w:rPr>
        <w:t xml:space="preserve">Total reported revenues of $402.1 million increased 5.6% on a reported basis and 5.0% on an organic basis compared to the prior year. </w:t>
      </w:r>
    </w:p>
    <w:p>
      <w:pPr>
        <w:pStyle w:val="TextBody"/>
        <w:bidi w:val="0"/>
        <w:spacing w:lineRule="auto" w:line="288" w:before="0" w:after="200"/>
        <w:jc w:val="left"/>
        <w:rPr>
          <w:rFonts w:ascii="Times New Roman;serif" w:hAnsi="Times New Roman;serif"/>
          <w:b w:val="false"/>
          <w:color w:val="000000"/>
          <w:sz w:val="22"/>
        </w:rPr>
      </w:pPr>
      <w:r>
        <w:rPr>
          <w:rFonts w:ascii="Times New Roman;serif" w:hAnsi="Times New Roman;serif"/>
          <w:b w:val="false"/>
          <w:color w:val="000000"/>
          <w:sz w:val="22"/>
        </w:rPr>
        <w:t>The Company reported GAAP gross margin of 51.5%, compared to 52.6% in the third quarter of 2024. Adjusted gross margin was 62.9%, compared to 63.0% in the prior year.</w:t>
      </w:r>
    </w:p>
    <w:p>
      <w:pPr>
        <w:pStyle w:val="TextBody"/>
        <w:bidi w:val="0"/>
        <w:spacing w:lineRule="auto" w:line="288" w:before="0" w:after="200"/>
        <w:jc w:val="left"/>
        <w:rPr>
          <w:rFonts w:ascii="Times New Roman;serif" w:hAnsi="Times New Roman;serif"/>
          <w:b w:val="false"/>
          <w:color w:val="000000"/>
          <w:sz w:val="22"/>
        </w:rPr>
      </w:pPr>
      <w:r>
        <w:rPr>
          <w:rFonts w:ascii="Times New Roman;serif" w:hAnsi="Times New Roman;serif"/>
          <w:b w:val="false"/>
          <w:color w:val="000000"/>
          <w:sz w:val="22"/>
        </w:rPr>
        <w:t xml:space="preserve">Adjusted EBITDA for the third quarter of 2025 was $78.5 million, or 19.5% of revenue, compared to $61.8, or 16.2% of revenue, in the prior year.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reported a GAAP net loss of $(5.4) million, or $(0.07) per diluted share, in the third quarter of 2025, compared to GAAP net loss of $(10.7) million, or $(0.14) per diluted share, in the prior year. </w:t>
      </w:r>
    </w:p>
    <w:p>
      <w:pPr>
        <w:pStyle w:val="TextBody"/>
        <w:bidi w:val="0"/>
        <w:spacing w:lineRule="auto" w:line="288" w:before="0" w:after="200"/>
        <w:jc w:val="left"/>
        <w:rPr>
          <w:rFonts w:ascii="Times New Roman;serif" w:hAnsi="Times New Roman;serif"/>
          <w:b w:val="false"/>
          <w:color w:val="000000"/>
          <w:sz w:val="22"/>
        </w:rPr>
      </w:pPr>
      <w:r>
        <w:rPr>
          <w:rFonts w:ascii="Times New Roman;serif" w:hAnsi="Times New Roman;serif"/>
          <w:b w:val="false"/>
          <w:color w:val="000000"/>
          <w:sz w:val="22"/>
        </w:rPr>
        <w:t>Adjusted net income for the third quarter of 2025 was $41.6 million, or $0.54 per diluted share, compared to $31.7 million, or $0.41 per diluted share, in the prior year.</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100" w:after="200"/>
        <w:jc w:val="left"/>
        <w:rPr>
          <w:rFonts w:ascii="Times New Roman;serif" w:hAnsi="Times New Roman;serif"/>
          <w:b/>
          <w:color w:val="000000"/>
          <w:sz w:val="22"/>
        </w:rPr>
      </w:pPr>
      <w:r>
        <w:rPr>
          <w:rFonts w:ascii="Times New Roman;serif" w:hAnsi="Times New Roman;serif"/>
          <w:b/>
          <w:color w:val="000000"/>
          <w:sz w:val="22"/>
        </w:rPr>
        <w:t>Third Quarter 2025 Segment Performance</w:t>
      </w:r>
    </w:p>
    <w:p>
      <w:pPr>
        <w:pStyle w:val="TextBody"/>
        <w:bidi w:val="0"/>
        <w:spacing w:lineRule="auto" w:line="288" w:before="0" w:after="200"/>
        <w:ind w:left="0" w:right="0" w:firstLine="720"/>
        <w:jc w:val="left"/>
        <w:rPr>
          <w:rFonts w:ascii="Times New Roman;serif" w:hAnsi="Times New Roman;serif"/>
          <w:b/>
          <w:color w:val="000000"/>
          <w:sz w:val="22"/>
        </w:rPr>
      </w:pPr>
      <w:r>
        <w:rPr>
          <w:rFonts w:ascii="Times New Roman;serif" w:hAnsi="Times New Roman;serif"/>
          <w:b/>
          <w:color w:val="000000"/>
          <w:sz w:val="22"/>
        </w:rPr>
        <w:t xml:space="preserve">Codman Specialty Surgical (~70% of Revenues)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Total revenues were $292.6 million, representing reported growth of 8.1% and organic growth of 7.1% compared to the third quarter of 2024.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Sales in Neurosurgery increased </w:t>
      </w:r>
      <w:r>
        <w:rPr>
          <w:rFonts w:ascii="Times New Roman;serif" w:hAnsi="Times New Roman;serif"/>
          <w:b w:val="false"/>
          <w:color w:val="000000"/>
          <w:sz w:val="24"/>
        </w:rPr>
        <w:t>13.3%</w:t>
      </w:r>
      <w:r>
        <w:rPr>
          <w:color w:val="000000"/>
        </w:rPr>
        <w:t xml:space="preserve"> </w:t>
      </w:r>
      <w:r>
        <w:rPr>
          <w:rFonts w:ascii="Times New Roman;serif" w:hAnsi="Times New Roman;serif"/>
          <w:b w:val="false"/>
          <w:color w:val="000000"/>
          <w:sz w:val="22"/>
        </w:rPr>
        <w:t>on an organic basis driven by growth in Certas® Plus; DuraGen®; CereLink®; Mayfield capital in addition to a favorable prior year comparison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Sales in Instruments declined (7.6</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2"/>
        </w:rPr>
        <w:t>on an organic basis due to order timing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ENT growth was flat due to growth in AERA® and TruDi® navigated disposables, offset by decline in sinuplasty balloons and the timing of capital sales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ind w:left="0" w:right="0" w:hanging="720"/>
        <w:jc w:val="left"/>
        <w:rPr>
          <w:rFonts w:ascii="Times New Roman;serif" w:hAnsi="Times New Roman;serif"/>
          <w:b/>
          <w:color w:val="000000"/>
          <w:sz w:val="22"/>
        </w:rPr>
      </w:pPr>
      <w:r>
        <w:rPr>
          <w:rFonts w:ascii="Times New Roman;serif" w:hAnsi="Times New Roman;serif"/>
          <w:b/>
          <w:color w:val="000000"/>
          <w:sz w:val="22"/>
        </w:rPr>
        <w:t>Tissue Technologies (~30% of Revenues)</w:t>
      </w:r>
    </w:p>
    <w:p>
      <w:pPr>
        <w:pStyle w:val="TextBody"/>
        <w:bidi w:val="0"/>
        <w:spacing w:before="0" w:after="0"/>
        <w:ind w:left="0" w:right="0" w:hanging="72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Total revenues were $109.5 million, representing a reported decline of (0.5)% and organic decline of (0.3)% compared to the third quarter of 2024. Key drivers for the quarter include: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Mid-single digit growth in wound reconstruction, driven by ~25% growth in Integra Skin enabled by improved supply and ~50% growth in DuraSorb®, partially offset by the impact of the Medihoney® recall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Sales in private label were down (</w:t>
      </w:r>
      <w:r>
        <w:rPr>
          <w:rFonts w:ascii="Times New Roman;serif" w:hAnsi="Times New Roman;serif"/>
          <w:b w:val="false"/>
          <w:color w:val="000000"/>
          <w:sz w:val="24"/>
        </w:rPr>
        <w:t>12.6%)</w:t>
      </w:r>
      <w:r>
        <w:rPr>
          <w:color w:val="000000"/>
        </w:rPr>
        <w:t xml:space="preserve"> </w:t>
      </w:r>
      <w:r>
        <w:rPr>
          <w:rFonts w:ascii="Times New Roman;serif" w:hAnsi="Times New Roman;serif"/>
          <w:b w:val="false"/>
          <w:color w:val="000000"/>
          <w:sz w:val="22"/>
        </w:rPr>
        <w:t>due to softer commercial demand experienced by a private label partner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Advancing our Priorities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Compliance Master Plan (CMP) Implementation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Strengthening quality systems to enable earlier issue detection and improved supply resiliency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Advancing remediation activities under disciplined PMO oversight</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Continued constructive engagement with the FDA on routine inspections as well as warning letter commitments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Operational and Execution Excellence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Braintree facility remains on track to resume production in June 2026, supporting the relaunch of SurgiMend</w:t>
      </w:r>
      <w:r>
        <w:rPr>
          <w:rFonts w:ascii="Times New Roman;serif" w:hAnsi="Times New Roman;serif"/>
          <w:b w:val="false"/>
          <w:color w:val="000000"/>
          <w:sz w:val="13"/>
        </w:rPr>
        <w:t xml:space="preserve">® </w:t>
      </w:r>
      <w:r>
        <w:rPr>
          <w:rFonts w:ascii="Times New Roman;serif" w:hAnsi="Times New Roman;serif"/>
          <w:b w:val="false"/>
          <w:color w:val="000000"/>
          <w:sz w:val="22"/>
        </w:rPr>
        <w:t>in the fourth quarter of 2026</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Relaunched PriMatrix and Durepair ahead of schedule, through dual sourcing supply strategy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Delivering on Our Financial Commitments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5% organic growth, with demand remaining strong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Delivered $0.54 adjusted EPS, above expectations</w:t>
      </w:r>
      <w:r>
        <w:rPr>
          <w:color w:val="000000"/>
        </w:rPr>
        <w:t xml:space="preserve">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Revising 2025 guidance to reflect third quarter revenue and updated assumptions for the fourth quarter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Margin expansion program on track to take out $25 to $30 million of cost in 2026 through productivity and efficiency initiatives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200"/>
        <w:jc w:val="left"/>
        <w:rPr>
          <w:rFonts w:ascii="Times New Roman;serif" w:hAnsi="Times New Roman;serif"/>
          <w:b/>
          <w:color w:val="000000"/>
          <w:sz w:val="22"/>
        </w:rPr>
      </w:pPr>
      <w:r>
        <w:rPr>
          <w:rFonts w:ascii="Times New Roman;serif" w:hAnsi="Times New Roman;serif"/>
          <w:b/>
          <w:color w:val="000000"/>
          <w:sz w:val="22"/>
        </w:rPr>
        <w:t>Balance Sheet, Cash Flow and Capital Allocation</w:t>
      </w:r>
    </w:p>
    <w:p>
      <w:pPr>
        <w:pStyle w:val="TextBody"/>
        <w:bidi w:val="0"/>
        <w:spacing w:lineRule="auto" w:line="268" w:before="0" w:after="0"/>
        <w:jc w:val="left"/>
        <w:rPr/>
      </w:pPr>
      <w:r>
        <w:rPr>
          <w:rFonts w:ascii="Times New Roman;serif" w:hAnsi="Times New Roman;serif"/>
          <w:b w:val="false"/>
          <w:color w:val="000000"/>
          <w:sz w:val="22"/>
        </w:rPr>
        <w:t xml:space="preserve">The Company generated cash flow from operations of $40.9 million in the quarter. Total balance sheet debt and net debt at the end of the quarter were $1.8 billion and $1.6 billion, respectively, and the consolidated total leverage ratio was </w:t>
      </w:r>
      <w:r>
        <w:rPr>
          <w:rFonts w:ascii="Times New Roman;serif" w:hAnsi="Times New Roman;serif"/>
          <w:b w:val="false"/>
          <w:color w:val="000000"/>
          <w:sz w:val="20"/>
        </w:rPr>
        <w:t>4.3</w:t>
      </w:r>
      <w:r>
        <w:rPr>
          <w:rFonts w:ascii="Times New Roman;serif" w:hAnsi="Times New Roman;serif"/>
          <w:b w:val="false"/>
          <w:color w:val="000000"/>
          <w:sz w:val="22"/>
        </w:rPr>
        <w:t>x.</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As of the end of the quarter, the Company had total liquidity of approximately $549.8 million, including $267.9 million in cash plus short-term investments and the remainder available under its revolving credit facility.</w:t>
      </w:r>
    </w:p>
    <w:p>
      <w:pPr>
        <w:pStyle w:val="TextBody"/>
        <w:bidi w:val="0"/>
        <w:spacing w:before="0" w:after="0"/>
        <w:jc w:val="left"/>
        <w:rPr/>
      </w:pPr>
      <w:r>
        <w:rPr/>
      </w:r>
    </w:p>
    <w:p>
      <w:pPr>
        <w:pStyle w:val="TextBody"/>
        <w:bidi w:val="0"/>
        <w:spacing w:lineRule="auto" w:line="268" w:before="0" w:after="200"/>
        <w:jc w:val="left"/>
        <w:rPr>
          <w:rFonts w:ascii="Times New Roman;serif" w:hAnsi="Times New Roman;serif"/>
          <w:b/>
          <w:color w:val="000000"/>
          <w:sz w:val="22"/>
        </w:rPr>
      </w:pPr>
      <w:r>
        <w:rPr>
          <w:rFonts w:ascii="Times New Roman;serif" w:hAnsi="Times New Roman;serif"/>
          <w:b/>
          <w:color w:val="000000"/>
          <w:sz w:val="22"/>
        </w:rPr>
        <w:t>2025 Outlook</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For the fourth quarter 2025, the Company expects reported revenues in the range of $420 million to $440 million, representing reported growth of (5.1%) to (0.6%) and organic growth of (5.9%) to (1.4%). The Company expects adjusted EPS in a range of $0.79 to $0.84 per share.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For the full year 2025, the Company is updating its revenue guidance range to $1.620 billion to $1.640 billion. The revenue range represents reported growth of 0.6% to 1.8% and organic growth of (1.6%) to (0.4%). The Company expects adjusted EPS in a range of $2.19 to $2.24 per share.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Company’s organic sales growth guidance for the fourth quarter and the full year excludes acquisitions and divestitures, as well as the effects of foreign currency. </w:t>
      </w:r>
    </w:p>
    <w:p>
      <w:pPr>
        <w:pStyle w:val="TextBody"/>
        <w:bidi w:val="0"/>
        <w:spacing w:before="0" w:after="0"/>
        <w:jc w:val="left"/>
        <w:rPr/>
      </w:pPr>
      <w:r>
        <w:rPr/>
      </w:r>
    </w:p>
    <w:p>
      <w:pPr>
        <w:pStyle w:val="TextBody"/>
        <w:bidi w:val="0"/>
        <w:spacing w:lineRule="auto" w:line="276" w:before="0" w:after="200"/>
        <w:jc w:val="left"/>
        <w:rPr>
          <w:rFonts w:ascii="Times New Roman;serif" w:hAnsi="Times New Roman;serif"/>
          <w:b/>
          <w:color w:val="000000"/>
          <w:sz w:val="22"/>
        </w:rPr>
      </w:pPr>
      <w:r>
        <w:rPr>
          <w:rFonts w:ascii="Times New Roman;serif" w:hAnsi="Times New Roman;serif"/>
          <w:b/>
          <w:color w:val="000000"/>
          <w:sz w:val="22"/>
        </w:rPr>
        <w:t>Conference Call and Presentation Available Online</w:t>
      </w:r>
    </w:p>
    <w:p>
      <w:pPr>
        <w:pStyle w:val="TextBody"/>
        <w:bidi w:val="0"/>
        <w:spacing w:lineRule="auto" w:line="276" w:before="0" w:after="0"/>
        <w:jc w:val="left"/>
        <w:rPr/>
      </w:pPr>
      <w:r>
        <w:rPr>
          <w:rFonts w:ascii="Times New Roman;serif" w:hAnsi="Times New Roman;serif"/>
          <w:b w:val="false"/>
          <w:color w:val="000000"/>
          <w:sz w:val="22"/>
        </w:rPr>
        <w:t>Integra has scheduled a conference call for 8:30 a.m. ET on Thursday, October 30, 2025, to discuss third quarter 2025 financial results and forward-looking financial guidance. The conference call will be hosted by Integra's senior management team and will be open to all listeners. Additional forward-looking information may be discussed in a question-and-answer session following the call. Integra's management team will reference a presentation during the conference call, which can be found on the Investor section of the website at</w:t>
      </w:r>
      <w:r>
        <w:rPr>
          <w:color w:val="0000FF"/>
        </w:rPr>
        <w:t xml:space="preserve"> </w:t>
      </w:r>
      <w:r>
        <w:rPr>
          <w:rFonts w:ascii="Times New Roman;serif" w:hAnsi="Times New Roman;serif"/>
          <w:b w:val="false"/>
          <w:color w:val="0000FF"/>
          <w:sz w:val="22"/>
          <w:u w:val="single"/>
        </w:rPr>
        <w:t>investor.integralife.com.</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 xml:space="preserve">A live webcast will be available on the Investors section of the Company’s website at investor.integralife.com. For those planning to participate on the call, register </w:t>
      </w:r>
      <w:r>
        <w:rPr>
          <w:rFonts w:ascii="Times New Roman;serif" w:hAnsi="Times New Roman;serif"/>
          <w:b w:val="false"/>
          <w:color w:val="3051F2"/>
          <w:sz w:val="22"/>
        </w:rPr>
        <w:t>here</w:t>
      </w:r>
      <w:r>
        <w:rPr>
          <w:color w:val="000000"/>
        </w:rPr>
        <w:t xml:space="preserve"> </w:t>
      </w:r>
      <w:r>
        <w:rPr>
          <w:rFonts w:ascii="Times New Roman;serif" w:hAnsi="Times New Roman;serif"/>
          <w:b w:val="false"/>
          <w:color w:val="000000"/>
          <w:sz w:val="22"/>
        </w:rPr>
        <w:t>to receive dial-in details and an individual pin. While not required, it is recommended to join 10 minutes prior to the event’s start. A webcast replay of the conference call will be available on the Investors section of the company website following the call.</w:t>
      </w:r>
    </w:p>
    <w:p>
      <w:pPr>
        <w:pStyle w:val="TextBody"/>
        <w:bidi w:val="0"/>
        <w:spacing w:before="0" w:after="12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About Integra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 xml:space="preserve">Integra LifeSciences (Nasdaq: IART) is a global medical technology leader dedicated to restoring lives. We are advancing transformational care through impactful innovation in neurosurgery, tissue reconstruction and surgical instrumentation, specialized fields that demand exceptional expertise and precision. Our portfolio of highly differentiated, gold-standard technologies are trusted by healthcare professionals to deliver life-saving care. For our latest news and information, visit </w:t>
      </w:r>
      <w:r>
        <w:rPr>
          <w:rFonts w:ascii="Times New Roman;serif" w:hAnsi="Times New Roman;serif"/>
          <w:b w:val="false"/>
          <w:color w:val="0000FF"/>
          <w:sz w:val="22"/>
          <w:u w:val="single"/>
        </w:rPr>
        <w:t>www.integralife.com.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before="0" w:after="0"/>
        <w:jc w:val="left"/>
        <w:rPr/>
      </w:pPr>
      <w:r>
        <w:rPr/>
      </w:r>
    </w:p>
    <w:p>
      <w:pPr>
        <w:pStyle w:val="TextBody"/>
        <w:bidi w:val="0"/>
        <w:spacing w:lineRule="auto" w:line="256"/>
        <w:jc w:val="left"/>
        <w:rPr/>
      </w:pPr>
      <w:r>
        <w:rPr>
          <w:rFonts w:ascii="Times New Roman;serif" w:hAnsi="Times New Roman;serif"/>
          <w:b w:val="false"/>
          <w:color w:val="000000"/>
          <w:sz w:val="22"/>
        </w:rPr>
        <w:t xml:space="preserve">This news release contains forward-looking statements within the meaning of the Private Securities Litigation Reform Act of 1995 that involve risks and uncertainties and reflect the Company's judgment as of the date of this release. All statements, other than statements of historical fact, are statements that could be deemed forward-looking statements. Some of these forward-looking </w:t>
      </w:r>
      <w:r>
        <w:rPr>
          <w:rFonts w:ascii="Times New Roman;serif" w:hAnsi="Times New Roman;serif"/>
          <w:b w:val="false"/>
          <w:color w:val="000000"/>
          <w:sz w:val="24"/>
        </w:rPr>
        <w:t>statements</w:t>
      </w:r>
      <w:r>
        <w:rPr>
          <w:color w:val="000000"/>
        </w:rPr>
        <w:t xml:space="preserve"> </w:t>
      </w:r>
      <w:r>
        <w:rPr>
          <w:rFonts w:ascii="Times New Roman;serif" w:hAnsi="Times New Roman;serif"/>
          <w:b w:val="false"/>
          <w:color w:val="000000"/>
          <w:sz w:val="22"/>
        </w:rPr>
        <w:t xml:space="preserve">may contain words like “will,” “believe,” “may,” “could,” “would,” “might,” “possible,” “should,” “expect,” “intend,” "forecast," "guidance," “plan,” “anticipate,” "target," or “continue,” the negative of these words, other terms of similar meaning or they may use future dates. Forward-looking statements contained in this news release include, but are not limited to, statements concerning: future financial performance, including projections for revenues, expected revenue growth (both reported and organic), GAAP and adjusted net income, GAAP and adjusted earnings per diluted share, non-GAAP adjustments such as divestiture, acquisition and integration-related charges, intangible asset amortization, structural optimization charges, EU Medical Device Regulation-related charges, charges related to the voluntary global recall of all products manufactured at the Company’s facility in Boston, Massachusetts and the transition of Boston-related manufacturing operations to the Company’s Braintree, Massachusetts facility, impairment charges, and income tax expense (benefit) related to non-GAAP adjustments and other items; estimates regarding the projected impact of tariffs or other changes in trade policy on the Company's business, financial condition and results of operations; and the Company’s expectations and plans with respect to business and operational performance, strategic initiatives,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left"/>
        <w:rPr/>
      </w:pPr>
      <w:r>
        <w:rPr>
          <w:rFonts w:ascii="Times New Roman;serif" w:hAnsi="Times New Roman;serif"/>
          <w:b w:val="false"/>
          <w:color w:val="000000"/>
          <w:sz w:val="22"/>
        </w:rPr>
        <w:t>capabilities, resources, product development, product availability and regulatory approvals, including expectations regarding the efficacy of the Company’s compliance master plan to improve the Company's quality systems. It is important to note that the Company’s goals and expectations are not predictions of actual performance. Such forward-looking statements involve risks and uncertainties that could cause actual results to differ materially from predicted or expected results. Such risks and uncertainties include, but are not limited, to the following: the ongoing and possible future effects of global challenges, including macroeconomic uncertainties, inflation, supply chain disruptions, trade regulation and tariffs, duties or other measures implemented by the U.S. or other countries, geopolitical conflicts, and U.S. and global recession concerns, on the Company’s customers and on the Company’s business, financial condition, results of operations and cash flows; the Company's ability to execute its operating plan effectively; the Company’s ability to successfully integrate Acclarent and other acquired businesses; the Company’s ability to achieve sales growth in a timely fashion; the Company's ability to manufacture and ship sufficient quantities of its products to meet its customers' demands; the ability of third-party suppliers to supply us with raw materials and finished products; the Company's ability to manage its direct sales channels effectively; the sales performance of third-party distributors on whom the Company relies to generate revenue for certain products and geographic regions; the Company's ability to access and maintain relationships with customers of acquired entities and businesses; physicians' willingness to adopt and third-party payors' willingness to provide or maintain reimbursement for the Company's recently launched, planned and existing products; initiatives launched by the Company's competitors; downward pricing pressures from customers; the Company's ability to secure regulatory approval for products in development; the Company's ability to remediate quality systems violations; difficulties in implementing the Company’s compliance master plan and realizing the benefits contemplated thereby within the anticipated timeframe, or at all; difficulties or delays in obtaining and maintaining required regulatory approvals related to the transition of the manufacturing to the Company’s Braintree manufacturing facility; the possibility that costs or difficulties related to building and the operationalization of the Braintree facility or the transition of manufacturing activities from the Company’s Boston facility to the Braintree facility will be greater than expected; fluctuations in hospitals' spending for capital equipment; uncertainties inherent in the development of new products and the enhancement of existing products, including FDA approval and/or clearance and other regulatory risks, technical risks, cost overruns and delays; the Company's ability to</w:t>
      </w:r>
      <w:r>
        <w:rPr>
          <w:color w:val="000000"/>
        </w:rPr>
        <w:t xml:space="preserve"> </w:t>
      </w:r>
      <w:r>
        <w:rPr>
          <w:rFonts w:ascii="Times New Roman;serif" w:hAnsi="Times New Roman;serif"/>
          <w:b w:val="false"/>
          <w:color w:val="000000"/>
          <w:sz w:val="22"/>
        </w:rPr>
        <w:t xml:space="preserve">comply with regulations regarding products of human origin and products containing materials derived from animal source; difficulties in controlling expenses, including costs to procure and manufacture the Company’s products; difficulties in implementing the Company’s profitability improvement initiative and realizing the benefits contemplated thereby within the anticipated timeframe, or at all; the ability of the Company to successfully manage leadership and organizational changes and the impact of changes in management or staff levels; the impact of goodwill and intangible asset impairment charges if future operating results of acquired businesses are significantly less than the results anticipated at the time of the acquisitions, the Company's ability to leverage its existing selling organizations and administrative infrastructure; the Company's ability to increase product sales and gross margins, and control non-product costs; the Company’s ability to achieve anticipated growth rates, margins and scale and execute its strategy generally; the amount and timing of divestiture, acquisition and integration-related costs; the geographic distribution of where the Company generates its taxable income; new U.S. and foreign government laws and regulations, and changes in existing laws, regulations and enforcement guidance, which affect areas of our operations including, but not limited to, those affecting the health care industry, including the EU Medical Device Regulation; the scope, duration and effect of U.S. and international governmental, regulatory, fiscal, monetary and public health responses to any future public health crises; fluctuations in foreign currency exchange rates; the amount of our bank borrowings outstanding and other factors influencing liquidity; potential negative impacts resulting from environmental, social and governance matters; and the economic, competitive, governmental, technological, and other risk factors and uncertainties identified under the heading “Risk Factors” included in Item 1A of Integra's Annual Report on Form 10-K for the year ended December 31, 2024 and information contained in subsequent filings with the Securities and Exchange Commission.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These forward-looking statements are made only as of the date hereof, and the Company undertakes no obligation to update or revise the forward-looking statements, whether as a result of new information, future events, or otherwise, except as otherwise required by law.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Discussion of Adjusted Financial Measures</w:t>
      </w:r>
    </w:p>
    <w:p>
      <w:pPr>
        <w:pStyle w:val="TextBody"/>
        <w:bidi w:val="0"/>
        <w:spacing w:lineRule="auto" w:line="288"/>
        <w:jc w:val="left"/>
        <w:rPr/>
      </w:pPr>
      <w:r>
        <w:rPr>
          <w:rFonts w:ascii="Times New Roman;serif" w:hAnsi="Times New Roman;serif"/>
          <w:b w:val="false"/>
          <w:color w:val="000000"/>
          <w:sz w:val="22"/>
        </w:rPr>
        <w:t>In addition to our GAAP results, we provide certain non-GAAP measures, including organic revenues, adjusted earnings before interest, taxes, depreciation and amortization (“EBITDA”), adjusted net income, adjusted gross margin, adjusted earnings per diluted share, and net debt.</w:t>
      </w:r>
      <w:r>
        <w:rPr>
          <w:color w:val="000000"/>
        </w:rPr>
        <w:t xml:space="preserve"> </w:t>
      </w:r>
      <w:r>
        <w:rPr>
          <w:rFonts w:ascii="Times New Roman;serif" w:hAnsi="Times New Roman;serif"/>
          <w:b w:val="false"/>
          <w:color w:val="000000"/>
          <w:sz w:val="22"/>
        </w:rPr>
        <w:t xml:space="preserve">Organic revenues consist of total revenues excluding the effects of currency exchange rates, revenues from current-period acquisitions and product divestitures. Adjusted EBITDA consists of GAAP net income excluding: (i) depreciation and amortization; (ii) other income (expense);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2"/>
        </w:rPr>
        <w:t>(iii) interest income and expense; (iv) income tax expense (benefit); (v) impairment charges; and (vi) those operating expenses also excluded from adjusted net income.</w:t>
      </w:r>
      <w:r>
        <w:rPr>
          <w:color w:val="000000"/>
        </w:rPr>
        <w:t xml:space="preserve"> </w:t>
      </w:r>
      <w:r>
        <w:rPr>
          <w:rFonts w:ascii="Times New Roman;serif" w:hAnsi="Times New Roman;serif"/>
          <w:b w:val="false"/>
          <w:color w:val="000000"/>
          <w:sz w:val="22"/>
        </w:rPr>
        <w:t>The measure of adjusted net income consists of GAAP net income, excluding: (i) structural optimization charges; (ii) divestiture, acquisition and integration-related charges; (iii) EU Medical Device Regulation-related charges; (iv) charges related to the manufacturing stoppage and voluntary global recall of all products manufactured at the Company’s Boston, Massachusetts facility and distributed between March 1, 2018 and May 22, 2023, as previously disclosed in the Company’s Current Report on Form 8-K filed with the Securities and Exchange Commission on May 23, 2023 (the “recall”) and the transition of Boston-related manufacturing operations to the Company’s Braintree, Massachusetts facility; (v) intangible asset amortization expense; (vi) income tax impact from adjustments; and (vii) impairment charges.</w:t>
      </w:r>
      <w:r>
        <w:rPr>
          <w:color w:val="000000"/>
        </w:rPr>
        <w:t xml:space="preserve"> </w:t>
      </w:r>
      <w:r>
        <w:rPr>
          <w:rFonts w:ascii="Times New Roman;serif" w:hAnsi="Times New Roman;serif"/>
          <w:b w:val="false"/>
          <w:color w:val="000000"/>
          <w:sz w:val="22"/>
        </w:rPr>
        <w:t>The measure of adjusted gross margin is calculated by dividing adjusted gross profit by total revenues. Adjusted gross profit consists of GAAP gross profit adjusted for: (i) structural optimization charges; (ii) divestiture, acquisition and integration-related charges; (iii) charges related to the recall and the transition of Boston-related manufacturing operations to the Company’s Braintree, Massachusetts facility; (iv) EU Medical Device Regulation-related charges; and (v) intangible asset amortization expense. The adjusted earnings per diluted share measure is calculated by dividing adjusted net income attributable to diluted shares by diluted weighted average shares outstanding.</w:t>
      </w:r>
      <w:r>
        <w:rPr>
          <w:color w:val="000000"/>
        </w:rPr>
        <w:t xml:space="preserve"> </w:t>
      </w:r>
      <w:r>
        <w:rPr>
          <w:rFonts w:ascii="Times New Roman;serif" w:hAnsi="Times New Roman;serif"/>
          <w:b w:val="false"/>
          <w:color w:val="000000"/>
          <w:sz w:val="22"/>
        </w:rPr>
        <w:t xml:space="preserve">The measure of net debt consists of GAAP total debt (excluding deferred financing costs) less short-term investments, cash and cash equivalents.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Reconciliations of GAAP revenues to organic revenues, GAAP net income to adjusted EBITDA, and adjusted net income, GAAP gross margin to adjusted gross margin,</w:t>
      </w:r>
      <w:r>
        <w:rPr>
          <w:color w:val="000000"/>
        </w:rPr>
        <w:t xml:space="preserve"> </w:t>
      </w:r>
      <w:r>
        <w:rPr>
          <w:rFonts w:ascii="Times New Roman;serif" w:hAnsi="Times New Roman;serif"/>
          <w:b w:val="false"/>
          <w:color w:val="000000"/>
          <w:sz w:val="22"/>
        </w:rPr>
        <w:t>GAAP total debt to net debt, and GAAP earnings per diluted share to adjusted earnings per diluted share all for the quarters ended September 30, 2025 and 2024.</w:t>
      </w:r>
      <w:r>
        <w:rPr>
          <w:color w:val="000000"/>
        </w:rPr>
        <w:t xml:space="preserve">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2"/>
        </w:rPr>
        <w:t>The Company is providing forward-looking guidance regarding adjusted earnings per diluted share but is not providing a reconciliation to GAAP earnings per share, because certain GAAP expense items are highly variable, and management is unable to predict them with reasonable certainty and without unreasonable effort. Specifically, the financial impact and timing of divestitures, acquisitions, integrations, structural optimization and efforts to comply with the EU Medical Device Regulation are uncertain, depend on various dynamic factors and are not reasonably ascertainable at this time. These expense items could have a material impact on GAAP results.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The Company believes that the presentation of organic revenues and the other non-GAAP measures provide important supplemental information to management and investors regarding financial and business trends relating to the Company's financial condition and results of operations.</w:t>
      </w:r>
      <w:r>
        <w:rPr>
          <w:color w:val="000000"/>
        </w:rPr>
        <w:t xml:space="preserve"> </w:t>
      </w:r>
      <w:r>
        <w:rPr>
          <w:rFonts w:ascii="Times New Roman;serif" w:hAnsi="Times New Roman;serif"/>
          <w:b w:val="false"/>
          <w:color w:val="000000"/>
          <w:sz w:val="22"/>
        </w:rPr>
        <w:t>For further information regarding why Integra believes that these non-GAAP financial measures provide useful information to investors, the specific manner in which management uses these measures, and some of the limitations associated with the use of these measures, please refer to the Company's Current Report on Form 8-K regarding this earnings press release filed today with the Securities and Exchange Commission. This Current Report on Form 8-K is available on the SEC's website at</w:t>
      </w:r>
      <w:r>
        <w:rPr>
          <w:color w:val="000000"/>
        </w:rPr>
        <w:t xml:space="preserve"> </w:t>
      </w:r>
      <w:r>
        <w:rPr>
          <w:rFonts w:ascii="Times New Roman;serif" w:hAnsi="Times New Roman;serif"/>
          <w:b w:val="false"/>
          <w:color w:val="000000"/>
          <w:sz w:val="22"/>
        </w:rPr>
        <w:t>www.sec.gov or on our website at www.integralife.com.</w:t>
      </w:r>
      <w:r>
        <w:rPr>
          <w:color w:val="000000"/>
        </w:rPr>
        <w:t xml:space="preserve">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Investor Relations Contact</w:t>
      </w:r>
      <w:r>
        <w:rPr>
          <w:rFonts w:ascii="Times New Roman;serif" w:hAnsi="Times New Roman;serif"/>
          <w:b/>
          <w:color w:val="000000"/>
          <w:sz w:val="20"/>
        </w:rPr>
        <w:t>:</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Chris Ward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(609) 772-7736</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chris.ward@integralife.com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Media Contact:</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Laurene Isip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(609) 208-8121</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laurene.isip@integralife.com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INTEGRA LIFESCIENCES HOLDINGS CORPORATION</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 xml:space="preserve">CONDENSED CONSOLIDATED STATEMENTS OF OPERATIONS </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tbl>
      <w:tblPr>
        <w:tblW w:w="7226" w:type="dxa"/>
        <w:jc w:val="center"/>
        <w:tblInd w:w="0" w:type="dxa"/>
        <w:tblLayout w:type="fixed"/>
        <w:tblCellMar>
          <w:top w:w="28" w:type="dxa"/>
          <w:left w:w="28" w:type="dxa"/>
          <w:bottom w:w="28" w:type="dxa"/>
          <w:right w:w="28" w:type="dxa"/>
        </w:tblCellMar>
      </w:tblPr>
      <w:tblGrid>
        <w:gridCol w:w="1470"/>
        <w:gridCol w:w="1294"/>
        <w:gridCol w:w="1301"/>
        <w:gridCol w:w="250"/>
        <w:gridCol w:w="981"/>
        <w:gridCol w:w="129"/>
        <w:gridCol w:w="129"/>
        <w:gridCol w:w="129"/>
        <w:gridCol w:w="129"/>
        <w:gridCol w:w="250"/>
        <w:gridCol w:w="981"/>
        <w:gridCol w:w="183"/>
      </w:tblGrid>
      <w:tr>
        <w:trPr/>
        <w:tc>
          <w:tcPr>
            <w:tcW w:w="147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 net</w:t>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402,062 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380,834 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195,071 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180,596 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169,046 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177,193 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costs and expenses</w:t>
            </w:r>
          </w:p>
        </w:tc>
        <w:tc>
          <w:tcPr>
            <w:tcW w:w="12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390,301 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388,984 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12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11,761 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(8,150)</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(22,725)</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(19,373)</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before income taxes</w:t>
            </w:r>
          </w:p>
        </w:tc>
        <w:tc>
          <w:tcPr>
            <w:tcW w:w="12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(20,362)</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for income taxes</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(9,667)</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(10,695)</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per share</w:t>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common shares outstanding</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76,448 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0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revenues disaggregated by the major sources for the three months ended September 30, 2025 and 2024 (amounts in thousands):</w:t>
      </w:r>
    </w:p>
    <w:tbl>
      <w:tblPr>
        <w:tblW w:w="7755" w:type="dxa"/>
        <w:jc w:val="center"/>
        <w:tblInd w:w="0" w:type="dxa"/>
        <w:tblLayout w:type="fixed"/>
        <w:tblCellMar>
          <w:top w:w="28" w:type="dxa"/>
          <w:left w:w="28" w:type="dxa"/>
          <w:bottom w:w="28" w:type="dxa"/>
          <w:right w:w="28" w:type="dxa"/>
        </w:tblCellMar>
      </w:tblPr>
      <w:tblGrid>
        <w:gridCol w:w="1374"/>
        <w:gridCol w:w="1207"/>
        <w:gridCol w:w="1214"/>
        <w:gridCol w:w="251"/>
        <w:gridCol w:w="984"/>
        <w:gridCol w:w="129"/>
        <w:gridCol w:w="251"/>
        <w:gridCol w:w="984"/>
        <w:gridCol w:w="129"/>
        <w:gridCol w:w="250"/>
        <w:gridCol w:w="250"/>
        <w:gridCol w:w="251"/>
        <w:gridCol w:w="109"/>
        <w:gridCol w:w="109"/>
        <w:gridCol w:w="109"/>
        <w:gridCol w:w="154"/>
      </w:tblGrid>
      <w:tr>
        <w:trPr/>
        <w:tc>
          <w:tcPr>
            <w:tcW w:w="137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Neurosurgery</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201,563 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175,956 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Instruments</w:t>
            </w:r>
            <w:r>
              <w:rPr>
                <w:rFonts w:ascii="Times New Roman;serif" w:hAnsi="Times New Roman;serif"/>
                <w:b w:val="false"/>
                <w:color w:val="000000"/>
                <w:sz w:val="13"/>
              </w:rPr>
              <w:t>(1)</w:t>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ENT</w:t>
            </w:r>
            <w:r>
              <w:rPr>
                <w:rFonts w:ascii="Times New Roman;serif" w:hAnsi="Times New Roman;serif"/>
                <w:b w:val="false"/>
                <w:color w:val="000000"/>
                <w:sz w:val="13"/>
              </w:rPr>
              <w:t>(1)</w:t>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Codman Specialty Surgical</w:t>
            </w:r>
          </w:p>
        </w:tc>
        <w:tc>
          <w:tcPr>
            <w:tcW w:w="12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292,583 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270,782 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Wound Reconstruction and Care</w:t>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83,988 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80,460 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Label</w:t>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Tissue Technologies</w:t>
            </w:r>
          </w:p>
        </w:tc>
        <w:tc>
          <w:tcPr>
            <w:tcW w:w="12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109,479 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110,052 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reported revenues</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402,062 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380,834 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changes in currency exchange rates</w:t>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Total organic revenues</w:t>
            </w:r>
            <w:r>
              <w:rPr>
                <w:rFonts w:ascii="Times New Roman;serif" w:hAnsi="Times New Roman;serif"/>
                <w:b w:val="false"/>
                <w:color w:val="000000"/>
                <w:sz w:val="13"/>
              </w:rPr>
              <w:t>(2)</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399,907 </w:t>
            </w:r>
          </w:p>
        </w:tc>
        <w:tc>
          <w:tcPr>
            <w:tcW w:w="1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380,834 </w:t>
            </w:r>
          </w:p>
        </w:tc>
        <w:tc>
          <w:tcPr>
            <w:tcW w:w="1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Organic revenues have been adjusted to exclude foreign currency (current period), acquisitions and to account for divested and discontinued products.</w:t>
      </w:r>
    </w:p>
    <w:p>
      <w:pPr>
        <w:pStyle w:val="TextBody"/>
        <w:bidi w:val="0"/>
        <w:spacing w:before="0" w:after="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Items included in GAAP net income and location where each item is recorded are as follows: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 xml:space="preserve">Three Months Ended September 30, 2025 </w:t>
      </w:r>
    </w:p>
    <w:tbl>
      <w:tblPr>
        <w:tblW w:w="10205" w:type="dxa"/>
        <w:jc w:val="center"/>
        <w:tblInd w:w="0" w:type="dxa"/>
        <w:tblLayout w:type="fixed"/>
        <w:tblCellMar>
          <w:top w:w="28" w:type="dxa"/>
          <w:left w:w="28" w:type="dxa"/>
          <w:bottom w:w="28" w:type="dxa"/>
          <w:right w:w="28" w:type="dxa"/>
        </w:tblCellMar>
      </w:tblPr>
      <w:tblGrid>
        <w:gridCol w:w="1610"/>
        <w:gridCol w:w="1409"/>
        <w:gridCol w:w="1430"/>
        <w:gridCol w:w="375"/>
        <w:gridCol w:w="375"/>
        <w:gridCol w:w="377"/>
        <w:gridCol w:w="271"/>
        <w:gridCol w:w="271"/>
        <w:gridCol w:w="273"/>
        <w:gridCol w:w="289"/>
        <w:gridCol w:w="256"/>
        <w:gridCol w:w="258"/>
        <w:gridCol w:w="249"/>
        <w:gridCol w:w="248"/>
        <w:gridCol w:w="214"/>
        <w:gridCol w:w="280"/>
        <w:gridCol w:w="280"/>
        <w:gridCol w:w="282"/>
        <w:gridCol w:w="243"/>
        <w:gridCol w:w="243"/>
        <w:gridCol w:w="244"/>
        <w:gridCol w:w="207"/>
        <w:gridCol w:w="207"/>
        <w:gridCol w:w="314"/>
      </w:tblGrid>
      <w:tr>
        <w:trPr/>
        <w:tc>
          <w:tcPr>
            <w:tcW w:w="161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44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w:t>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Amount</w:t>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COGS(a)</w:t>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SG&amp;A(b)</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R&amp;D(c)</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 (d)</w:t>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OI&amp;E(e)</w:t>
            </w:r>
          </w:p>
        </w:tc>
        <w:tc>
          <w:tcPr>
            <w:tcW w:w="728"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Tax(f)</w:t>
            </w:r>
          </w:p>
        </w:tc>
      </w:tr>
      <w:tr>
        <w:trPr/>
        <w:tc>
          <w:tcPr>
            <w:tcW w:w="44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divestiture and integration-related charges</w:t>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(6,588)</w:t>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177</w:t>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(6,182)</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(1,029)</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445</w:t>
            </w:r>
          </w:p>
        </w:tc>
        <w:tc>
          <w:tcPr>
            <w:tcW w:w="728"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color w:val="000000"/>
              </w:rPr>
            </w:pPr>
            <w:r>
              <w:rPr>
                <w:color w:val="000000"/>
              </w:rPr>
              <w:t>—</w:t>
            </w:r>
          </w:p>
        </w:tc>
      </w:tr>
      <w:tr>
        <w:trPr/>
        <w:tc>
          <w:tcPr>
            <w:tcW w:w="444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Structural Optimization charges</w:t>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11,052</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8,413</w:t>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2,786</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(146)</w:t>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8"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color w:val="000000"/>
              </w:rPr>
            </w:pPr>
            <w:r>
              <w:rPr>
                <w:color w:val="000000"/>
              </w:rPr>
              <w:t>—</w:t>
            </w:r>
          </w:p>
        </w:tc>
      </w:tr>
      <w:tr>
        <w:trPr/>
        <w:tc>
          <w:tcPr>
            <w:tcW w:w="444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 Medical Device Regulation charges</w:t>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10,554</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808</w:t>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5,396</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4,350</w:t>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8"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color w:val="000000"/>
              </w:rPr>
            </w:pPr>
            <w:r>
              <w:rPr>
                <w:color w:val="000000"/>
              </w:rPr>
              <w:t>—</w:t>
            </w:r>
          </w:p>
        </w:tc>
      </w:tr>
      <w:tr>
        <w:trPr/>
        <w:tc>
          <w:tcPr>
            <w:tcW w:w="444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Boston Recall/Braintree Transition</w:t>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13,957</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13,447</w:t>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510</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8"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color w:val="000000"/>
              </w:rPr>
            </w:pPr>
            <w:r>
              <w:rPr>
                <w:color w:val="000000"/>
              </w:rPr>
              <w:t>—</w:t>
            </w:r>
          </w:p>
        </w:tc>
      </w:tr>
      <w:tr>
        <w:trPr/>
        <w:tc>
          <w:tcPr>
            <w:tcW w:w="444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26,873</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23,145</w:t>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3,728</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8"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color w:val="000000"/>
              </w:rPr>
            </w:pPr>
            <w:r>
              <w:rPr>
                <w:color w:val="000000"/>
              </w:rPr>
              <w:t>—</w:t>
            </w:r>
          </w:p>
        </w:tc>
      </w:tr>
      <w:tr>
        <w:trPr/>
        <w:tc>
          <w:tcPr>
            <w:tcW w:w="444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income tax impact from above adjustments and other items</w:t>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(8,823)</w:t>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8"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(8,823)</w:t>
            </w:r>
          </w:p>
        </w:tc>
      </w:tr>
      <w:tr>
        <w:trPr/>
        <w:tc>
          <w:tcPr>
            <w:tcW w:w="4449"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1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11,289</w:t>
            </w:r>
          </w:p>
        </w:tc>
        <w:tc>
          <w:tcPr>
            <w:tcW w:w="8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28"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a)COGS - Cost of goods sold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b)SG&amp;A - Selling, general and administrative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c)R&amp;D - Research &amp; development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d)Amort. - Intangible asset amortization</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e)OI&amp;E - Other income &amp; expense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f)Tax - Income tax expense (benefit)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Items included in GAAP net income and location where each item is recorded are as follows: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 2024</w:t>
      </w:r>
    </w:p>
    <w:tbl>
      <w:tblPr>
        <w:tblW w:w="10205" w:type="dxa"/>
        <w:jc w:val="center"/>
        <w:tblInd w:w="0" w:type="dxa"/>
        <w:tblLayout w:type="fixed"/>
        <w:tblCellMar>
          <w:top w:w="28" w:type="dxa"/>
          <w:left w:w="28" w:type="dxa"/>
          <w:bottom w:w="28" w:type="dxa"/>
          <w:right w:w="28" w:type="dxa"/>
        </w:tblCellMar>
      </w:tblPr>
      <w:tblGrid>
        <w:gridCol w:w="1355"/>
        <w:gridCol w:w="1185"/>
        <w:gridCol w:w="1204"/>
        <w:gridCol w:w="429"/>
        <w:gridCol w:w="369"/>
        <w:gridCol w:w="348"/>
        <w:gridCol w:w="360"/>
        <w:gridCol w:w="361"/>
        <w:gridCol w:w="264"/>
        <w:gridCol w:w="308"/>
        <w:gridCol w:w="308"/>
        <w:gridCol w:w="237"/>
        <w:gridCol w:w="329"/>
        <w:gridCol w:w="331"/>
        <w:gridCol w:w="195"/>
        <w:gridCol w:w="309"/>
        <w:gridCol w:w="308"/>
        <w:gridCol w:w="267"/>
        <w:gridCol w:w="260"/>
        <w:gridCol w:w="223"/>
        <w:gridCol w:w="225"/>
        <w:gridCol w:w="383"/>
        <w:gridCol w:w="383"/>
        <w:gridCol w:w="264"/>
      </w:tblGrid>
      <w:tr>
        <w:trPr/>
        <w:tc>
          <w:tcPr>
            <w:tcW w:w="135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37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Amount</w:t>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COGS(a)</w:t>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SG&amp;A(b)</w:t>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R&amp;D(c)</w:t>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 (d)</w:t>
            </w:r>
          </w:p>
        </w:tc>
        <w:tc>
          <w:tcPr>
            <w:tcW w:w="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OI&amp;E(e)</w:t>
            </w:r>
          </w:p>
        </w:tc>
        <w:tc>
          <w:tcPr>
            <w:tcW w:w="1030"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Tax(f)</w:t>
            </w:r>
          </w:p>
        </w:tc>
      </w:tr>
      <w:tr>
        <w:trPr/>
        <w:tc>
          <w:tcPr>
            <w:tcW w:w="37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divestiture and integration-related charges</w:t>
            </w:r>
          </w:p>
        </w:tc>
        <w:tc>
          <w:tcPr>
            <w:tcW w:w="7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7,810 </w:t>
            </w:r>
          </w:p>
        </w:tc>
        <w:tc>
          <w:tcPr>
            <w:tcW w:w="3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3,643 </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5,896 </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Structural Optimization charges</w:t>
            </w:r>
          </w:p>
        </w:tc>
        <w:tc>
          <w:tcPr>
            <w:tcW w:w="7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5,739 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 Medical Device Regulation charges</w:t>
            </w:r>
          </w:p>
        </w:tc>
        <w:tc>
          <w:tcPr>
            <w:tcW w:w="7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4,910 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Boston Recall/Braintree Transition</w:t>
            </w:r>
          </w:p>
        </w:tc>
        <w:tc>
          <w:tcPr>
            <w:tcW w:w="7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9,933 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9,601 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7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25,615 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21,854 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income tax impact from above adjustments and other items</w:t>
            </w:r>
          </w:p>
        </w:tc>
        <w:tc>
          <w:tcPr>
            <w:tcW w:w="7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(17,244)</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(17,244)</w:t>
            </w:r>
          </w:p>
        </w:tc>
        <w:tc>
          <w:tcPr>
            <w:tcW w:w="26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44"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79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10,216 </w:t>
            </w:r>
          </w:p>
        </w:tc>
        <w:tc>
          <w:tcPr>
            <w:tcW w:w="34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a)COGS - Cost of goods sold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b)SG&amp;A - Selling, general and administrative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c)R&amp;D - Research &amp; development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d)Amort. - Intangible asset amortization</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e)OI&amp;E - Other income &amp; expense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f)Tax - Income tax expense (benefit)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RECONCILIATION OF NON-GAAP ADJUSTMENTS - GAAP NET INCOME TO ADJUSTED EBITDA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7782" w:type="dxa"/>
        <w:jc w:val="center"/>
        <w:tblInd w:w="0" w:type="dxa"/>
        <w:tblLayout w:type="fixed"/>
        <w:tblCellMar>
          <w:top w:w="28" w:type="dxa"/>
          <w:left w:w="28" w:type="dxa"/>
          <w:bottom w:w="28" w:type="dxa"/>
          <w:right w:w="28" w:type="dxa"/>
        </w:tblCellMar>
      </w:tblPr>
      <w:tblGrid>
        <w:gridCol w:w="1669"/>
        <w:gridCol w:w="1472"/>
        <w:gridCol w:w="1479"/>
        <w:gridCol w:w="264"/>
        <w:gridCol w:w="902"/>
        <w:gridCol w:w="136"/>
        <w:gridCol w:w="136"/>
        <w:gridCol w:w="136"/>
        <w:gridCol w:w="136"/>
        <w:gridCol w:w="264"/>
        <w:gridCol w:w="996"/>
        <w:gridCol w:w="192"/>
      </w:tblGrid>
      <w:tr>
        <w:trPr/>
        <w:tc>
          <w:tcPr>
            <w:tcW w:w="1669"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loss</w:t>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(10,695)</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intangible asset amortization expense</w:t>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35,831 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14,324 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(9,667)</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Structural optimization charges</w:t>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5,739 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 Medical Device Regulation charges</w:t>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Boston Recall/Braintree Transition</w:t>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9,933 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divestiture and integration-related charges</w:t>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(6,588)</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of non-GAAP adjustments</w:t>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83,857 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72,453 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78,453 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61,758 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RECONCILIATION OF NON-GAAP ADJUSTMENTS - GAAP NET INCOME TO MEASURES OF ADJUSTED NET INCOME AND ADJUSTED EARNINGS PER SHARE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tbl>
      <w:tblPr>
        <w:tblW w:w="9672" w:type="dxa"/>
        <w:jc w:val="center"/>
        <w:tblInd w:w="0" w:type="dxa"/>
        <w:tblLayout w:type="fixed"/>
        <w:tblCellMar>
          <w:top w:w="28" w:type="dxa"/>
          <w:left w:w="28" w:type="dxa"/>
          <w:bottom w:w="28" w:type="dxa"/>
          <w:right w:w="28" w:type="dxa"/>
        </w:tblCellMar>
      </w:tblPr>
      <w:tblGrid>
        <w:gridCol w:w="2352"/>
        <w:gridCol w:w="2075"/>
        <w:gridCol w:w="2083"/>
        <w:gridCol w:w="264"/>
        <w:gridCol w:w="902"/>
        <w:gridCol w:w="136"/>
        <w:gridCol w:w="136"/>
        <w:gridCol w:w="136"/>
        <w:gridCol w:w="136"/>
        <w:gridCol w:w="264"/>
        <w:gridCol w:w="996"/>
        <w:gridCol w:w="192"/>
      </w:tblGrid>
      <w:tr>
        <w:trPr/>
        <w:tc>
          <w:tcPr>
            <w:tcW w:w="2352"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loss</w:t>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(10,695)</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Structural optimization charges</w:t>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5,739 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divestiture and integration-related charges</w:t>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(6,588)</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 Medical Device Regulation charges</w:t>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Boston Recall/Braintree Transition</w:t>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9,933 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25,615 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income tax impact from adjustments and other items</w:t>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(8,823)</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(17,244)</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of non-GAAP adjustments</w:t>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42,431 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41,621 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31,736 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net income per share</w:t>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for diluted net income per share</w:t>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76,850 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76,478 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BALANCE SHEET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7967" w:type="dxa"/>
        <w:jc w:val="center"/>
        <w:tblInd w:w="0" w:type="dxa"/>
        <w:tblLayout w:type="fixed"/>
        <w:tblCellMar>
          <w:top w:w="28" w:type="dxa"/>
          <w:left w:w="28" w:type="dxa"/>
          <w:bottom w:w="28" w:type="dxa"/>
          <w:right w:w="28" w:type="dxa"/>
        </w:tblCellMar>
      </w:tblPr>
      <w:tblGrid>
        <w:gridCol w:w="1809"/>
        <w:gridCol w:w="1590"/>
        <w:gridCol w:w="1596"/>
        <w:gridCol w:w="212"/>
        <w:gridCol w:w="983"/>
        <w:gridCol w:w="109"/>
        <w:gridCol w:w="109"/>
        <w:gridCol w:w="109"/>
        <w:gridCol w:w="109"/>
        <w:gridCol w:w="211"/>
        <w:gridCol w:w="976"/>
        <w:gridCol w:w="154"/>
      </w:tblGrid>
      <w:tr>
        <w:trPr/>
        <w:tc>
          <w:tcPr>
            <w:tcW w:w="1809"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 term investments</w:t>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and long-term borrowing under senior credit facility</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1,121,823 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securitization facility</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securities</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573,170 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1,037,574 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1,545,280 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STATEMENT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before="0" w:after="0"/>
        <w:jc w:val="left"/>
        <w:rPr/>
      </w:pPr>
      <w:r>
        <w:rPr/>
      </w:r>
    </w:p>
    <w:tbl>
      <w:tblPr>
        <w:tblW w:w="8127" w:type="dxa"/>
        <w:jc w:val="center"/>
        <w:tblInd w:w="0" w:type="dxa"/>
        <w:tblLayout w:type="fixed"/>
        <w:tblCellMar>
          <w:top w:w="28" w:type="dxa"/>
          <w:left w:w="28" w:type="dxa"/>
          <w:bottom w:w="28" w:type="dxa"/>
          <w:right w:w="28" w:type="dxa"/>
        </w:tblCellMar>
      </w:tblPr>
      <w:tblGrid>
        <w:gridCol w:w="1840"/>
        <w:gridCol w:w="1620"/>
        <w:gridCol w:w="1625"/>
        <w:gridCol w:w="246"/>
        <w:gridCol w:w="931"/>
        <w:gridCol w:w="127"/>
        <w:gridCol w:w="127"/>
        <w:gridCol w:w="127"/>
        <w:gridCol w:w="127"/>
        <w:gridCol w:w="246"/>
        <w:gridCol w:w="931"/>
        <w:gridCol w:w="180"/>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provided by operating activities</w:t>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78,642 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(73,156)</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(386,559)</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245,013 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(14,189)</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(61,245)</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RECONCILIATION OF NON-GAAP ADJUSTMENTS - GAAP OPERATING CASH FLOW TO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MEASURES OF FREE CASH FLOW AND ADJUSTED FREE CASH FLOW CONVERSION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6732" w:type="dxa"/>
        <w:jc w:val="center"/>
        <w:tblInd w:w="0" w:type="dxa"/>
        <w:tblLayout w:type="fixed"/>
        <w:tblCellMar>
          <w:top w:w="28" w:type="dxa"/>
          <w:left w:w="28" w:type="dxa"/>
          <w:bottom w:w="28" w:type="dxa"/>
          <w:right w:w="28" w:type="dxa"/>
        </w:tblCellMar>
      </w:tblPr>
      <w:tblGrid>
        <w:gridCol w:w="1254"/>
        <w:gridCol w:w="1104"/>
        <w:gridCol w:w="1107"/>
        <w:gridCol w:w="259"/>
        <w:gridCol w:w="1015"/>
        <w:gridCol w:w="332"/>
        <w:gridCol w:w="259"/>
        <w:gridCol w:w="1015"/>
        <w:gridCol w:w="387"/>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40,907 </w:t>
            </w:r>
          </w:p>
        </w:tc>
        <w:tc>
          <w:tcPr>
            <w:tcW w:w="3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22,480 </w:t>
            </w:r>
          </w:p>
        </w:tc>
        <w:tc>
          <w:tcPr>
            <w:tcW w:w="3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(15,156)</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(29,646)</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25,751 </w:t>
            </w:r>
          </w:p>
        </w:tc>
        <w:tc>
          <w:tcPr>
            <w:tcW w:w="3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(7,166)</w:t>
            </w:r>
          </w:p>
        </w:tc>
        <w:tc>
          <w:tcPr>
            <w:tcW w:w="3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income</w:t>
            </w:r>
            <w:r>
              <w:rPr>
                <w:rFonts w:ascii="Times New Roman;serif" w:hAnsi="Times New Roman;serif"/>
                <w:b w:val="false"/>
                <w:color w:val="000000"/>
                <w:sz w:val="13"/>
              </w:rPr>
              <w:t>(1)</w:t>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41,621 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31,736 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 conversion</w:t>
            </w:r>
          </w:p>
        </w:tc>
        <w:tc>
          <w:tcPr>
            <w:tcW w:w="12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3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3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Twelve Months Ended September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89,315 </w:t>
            </w:r>
          </w:p>
        </w:tc>
        <w:tc>
          <w:tcPr>
            <w:tcW w:w="3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137,385 </w:t>
            </w:r>
          </w:p>
        </w:tc>
        <w:tc>
          <w:tcPr>
            <w:tcW w:w="3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(93,821)</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(99,381)</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w:t>
            </w:r>
          </w:p>
        </w:tc>
        <w:tc>
          <w:tcPr>
            <w:tcW w:w="3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38,004 </w:t>
            </w:r>
          </w:p>
        </w:tc>
        <w:tc>
          <w:tcPr>
            <w:tcW w:w="3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income</w:t>
            </w:r>
            <w:r>
              <w:rPr>
                <w:rFonts w:ascii="Times New Roman;serif" w:hAnsi="Times New Roman;serif"/>
                <w:b w:val="false"/>
                <w:color w:val="000000"/>
                <w:sz w:val="13"/>
              </w:rPr>
              <w:t>(1)</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180,896 </w:t>
            </w:r>
          </w:p>
        </w:tc>
        <w:tc>
          <w:tcPr>
            <w:tcW w:w="3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192,791 </w:t>
            </w:r>
          </w:p>
        </w:tc>
        <w:tc>
          <w:tcPr>
            <w:tcW w:w="3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 conversion</w:t>
            </w:r>
          </w:p>
        </w:tc>
        <w:tc>
          <w:tcPr>
            <w:tcW w:w="12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3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Adjusted net income for quarters ended September 30, 2025 and 2024 are reconciled above. Adjusted net income for remaining quarters in the trailing twelve months calculation have been previously reconciled and are publicly available in the Quarterly Earnings Call Presentations on our website at investor.integralife.com under Events &amp; Presentations.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calculates adjusted free cash flow conversion by dividing its free cash flow by adjusted net income. The Company believes this measure is useful in evaluating the significance of the cash special charges in its adjusted earnings measures.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RECONCILIATION OF NON-GAAP ADJUSTMENTS - NET DEBT CALCULATION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6769" w:type="dxa"/>
        <w:jc w:val="left"/>
        <w:tblInd w:w="0" w:type="dxa"/>
        <w:tblLayout w:type="fixed"/>
        <w:tblCellMar>
          <w:top w:w="28" w:type="dxa"/>
          <w:left w:w="28" w:type="dxa"/>
          <w:bottom w:w="28" w:type="dxa"/>
          <w:right w:w="28" w:type="dxa"/>
        </w:tblCellMar>
      </w:tblPr>
      <w:tblGrid>
        <w:gridCol w:w="1491"/>
        <w:gridCol w:w="1313"/>
        <w:gridCol w:w="1320"/>
        <w:gridCol w:w="212"/>
        <w:gridCol w:w="983"/>
        <w:gridCol w:w="109"/>
        <w:gridCol w:w="211"/>
        <w:gridCol w:w="976"/>
        <w:gridCol w:w="154"/>
      </w:tblGrid>
      <w:tr>
        <w:trPr/>
        <w:tc>
          <w:tcPr>
            <w:tcW w:w="1491"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26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 under senior credit facility</w:t>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 under senior credit facility</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1,708,851 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1,087,917 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securitization facility</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securities</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573,170 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 netted in the above</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 term investments</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&amp; Cash Equivalents</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(246,375)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1,566,871 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1,535,001 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RECONCILIATION OF NON-GAAP ADJUSTMENTS - GAAP GROSS PROFIT TO MEASURES OF ADJUSTED GROSS PROFIT AND ADJUSTED GROSS MARGIN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 except percentages)</w:t>
      </w:r>
    </w:p>
    <w:tbl>
      <w:tblPr>
        <w:tblW w:w="7767" w:type="dxa"/>
        <w:jc w:val="center"/>
        <w:tblInd w:w="0" w:type="dxa"/>
        <w:tblLayout w:type="fixed"/>
        <w:tblCellMar>
          <w:top w:w="28" w:type="dxa"/>
          <w:left w:w="28" w:type="dxa"/>
          <w:bottom w:w="28" w:type="dxa"/>
          <w:right w:w="28" w:type="dxa"/>
        </w:tblCellMar>
      </w:tblPr>
      <w:tblGrid>
        <w:gridCol w:w="1667"/>
        <w:gridCol w:w="1466"/>
        <w:gridCol w:w="1472"/>
        <w:gridCol w:w="223"/>
        <w:gridCol w:w="875"/>
        <w:gridCol w:w="287"/>
        <w:gridCol w:w="115"/>
        <w:gridCol w:w="115"/>
        <w:gridCol w:w="115"/>
        <w:gridCol w:w="223"/>
        <w:gridCol w:w="875"/>
        <w:gridCol w:w="334"/>
      </w:tblGrid>
      <w:tr>
        <w:trPr/>
        <w:tc>
          <w:tcPr>
            <w:tcW w:w="1667"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net</w:t>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402,062 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380,834 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195,071 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180,596 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Gross Profit</w:t>
            </w:r>
          </w:p>
        </w:tc>
        <w:tc>
          <w:tcPr>
            <w:tcW w:w="10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206,991 </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200,238 </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Structural optimization charges</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8,413 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divestiture and integration-related charges</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Boston Recall/Braintree Transition</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13,447 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9,601 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 Medical Device Regulation</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23,145 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21,854 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252,981 </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239,896 </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402,062 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380,834 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Margin</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2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3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6656</Words>
  <Characters>39777</Characters>
  <CharactersWithSpaces>46051</CharactersWithSpaces>
  <Paragraphs>691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