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2024, Integra LifeSciences Holdings Corporation (the “Company”) issued a press release announcing financial results for the quarter ended September 30, 2024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and organic revenues excluding Boston, respectively, for the quarters ended September 30, 2024 and 2023, GAAP net income to adjusted earnings before interest, taxes, depreciation and amortization (“EBITDA”) for the quarters ended September 30, 2024 and 2023, GAAP net income to adjusted net income for the quarters ended September 30, 2024 and 2023, GAAP earnings per diluted share to adjusted earnings per diluted share for the quarters ended September 30, 2024 and 2023, GAAP total debt to net debt for the quarters ended September 30, 2024 and 2023, and GAAP operating cash flow to free cash flow and adjusted free cash flow conversion used by management for the quarters and twelve months ended September 30, 2024 and 2023.</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GAAP results, we provide certain non-GAAP measures, including organic revenues, organic revenues excluding Boston, adjusted EBITDA,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Boston-produced products including sales reported prior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impact of sales return provisions recorded. Adjusted EBITDA consists of GAAP net income excluding: (i) depreciation and amortization; (ii) other income (expense); (iii) interest income and expense; (iv) income tax expense (benefit); and</w:t>
      </w:r>
    </w:p>
    <w:p>
      <w:pPr>
        <w:spacing w:after="0" w:line="6" w:lineRule="exact"/>
        <w:rPr>
          <w:sz w:val="20"/>
          <w:szCs w:val="20"/>
          <w:color w:val="auto"/>
        </w:rPr>
      </w:pPr>
    </w:p>
    <w:p>
      <w:pPr>
        <w:jc w:val="both"/>
        <w:ind w:firstLine="8"/>
        <w:spacing w:after="0" w:line="251"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organic revenues excluding Boston and the various adjusted EBITDA, adjusted net income, adjusted gross profit, adjusted gross margin, adjusted earnings per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organic revenues excluding Boston, adjusted EBITDA,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change in total revenues for the quarter ended September 30, 2024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measure of organic revenues excluding Boston that we report reflects our total revenues for the quarter ended September 30, 2024 adjusted (i) for the effects of currency exchange rates, revenues from acquisitions, and revenues from divested products on current period revenues and (ii) revenues associated with Boston-produced products including sales reported prior to the recall and the impact of sales return provisions recorded. Management believes that this measure provides useful information when evaluating the Company’s revenues because of the infrequent and/or large scale nature of the recall which can distort our current period revenues when compared to prior periods.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189" w:lineRule="exact"/>
        <w:rPr>
          <w:sz w:val="20"/>
          <w:szCs w:val="20"/>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660"/>
        <w:spacing w:after="0" w:line="282" w:lineRule="auto"/>
        <w:rPr>
          <w:sz w:val="20"/>
          <w:szCs w:val="20"/>
          <w:color w:val="auto"/>
        </w:rPr>
      </w:pPr>
      <w:r>
        <w:rPr>
          <w:rFonts w:ascii="Times New Roman" w:cs="Times New Roman" w:eastAsia="Times New Roman" w:hAnsi="Times New Roman"/>
          <w:sz w:val="18"/>
          <w:szCs w:val="18"/>
          <w:color w:val="auto"/>
        </w:rPr>
        <w:t>significantly based on the timing and magnitude of the Company's rationalization activities and are, in some cases, dependent upon opportunities identified in acquisitions, which also vary in frequency and magnitude.</w:t>
      </w:r>
    </w:p>
    <w:p>
      <w:pPr>
        <w:spacing w:after="0" w:line="54" w:lineRule="exact"/>
        <w:rPr>
          <w:sz w:val="20"/>
          <w:szCs w:val="20"/>
          <w:color w:val="auto"/>
        </w:rPr>
      </w:pPr>
    </w:p>
    <w:p>
      <w:pPr>
        <w:jc w:val="both"/>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Recall/Braintree transition charges</w:t>
      </w:r>
      <w:r>
        <w:rPr>
          <w:rFonts w:ascii="Times New Roman" w:cs="Times New Roman" w:eastAsia="Times New Roman" w:hAnsi="Times New Roman"/>
          <w:sz w:val="18"/>
          <w:szCs w:val="18"/>
          <w:color w:val="auto"/>
        </w:rPr>
        <w:t>. These charges represent costs, including inventory write-offs, idle capacity charges and charges related to the transition of Boston-related manufacturing operations to the Company’ Braintree, Massachusetts facility, incurred in connection with the recall. Management excludes this item when evaluating the Company’s operating performance because of the infrequent and/or large scale nature of these activities.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15"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GAAP reported revenues to organic revenues excluding Boston, GAAP net income to adjusted EBITDA, GAAP net income to adjusted net income, GAAP gross profit to adjusted gross profit, GAAP gross margin to adjusted gross margin, and GAAP earnings per diluted share to adjusted earnings per diluted share each for the quarters ended September 30, 2024 and 2023. The Company has included reconciliations of GAAP operating cash flow to free cash flow and adjusted free cash flow conversion for the quarters and twelve months ended September 30, 2024 and 2023. The Company has included a reconciliation of GAAP total debt to net debt for the quarters ended September 30, 2024 and December 31,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November 4, 2024, issued by Integra LifeSciences Holdings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0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c>
          <w:tcPr>
            <w:tcW w:w="2640" w:type="dxa"/>
            <w:vAlign w:val="bottom"/>
          </w:tcPr>
          <w:p>
            <w:pPr>
              <w:spacing w:after="0"/>
              <w:rPr>
                <w:sz w:val="24"/>
                <w:szCs w:val="24"/>
                <w:color w:val="auto"/>
              </w:rPr>
            </w:pPr>
          </w:p>
        </w:tc>
      </w:tr>
      <w:tr>
        <w:trPr>
          <w:trHeight w:val="245"/>
        </w:trPr>
        <w:tc>
          <w:tcPr>
            <w:tcW w:w="3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260" w:type="dxa"/>
            <w:vAlign w:val="bottom"/>
          </w:tcPr>
          <w:p>
            <w:pPr>
              <w:spacing w:after="0"/>
              <w:rPr>
                <w:sz w:val="20"/>
                <w:szCs w:val="20"/>
                <w:color w:val="auto"/>
              </w:rPr>
            </w:pP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i w:val="1"/>
          <w:iCs w:val="1"/>
          <w:color w:val="auto"/>
        </w:rPr>
        <w:t>Integra LifeSciences Reports Third Quarter 2024 Financial Results</w:t>
      </w:r>
    </w:p>
    <w:p>
      <w:pPr>
        <w:spacing w:after="0" w:line="2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PRINCETON, N.J., November 4, 2024 -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a leading global medical technology company, today reported financial results for the third quarter ending September 30, 2024.</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Highlights</w:t>
      </w:r>
    </w:p>
    <w:p>
      <w:pPr>
        <w:spacing w:after="0" w:line="193" w:lineRule="exact"/>
        <w:rPr>
          <w:sz w:val="20"/>
          <w:szCs w:val="20"/>
          <w:color w:val="auto"/>
        </w:rPr>
      </w:pPr>
    </w:p>
    <w:p>
      <w:pPr>
        <w:ind w:left="660" w:right="400" w:hanging="328"/>
        <w:spacing w:after="0" w:line="255"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revenues of $380.8 million decreased 0.4% on a reported basis and 8.6% on an organic basis compared to the prior year. Revenue decreased 10.3% on an organic basis excluding Boston.</w:t>
      </w:r>
    </w:p>
    <w:p>
      <w:pPr>
        <w:spacing w:after="0" w:line="199" w:lineRule="exact"/>
        <w:rPr>
          <w:rFonts w:ascii="Times New Roman" w:cs="Times New Roman" w:eastAsia="Times New Roman" w:hAnsi="Times New Roman"/>
          <w:sz w:val="20"/>
          <w:szCs w:val="20"/>
          <w:color w:val="auto"/>
        </w:rPr>
      </w:pPr>
    </w:p>
    <w:p>
      <w:pPr>
        <w:ind w:left="660" w:right="40" w:hanging="328"/>
        <w:spacing w:after="0" w:line="268" w:lineRule="auto"/>
        <w:tabs>
          <w:tab w:leader="none" w:pos="648"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Third quarter GAAP earnings per diluted share of $(0.14), compared to $0.24 in the prior year; adjusted earnings per diluted share of $0.41, compared to $0.76 in the prior year.</w:t>
      </w:r>
    </w:p>
    <w:p>
      <w:pPr>
        <w:spacing w:after="0" w:line="227"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Shipping holds communicated during the second quarter earnings call are releasing in line with expectations.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Integra Skin production is on pace to meet historical revenue run rates for the fourth quarter.</w:t>
      </w:r>
    </w:p>
    <w:p>
      <w:pPr>
        <w:spacing w:after="0" w:line="260" w:lineRule="exact"/>
        <w:rPr>
          <w:rFonts w:ascii="Arial" w:cs="Arial" w:eastAsia="Arial" w:hAnsi="Arial"/>
          <w:sz w:val="22"/>
          <w:szCs w:val="22"/>
          <w:color w:val="auto"/>
        </w:rPr>
      </w:pPr>
    </w:p>
    <w:p>
      <w:pPr>
        <w:ind w:left="660" w:right="400" w:hanging="328"/>
        <w:spacing w:after="0" w:line="259"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Updating full-year 2024 revenue guidance to a range of $1.609 billion to $1.619 billion and adjusted EPS guidance to a range of $2.41 to $2.49 per share.</w:t>
      </w:r>
    </w:p>
    <w:p>
      <w:pPr>
        <w:spacing w:after="0" w:line="194" w:lineRule="exact"/>
        <w:rPr>
          <w:rFonts w:ascii="Arial" w:cs="Arial" w:eastAsia="Arial" w:hAnsi="Arial"/>
          <w:sz w:val="22"/>
          <w:szCs w:val="22"/>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announced Mojdeh Poul as Integra’s next president and chief executive officer.</w:t>
      </w:r>
    </w:p>
    <w:p>
      <w:pPr>
        <w:spacing w:after="0" w:line="200" w:lineRule="exact"/>
        <w:rPr>
          <w:sz w:val="20"/>
          <w:szCs w:val="20"/>
          <w:color w:val="auto"/>
        </w:rPr>
      </w:pPr>
    </w:p>
    <w:p>
      <w:pPr>
        <w:spacing w:after="0" w:line="29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“Our third-quarter results highlight the early progress we are making to identify and remediate the gaps in our quality management system," said Jan De Witte, president and CEO of Integra LifeSciences. "We are progressing with the implementation of our compliance master plan across our manufacturing and supply chain operations, which will position us to meet robust market demand and more consistently and reliably deliver to customers, patients, and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Consolidated Performance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reported revenues of $380.8 million decreased 0.4% on a reported basis and 8.6% on an organic basis compared to the prior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decreased 10.3% on an organic basis excluding Boston.</w:t>
      </w:r>
    </w:p>
    <w:p>
      <w:pPr>
        <w:spacing w:after="0" w:line="17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Company reported GAAP gross margin of 52.6%, compared to 57.1% in the third quarter of 2023. Adjusted gross margin was 63.0%, compared to 64.6% in the prior year.</w:t>
      </w:r>
    </w:p>
    <w:p>
      <w:pPr>
        <w:spacing w:after="0" w:line="13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Adjusted EBITDA for the third quarter of 2024 was $61.8 million, or 16.2% of revenue, compared to $88.1 million, or 23.0% of revenue, in the prior year.</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Company reported a GAAP net loss of $(10.7) million, or $(0.14) per diluted share, in the third quarter of 2024, compared to GAAP net income of $19.5 million, or $0.24 per diluted share, in the prior year.</w:t>
      </w:r>
    </w:p>
    <w:p>
      <w:pPr>
        <w:sectPr>
          <w:pgSz w:w="11900" w:h="16838" w:orient="portrait"/>
          <w:cols w:equalWidth="0" w:num="1">
            <w:col w:w="11220"/>
          </w:cols>
          <w:pgMar w:left="320" w:top="871" w:right="359" w:bottom="1440" w:gutter="0" w:footer="0" w:header="0"/>
        </w:sectPr>
      </w:pPr>
    </w:p>
    <w:bookmarkStart w:id="7" w:name="page8"/>
    <w:bookmarkEnd w:id="7"/>
    <w:p>
      <w:pPr>
        <w:ind w:right="480"/>
        <w:spacing w:after="0" w:line="283" w:lineRule="auto"/>
        <w:rPr>
          <w:sz w:val="20"/>
          <w:szCs w:val="20"/>
          <w:color w:val="auto"/>
        </w:rPr>
      </w:pPr>
      <w:r>
        <w:rPr>
          <w:rFonts w:ascii="Times New Roman" w:cs="Times New Roman" w:eastAsia="Times New Roman" w:hAnsi="Times New Roman"/>
          <w:sz w:val="20"/>
          <w:szCs w:val="20"/>
          <w:color w:val="auto"/>
        </w:rPr>
        <w:t>Adjusted net income for the third quarter of 2024 was $31.7 million, or $0.41 per diluted share, compared to $60.5 million, or $0.76 per diluted share, in the prior year.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Segment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Codman Specialty Surgical (~70% of Revenues)</w:t>
      </w:r>
    </w:p>
    <w:p>
      <w:pPr>
        <w:spacing w:after="0" w:line="193" w:lineRule="exact"/>
        <w:rPr>
          <w:sz w:val="20"/>
          <w:szCs w:val="20"/>
          <w:color w:val="auto"/>
        </w:rPr>
      </w:pPr>
    </w:p>
    <w:p>
      <w:pPr>
        <w:ind w:left="660" w:right="360"/>
        <w:spacing w:after="0" w:line="255" w:lineRule="auto"/>
        <w:rPr>
          <w:sz w:val="20"/>
          <w:szCs w:val="20"/>
          <w:color w:val="auto"/>
        </w:rPr>
      </w:pPr>
      <w:r>
        <w:rPr>
          <w:rFonts w:ascii="Times New Roman" w:cs="Times New Roman" w:eastAsia="Times New Roman" w:hAnsi="Times New Roman"/>
          <w:sz w:val="20"/>
          <w:szCs w:val="20"/>
          <w:color w:val="auto"/>
        </w:rPr>
        <w:t>Total revenues were $270.8 million, representing reported growth of 1.0% and an organic decline of 10.7% compared to the third quarter of 2023.</w:t>
      </w:r>
    </w:p>
    <w:p>
      <w:pPr>
        <w:spacing w:after="0" w:line="195"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Sales in Neurosurgery declined </w:t>
      </w:r>
      <w:r>
        <w:rPr>
          <w:rFonts w:ascii="Times New Roman" w:cs="Times New Roman" w:eastAsia="Times New Roman" w:hAnsi="Times New Roman"/>
          <w:sz w:val="21"/>
          <w:szCs w:val="21"/>
          <w:color w:val="auto"/>
        </w:rPr>
        <w:t>16.0%</w:t>
      </w:r>
      <w:r>
        <w:rPr>
          <w:rFonts w:ascii="Times New Roman" w:cs="Times New Roman" w:eastAsia="Times New Roman" w:hAnsi="Times New Roman"/>
          <w:sz w:val="20"/>
          <w:szCs w:val="20"/>
          <w:color w:val="auto"/>
        </w:rPr>
        <w:t xml:space="preserve"> on an organic basis</w:t>
      </w:r>
    </w:p>
    <w:p>
      <w:pPr>
        <w:spacing w:after="0" w:line="16" w:lineRule="exact"/>
        <w:rPr>
          <w:rFonts w:ascii="Arial" w:cs="Arial" w:eastAsia="Arial" w:hAnsi="Arial"/>
          <w:sz w:val="22"/>
          <w:szCs w:val="22"/>
          <w:color w:val="auto"/>
        </w:rPr>
      </w:pPr>
    </w:p>
    <w:p>
      <w:pPr>
        <w:ind w:left="1620" w:right="200" w:hanging="316"/>
        <w:spacing w:after="0" w:line="231" w:lineRule="auto"/>
        <w:tabs>
          <w:tab w:leader="none" w:pos="1616" w:val="left"/>
        </w:tabs>
        <w:numPr>
          <w:ilvl w:val="1"/>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The decline was driven primarily by temporary shipping holds in CSF management and Neuro monitoring, which have largely been resolved within the third quarter, as well as supply challenges in Dural access and repair</w:t>
      </w:r>
    </w:p>
    <w:p>
      <w:pPr>
        <w:spacing w:after="0" w:line="1" w:lineRule="exact"/>
        <w:rPr>
          <w:rFonts w:ascii="Arial" w:cs="Arial" w:eastAsia="Arial" w:hAnsi="Arial"/>
          <w:sz w:val="22"/>
          <w:szCs w:val="22"/>
          <w:color w:val="auto"/>
        </w:rPr>
      </w:pPr>
    </w:p>
    <w:p>
      <w:pPr>
        <w:ind w:left="1620" w:hanging="316"/>
        <w:spacing w:after="0" w:line="230" w:lineRule="auto"/>
        <w:tabs>
          <w:tab w:leader="none" w:pos="1620" w:val="left"/>
        </w:tabs>
        <w:numPr>
          <w:ilvl w:val="1"/>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Advanced energy grew mid-single digits driven by CUSA® capital and CUSA disposables</w:t>
      </w:r>
    </w:p>
    <w:p>
      <w:pPr>
        <w:spacing w:after="0" w:line="7" w:lineRule="exact"/>
        <w:rPr>
          <w:rFonts w:ascii="Arial" w:cs="Arial" w:eastAsia="Arial" w:hAnsi="Arial"/>
          <w:sz w:val="22"/>
          <w:szCs w:val="22"/>
          <w:color w:val="auto"/>
        </w:rPr>
      </w:pPr>
    </w:p>
    <w:p>
      <w:pPr>
        <w:ind w:left="1300" w:hanging="320"/>
        <w:spacing w:after="0" w:line="229" w:lineRule="auto"/>
        <w:tabs>
          <w:tab w:leader="none" w:pos="130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Sales in Instruments grew </w:t>
      </w:r>
      <w:r>
        <w:rPr>
          <w:rFonts w:ascii="Times New Roman" w:cs="Times New Roman" w:eastAsia="Times New Roman" w:hAnsi="Times New Roman"/>
          <w:sz w:val="21"/>
          <w:szCs w:val="21"/>
          <w:color w:val="auto"/>
        </w:rPr>
        <w:t>8.7%</w:t>
      </w:r>
      <w:r>
        <w:rPr>
          <w:rFonts w:ascii="Times New Roman" w:cs="Times New Roman" w:eastAsia="Times New Roman" w:hAnsi="Times New Roman"/>
          <w:sz w:val="20"/>
          <w:szCs w:val="20"/>
          <w:color w:val="auto"/>
        </w:rPr>
        <w:t xml:space="preserve"> on an organic basis</w:t>
      </w:r>
    </w:p>
    <w:p>
      <w:pPr>
        <w:spacing w:after="0" w:line="1" w:lineRule="exact"/>
        <w:rPr>
          <w:rFonts w:ascii="Arial" w:cs="Arial" w:eastAsia="Arial" w:hAnsi="Arial"/>
          <w:sz w:val="22"/>
          <w:szCs w:val="22"/>
          <w:color w:val="auto"/>
        </w:rPr>
      </w:pPr>
    </w:p>
    <w:p>
      <w:pPr>
        <w:ind w:left="1300" w:hanging="320"/>
        <w:spacing w:after="0" w:line="224" w:lineRule="auto"/>
        <w:tabs>
          <w:tab w:leader="none" w:pos="130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ENT reported revenue grew substantially due to the Acclarent acquisition</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Tissue Technologies (~30% of Revenues)</w:t>
      </w:r>
    </w:p>
    <w:p>
      <w:pPr>
        <w:spacing w:after="0" w:line="247" w:lineRule="exact"/>
        <w:rPr>
          <w:sz w:val="20"/>
          <w:szCs w:val="20"/>
          <w:color w:val="auto"/>
        </w:rPr>
      </w:pPr>
    </w:p>
    <w:p>
      <w:pPr>
        <w:ind w:left="660"/>
        <w:spacing w:after="0" w:line="247" w:lineRule="auto"/>
        <w:rPr>
          <w:sz w:val="20"/>
          <w:szCs w:val="20"/>
          <w:color w:val="auto"/>
        </w:rPr>
      </w:pPr>
      <w:r>
        <w:rPr>
          <w:rFonts w:ascii="Times New Roman" w:cs="Times New Roman" w:eastAsia="Times New Roman" w:hAnsi="Times New Roman"/>
          <w:sz w:val="20"/>
          <w:szCs w:val="20"/>
          <w:color w:val="auto"/>
        </w:rPr>
        <w:t>Total revenues were $110.1 million, representing a reported decline of 3.6% and organic decline of 3.7% compared to the third quarter of 2023. Tissue Technologies sales were down 9.4% excluding sales of the Company’s products manufactured in Boston. Key drivers for the quarter include:</w:t>
      </w:r>
    </w:p>
    <w:p>
      <w:pPr>
        <w:spacing w:after="0" w:line="208"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Low double-digit decline in Integra Skin due to production challenges</w:t>
      </w:r>
    </w:p>
    <w:p>
      <w:pPr>
        <w:spacing w:after="0" w:line="12" w:lineRule="exact"/>
        <w:rPr>
          <w:rFonts w:ascii="Arial" w:cs="Arial" w:eastAsia="Arial" w:hAnsi="Arial"/>
          <w:sz w:val="22"/>
          <w:szCs w:val="22"/>
          <w:color w:val="auto"/>
        </w:rPr>
      </w:pPr>
    </w:p>
    <w:p>
      <w:pPr>
        <w:ind w:left="1300" w:hanging="320"/>
        <w:spacing w:after="0" w:line="224" w:lineRule="auto"/>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Low double-digit growth in DuraSorb®, MicroMatrix® and Cytal®</w:t>
      </w:r>
    </w:p>
    <w:p>
      <w:pPr>
        <w:spacing w:after="0" w:line="6" w:lineRule="exact"/>
        <w:rPr>
          <w:rFonts w:ascii="Times New Roman" w:cs="Times New Roman" w:eastAsia="Times New Roman" w:hAnsi="Times New Roman"/>
          <w:sz w:val="22"/>
          <w:szCs w:val="22"/>
          <w:color w:val="auto"/>
        </w:rPr>
      </w:pPr>
    </w:p>
    <w:p>
      <w:pPr>
        <w:ind w:left="1300" w:hanging="320"/>
        <w:spacing w:after="0" w:line="224" w:lineRule="auto"/>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Sales in private label grew 13.3% on an organic basis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CEO Transition Update</w:t>
      </w:r>
    </w:p>
    <w:p>
      <w:pPr>
        <w:spacing w:after="0" w:line="2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Today, the Company announced Mojdeh Poul as Integra’s next president and chief executive officer. Ms. Poul succeeds Jan De Witte, who previously announced he will retire as president and chief executive officer. Ms. Poul will join Integra on January 6, 2025, at which time she will also be appointed to Integra’s board of directors.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Advancing our Strategy</w:t>
      </w:r>
    </w:p>
    <w:p>
      <w:pPr>
        <w:spacing w:after="0" w:line="24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Continued strong demand for Integra's diverse portfolio of leading brands</w:t>
      </w:r>
    </w:p>
    <w:p>
      <w:pPr>
        <w:spacing w:after="0" w:line="13"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Advancing the compliance master plan and investments in supply reliability</w:t>
      </w:r>
    </w:p>
    <w:p>
      <w:pPr>
        <w:spacing w:after="0" w:line="7" w:lineRule="exact"/>
        <w:rPr>
          <w:rFonts w:ascii="Arial" w:cs="Arial" w:eastAsia="Arial" w:hAnsi="Arial"/>
          <w:sz w:val="22"/>
          <w:szCs w:val="22"/>
          <w:color w:val="auto"/>
        </w:rPr>
      </w:pPr>
    </w:p>
    <w:p>
      <w:pPr>
        <w:ind w:left="1300" w:hanging="320"/>
        <w:spacing w:after="0" w:line="224" w:lineRule="auto"/>
        <w:tabs>
          <w:tab w:leader="none" w:pos="1300" w:val="left"/>
        </w:tabs>
        <w:numPr>
          <w:ilvl w:val="1"/>
          <w:numId w:val="11"/>
        </w:numPr>
        <w:rPr>
          <w:rFonts w:ascii="Courier New" w:cs="Courier New" w:eastAsia="Courier New" w:hAnsi="Courier New"/>
          <w:sz w:val="22"/>
          <w:szCs w:val="22"/>
          <w:color w:val="auto"/>
        </w:rPr>
      </w:pPr>
      <w:r>
        <w:rPr>
          <w:rFonts w:ascii="Times New Roman" w:cs="Times New Roman" w:eastAsia="Times New Roman" w:hAnsi="Times New Roman"/>
          <w:sz w:val="20"/>
          <w:szCs w:val="20"/>
          <w:color w:val="auto"/>
        </w:rPr>
        <w:t>Neurosurgery shipping holds clearing in line with expectations</w:t>
      </w:r>
    </w:p>
    <w:p>
      <w:pPr>
        <w:spacing w:after="0" w:line="47" w:lineRule="exact"/>
        <w:rPr>
          <w:rFonts w:ascii="Courier New" w:cs="Courier New" w:eastAsia="Courier New" w:hAnsi="Courier New"/>
          <w:sz w:val="22"/>
          <w:szCs w:val="22"/>
          <w:color w:val="auto"/>
        </w:rPr>
      </w:pPr>
    </w:p>
    <w:p>
      <w:pPr>
        <w:ind w:left="1300" w:hanging="320"/>
        <w:spacing w:after="0" w:line="224" w:lineRule="auto"/>
        <w:tabs>
          <w:tab w:leader="none" w:pos="1300" w:val="left"/>
        </w:tabs>
        <w:numPr>
          <w:ilvl w:val="1"/>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Integra Skin production is on pace to meet historical revenue run rates for the fourth quarter</w:t>
      </w:r>
    </w:p>
    <w:p>
      <w:pPr>
        <w:spacing w:after="0" w:line="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Began installing equipment in Braintree facility</w:t>
      </w:r>
    </w:p>
    <w:p>
      <w:pPr>
        <w:spacing w:after="0" w:line="13"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Continued integration success with the Acclarent ENT products</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Growth in DuraSorb® and UBM portfolio remains strong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Cash Flow and Capital Allocation</w:t>
      </w:r>
    </w:p>
    <w:p>
      <w:pPr>
        <w:spacing w:after="0" w:line="166"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The Company generated cash flow from operations of $22.5 million in the quarter. Total balance sheet debt and net debt at the end of the quarter were $1.81 billion and $1.54 billion, respectively, and the consolidated total leverage ratio was 4.0x.</w:t>
      </w:r>
    </w:p>
    <w:p>
      <w:pPr>
        <w:sectPr>
          <w:pgSz w:w="11900" w:h="16838" w:orient="portrait"/>
          <w:cols w:equalWidth="0" w:num="1">
            <w:col w:w="11240"/>
          </w:cols>
          <w:pgMar w:left="320" w:top="886" w:right="339" w:bottom="1440" w:gutter="0" w:footer="0" w:header="0"/>
        </w:sectPr>
      </w:pPr>
    </w:p>
    <w:bookmarkStart w:id="8" w:name="page9"/>
    <w:bookmarkEnd w:id="8"/>
    <w:p>
      <w:pPr>
        <w:spacing w:after="0" w:line="283" w:lineRule="auto"/>
        <w:rPr>
          <w:sz w:val="20"/>
          <w:szCs w:val="20"/>
          <w:color w:val="auto"/>
        </w:rPr>
      </w:pPr>
      <w:r>
        <w:rPr>
          <w:rFonts w:ascii="Times New Roman" w:cs="Times New Roman" w:eastAsia="Times New Roman" w:hAnsi="Times New Roman"/>
          <w:sz w:val="20"/>
          <w:szCs w:val="20"/>
          <w:color w:val="auto"/>
        </w:rPr>
        <w:t>As of quarter end, the Company had total liquidity of approximately $1.18 billion, including $277 million in cash plus short-term investments and the remainder available under its revolving credit facility.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Outlook</w:t>
      </w:r>
    </w:p>
    <w:p>
      <w:pPr>
        <w:spacing w:after="0" w:line="193"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 xml:space="preserve">For the fourth quarter 2024, the Company expects reported revenues in the range of $441 million to $451 million, representing reported growth of 11.1% to 13.6% and organic growth of 2.0% to 4.5%. Fourth quarter guidance reflects the integration of Acclarent, stepped up revenue from progress clearing the third-quarter shipping holds, improved production for Integra Skin, partially offset by additional quality </w:t>
      </w:r>
      <w:r>
        <w:rPr>
          <w:rFonts w:ascii="Times New Roman" w:cs="Times New Roman" w:eastAsia="Times New Roman" w:hAnsi="Times New Roman"/>
          <w:sz w:val="21"/>
          <w:szCs w:val="21"/>
          <w:color w:val="auto"/>
        </w:rPr>
        <w:t>holds</w:t>
      </w:r>
      <w:r>
        <w:rPr>
          <w:rFonts w:ascii="Times New Roman" w:cs="Times New Roman" w:eastAsia="Times New Roman" w:hAnsi="Times New Roman"/>
          <w:sz w:val="19"/>
          <w:szCs w:val="19"/>
          <w:color w:val="auto"/>
        </w:rPr>
        <w:t>. The Company expects adjusted EPS in a range of $0.81 to $0.89.</w:t>
      </w:r>
    </w:p>
    <w:p>
      <w:pPr>
        <w:spacing w:after="0" w:line="200" w:lineRule="exact"/>
        <w:rPr>
          <w:sz w:val="20"/>
          <w:szCs w:val="20"/>
          <w:color w:val="auto"/>
        </w:rPr>
      </w:pPr>
    </w:p>
    <w:p>
      <w:pPr>
        <w:spacing w:after="0" w:line="24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For the full year 2024, the Company is updating its revenue and adjusted EPS ranges of $1.609 billion to $1.619 billion and $2.41 to $2.49, respectively. The revenue range represents reported growth of 4.4% to 5.0% and organic growth of -1.7% to -1.0%.</w:t>
      </w:r>
    </w:p>
    <w:p>
      <w:pPr>
        <w:spacing w:after="0" w:line="20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The Company’s organic sales growth guidance for the fourth quarter and the full year excludes acquisitions and divestitures, as well as the effects of foreign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 xml:space="preserve">Integra has scheduled a conference call for 8:30 a.m. ET on Monday November 4, 2024, to discuss third quarter 2024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at </w:t>
      </w:r>
      <w:r>
        <w:rPr>
          <w:rFonts w:ascii="Times New Roman" w:cs="Times New Roman" w:eastAsia="Times New Roman" w:hAnsi="Times New Roman"/>
          <w:sz w:val="19"/>
          <w:szCs w:val="19"/>
          <w:u w:val="single" w:color="auto"/>
          <w:color w:val="0000FF"/>
        </w:rPr>
        <w:t>investor.integralife.com.</w:t>
      </w:r>
    </w:p>
    <w:p>
      <w:pPr>
        <w:spacing w:after="0" w:line="19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investor.integralife.com. For those planning to participate on the call, register </w:t>
      </w:r>
      <w:r>
        <w:rPr>
          <w:rFonts w:ascii="Times New Roman" w:cs="Times New Roman" w:eastAsia="Times New Roman" w:hAnsi="Times New Roman"/>
          <w:sz w:val="20"/>
          <w:szCs w:val="20"/>
          <w:color w:val="3051F2"/>
        </w:rPr>
        <w:t>here</w:t>
      </w:r>
      <w:r>
        <w:rPr>
          <w:rFonts w:ascii="Times New Roman" w:cs="Times New Roman" w:eastAsia="Times New Roman" w:hAnsi="Times New Roman"/>
          <w:sz w:val="20"/>
          <w:szCs w:val="20"/>
          <w:color w:val="auto"/>
        </w:rPr>
        <w:t xml:space="preserve"> to receive dial-in details and an individual pin. While not required, it is recommended to join 10 minutes prior to the event’s start. A webcast replay of the conference call will be available on the Investors section of the Company’s website following the call.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6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 xml:space="preserve">At Integra LifeSciences, we are driven by our purpose of restoring patients’ lives. We innovate treatment pathways to advance patient outcomes and set new standards of surgical, neurologic, and regenerative care. We offer a comprehensive portfolio of high quality, leadership brands. For the latest news and information about Integra and its products, please visit </w:t>
      </w:r>
      <w:r>
        <w:rPr>
          <w:rFonts w:ascii="Times New Roman" w:cs="Times New Roman" w:eastAsia="Times New Roman" w:hAnsi="Times New Roman"/>
          <w:sz w:val="20"/>
          <w:szCs w:val="20"/>
          <w:color w:val="0000FF"/>
        </w:rPr>
        <w:t>www.integralife.com.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19"/>
          <w:szCs w:val="19"/>
          <w:color w:val="auto"/>
        </w:rPr>
        <w:t>This news release contains forward-looking statements within the meaning of the Private Securities Litigation Reform Act of 1995 that involve risks and uncertainties and reflect the Company's judgment as of the date of this release. All statements, other than statements of</w:t>
      </w:r>
    </w:p>
    <w:p>
      <w:pPr>
        <w:spacing w:after="0" w:line="1"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19"/>
          <w:szCs w:val="19"/>
          <w:color w:val="auto"/>
        </w:rPr>
        <w:t>historical fact, are statements that could be deemed forward-looking statements. Some of these forward-looking statements may contain words like “will,” “believe,” “may,” “could,” “would,” “might,” “possible,” “should,” “expect,” “intend,” "forecast," "guidance," “plan,”</w:t>
      </w:r>
    </w:p>
    <w:p>
      <w:pPr>
        <w:spacing w:after="0" w:line="227" w:lineRule="auto"/>
        <w:rPr>
          <w:sz w:val="20"/>
          <w:szCs w:val="20"/>
          <w:color w:val="auto"/>
        </w:rPr>
      </w:pPr>
      <w:r>
        <w:rPr>
          <w:rFonts w:ascii="Times New Roman" w:cs="Times New Roman" w:eastAsia="Times New Roman" w:hAnsi="Times New Roman"/>
          <w:sz w:val="20"/>
          <w:szCs w:val="20"/>
          <w:color w:val="auto"/>
        </w:rPr>
        <w:t>“anticipate,” "target," or “continue,” the negative of these words, other terms of similar meaning or they may use future dates. Forward-</w:t>
      </w:r>
    </w:p>
    <w:p>
      <w:pPr>
        <w:ind w:right="640"/>
        <w:spacing w:after="0" w:line="229" w:lineRule="auto"/>
        <w:rPr>
          <w:sz w:val="20"/>
          <w:szCs w:val="20"/>
          <w:color w:val="auto"/>
        </w:rPr>
      </w:pPr>
      <w:r>
        <w:rPr>
          <w:rFonts w:ascii="Times New Roman" w:cs="Times New Roman" w:eastAsia="Times New Roman" w:hAnsi="Times New Roman"/>
          <w:sz w:val="19"/>
          <w:szCs w:val="19"/>
          <w:color w:val="auto"/>
        </w:rPr>
        <w:t>looking statements contained in this news release include, but are not limited to, statements concerning: future financial performance, including projections for revenues, expected revenue growth (both reported and organic), GAAP and adjusted net income, GAAP and</w:t>
      </w:r>
    </w:p>
    <w:p>
      <w:pPr>
        <w:spacing w:after="0" w:line="227" w:lineRule="auto"/>
        <w:rPr>
          <w:sz w:val="20"/>
          <w:szCs w:val="20"/>
          <w:color w:val="auto"/>
        </w:rPr>
      </w:pPr>
      <w:r>
        <w:rPr>
          <w:rFonts w:ascii="Times New Roman" w:cs="Times New Roman" w:eastAsia="Times New Roman" w:hAnsi="Times New Roman"/>
          <w:sz w:val="20"/>
          <w:szCs w:val="20"/>
          <w:color w:val="auto"/>
        </w:rPr>
        <w:t>adjusted earnings per diluted share, non-GAAP adjustments such as divestiture, acquisition and integration-related charges, intangible asset</w:t>
      </w:r>
    </w:p>
    <w:p>
      <w:pPr>
        <w:spacing w:after="0" w:line="228" w:lineRule="auto"/>
        <w:rPr>
          <w:sz w:val="20"/>
          <w:szCs w:val="20"/>
          <w:color w:val="auto"/>
        </w:rPr>
      </w:pPr>
      <w:r>
        <w:rPr>
          <w:rFonts w:ascii="Times New Roman" w:cs="Times New Roman" w:eastAsia="Times New Roman" w:hAnsi="Times New Roman"/>
          <w:sz w:val="20"/>
          <w:szCs w:val="20"/>
          <w:color w:val="auto"/>
        </w:rPr>
        <w:t>amortization, structural optimization charges, EU Medical Device Regulation-related charges, charges related to the voluntary global recall of all products manufactured at the Company’s facility in Boston, Massachusetts and the transition of Boston-related</w:t>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manufacturing operations to the Company’s Braintree, Massachusetts facility, and income tax expense (benefit) related to non-GAAP</w:t>
      </w:r>
    </w:p>
    <w:p>
      <w:pPr>
        <w:spacing w:after="0" w:line="8"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color w:val="auto"/>
        </w:rPr>
        <w:t>adjustments and other items; and the Company’s expectations and plans with respect to business and operational performance, strategic initiatives, capabilities, resources, product development, product availability and regulatory approvals, including expectations regarding the</w:t>
      </w:r>
    </w:p>
    <w:p>
      <w:pPr>
        <w:spacing w:after="0" w:line="227" w:lineRule="auto"/>
        <w:rPr>
          <w:sz w:val="20"/>
          <w:szCs w:val="20"/>
          <w:color w:val="auto"/>
        </w:rPr>
      </w:pPr>
      <w:r>
        <w:rPr>
          <w:rFonts w:ascii="Times New Roman" w:cs="Times New Roman" w:eastAsia="Times New Roman" w:hAnsi="Times New Roman"/>
          <w:sz w:val="20"/>
          <w:szCs w:val="20"/>
          <w:color w:val="auto"/>
        </w:rPr>
        <w:t>implementation and efficacy of a compliance master plan to improve the Company's quality system. It is important to note that the</w:t>
      </w:r>
    </w:p>
    <w:p>
      <w:pPr>
        <w:ind w:right="200"/>
        <w:spacing w:after="0" w:line="229" w:lineRule="auto"/>
        <w:rPr>
          <w:sz w:val="20"/>
          <w:szCs w:val="20"/>
          <w:color w:val="auto"/>
        </w:rPr>
      </w:pPr>
      <w:r>
        <w:rPr>
          <w:rFonts w:ascii="Times New Roman" w:cs="Times New Roman" w:eastAsia="Times New Roman" w:hAnsi="Times New Roman"/>
          <w:sz w:val="19"/>
          <w:szCs w:val="19"/>
          <w:color w:val="auto"/>
        </w:rPr>
        <w:t>Company’s goals and expectations are not predictions of actual performance. Such forward-looking statements involve risks and uncertainties that could cause actual results to differ materially from predicted or expected results. Such risks and uncertainties include, but</w:t>
      </w:r>
    </w:p>
    <w:p>
      <w:pPr>
        <w:spacing w:after="0" w:line="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9"/>
          <w:szCs w:val="19"/>
          <w:color w:val="auto"/>
        </w:rPr>
        <w:t>are not limited, to the following: the ongoing and possible future effects of global challenges, including macroeconomic uncertainties, inflation, supply chain disruptions, trade regulation and tariffs, bank failures and other economic disruptions, and U.S. and global recession</w:t>
      </w:r>
    </w:p>
    <w:p>
      <w:pPr>
        <w:spacing w:after="0" w:line="1"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color w:val="auto"/>
        </w:rPr>
        <w:t>concerns, on the Company’s customers and on the Company’s business, financial condition, results of operations and cash flows; the Company's ability to execute its operating plan effectively; the Company’s ability to successfully integrate Acclarent and other acquired</w:t>
      </w:r>
    </w:p>
    <w:p>
      <w:pPr>
        <w:spacing w:after="0" w:line="227" w:lineRule="auto"/>
        <w:rPr>
          <w:sz w:val="20"/>
          <w:szCs w:val="20"/>
          <w:color w:val="auto"/>
        </w:rPr>
      </w:pPr>
      <w:r>
        <w:rPr>
          <w:rFonts w:ascii="Times New Roman" w:cs="Times New Roman" w:eastAsia="Times New Roman" w:hAnsi="Times New Roman"/>
          <w:sz w:val="20"/>
          <w:szCs w:val="20"/>
          <w:color w:val="auto"/>
        </w:rPr>
        <w:t>businesses; the Company’s ability to achieve sales growth in a timely fashion; the Company's ability to manufacture and ship sufficient</w:t>
      </w:r>
    </w:p>
    <w:p>
      <w:pPr>
        <w:ind w:right="300"/>
        <w:spacing w:after="0" w:line="229" w:lineRule="auto"/>
        <w:rPr>
          <w:sz w:val="20"/>
          <w:szCs w:val="20"/>
          <w:color w:val="auto"/>
        </w:rPr>
      </w:pPr>
      <w:r>
        <w:rPr>
          <w:rFonts w:ascii="Times New Roman" w:cs="Times New Roman" w:eastAsia="Times New Roman" w:hAnsi="Times New Roman"/>
          <w:sz w:val="19"/>
          <w:szCs w:val="19"/>
          <w:color w:val="auto"/>
        </w:rPr>
        <w:t>quantities of its products to meet its customers' demands; the ability of third-party suppliers to supply us with raw materials and finished products; global macroeconomic and political conditions, including the war in Ukraine and the conflict in Israel and Gaza; the Company's</w:t>
      </w:r>
    </w:p>
    <w:p>
      <w:pPr>
        <w:spacing w:after="0" w:line="227" w:lineRule="auto"/>
        <w:rPr>
          <w:sz w:val="20"/>
          <w:szCs w:val="20"/>
          <w:color w:val="auto"/>
        </w:rPr>
      </w:pPr>
      <w:r>
        <w:rPr>
          <w:rFonts w:ascii="Times New Roman" w:cs="Times New Roman" w:eastAsia="Times New Roman" w:hAnsi="Times New Roman"/>
          <w:sz w:val="20"/>
          <w:szCs w:val="20"/>
          <w:color w:val="auto"/>
        </w:rPr>
        <w:t>ability to manage its direct sales channels effectively; the sales performance of third-party distributors on whom the Company relies to</w:t>
      </w:r>
    </w:p>
    <w:p>
      <w:pPr>
        <w:ind w:right="180"/>
        <w:spacing w:after="0" w:line="229" w:lineRule="auto"/>
        <w:rPr>
          <w:sz w:val="20"/>
          <w:szCs w:val="20"/>
          <w:color w:val="auto"/>
        </w:rPr>
      </w:pPr>
      <w:r>
        <w:rPr>
          <w:rFonts w:ascii="Times New Roman" w:cs="Times New Roman" w:eastAsia="Times New Roman" w:hAnsi="Times New Roman"/>
          <w:sz w:val="19"/>
          <w:szCs w:val="19"/>
          <w:color w:val="auto"/>
        </w:rPr>
        <w:t>generate revenue for certain products and geographic regions; the Company's ability to access and maintain relationships with customers of acquired entities and businesses; physicians' willingness to adopt and third-party payors' willingness to provide or maintain reimbursement</w:t>
      </w:r>
    </w:p>
    <w:p>
      <w:pPr>
        <w:spacing w:after="0" w:line="227" w:lineRule="auto"/>
        <w:rPr>
          <w:sz w:val="20"/>
          <w:szCs w:val="20"/>
          <w:color w:val="auto"/>
        </w:rPr>
      </w:pPr>
      <w:r>
        <w:rPr>
          <w:rFonts w:ascii="Times New Roman" w:cs="Times New Roman" w:eastAsia="Times New Roman" w:hAnsi="Times New Roman"/>
          <w:sz w:val="20"/>
          <w:szCs w:val="20"/>
          <w:color w:val="auto"/>
        </w:rPr>
        <w:t>for the Company's recently launched, planned and existing products; initiatives launched by the Company's competitors; downward pricing</w:t>
      </w:r>
    </w:p>
    <w:p>
      <w:pPr>
        <w:ind w:right="680"/>
        <w:spacing w:after="0" w:line="229" w:lineRule="auto"/>
        <w:rPr>
          <w:sz w:val="20"/>
          <w:szCs w:val="20"/>
          <w:color w:val="auto"/>
        </w:rPr>
      </w:pPr>
      <w:r>
        <w:rPr>
          <w:rFonts w:ascii="Times New Roman" w:cs="Times New Roman" w:eastAsia="Times New Roman" w:hAnsi="Times New Roman"/>
          <w:sz w:val="19"/>
          <w:szCs w:val="19"/>
          <w:color w:val="auto"/>
        </w:rPr>
        <w:t>pressures from customers; the Company's ability to secure regulatory approval for products in development; the Company's ability to remediate quality systems violations; difficulties in implementing the Company’s compliance master plan and realizing the benefits</w:t>
      </w:r>
    </w:p>
    <w:p>
      <w:pPr>
        <w:spacing w:after="0" w:line="227" w:lineRule="auto"/>
        <w:rPr>
          <w:sz w:val="20"/>
          <w:szCs w:val="20"/>
          <w:color w:val="auto"/>
        </w:rPr>
      </w:pPr>
      <w:r>
        <w:rPr>
          <w:rFonts w:ascii="Times New Roman" w:cs="Times New Roman" w:eastAsia="Times New Roman" w:hAnsi="Times New Roman"/>
          <w:sz w:val="20"/>
          <w:szCs w:val="20"/>
          <w:color w:val="auto"/>
        </w:rPr>
        <w:t>contemplated thereby within the anticipated timeframe, or at all; difficulties or delays in obtaining and maintaining required regulatory</w:t>
      </w:r>
    </w:p>
    <w:p>
      <w:pPr>
        <w:ind w:right="580"/>
        <w:spacing w:after="0" w:line="229" w:lineRule="auto"/>
        <w:rPr>
          <w:sz w:val="20"/>
          <w:szCs w:val="20"/>
          <w:color w:val="auto"/>
        </w:rPr>
      </w:pPr>
      <w:r>
        <w:rPr>
          <w:rFonts w:ascii="Times New Roman" w:cs="Times New Roman" w:eastAsia="Times New Roman" w:hAnsi="Times New Roman"/>
          <w:sz w:val="19"/>
          <w:szCs w:val="19"/>
          <w:color w:val="auto"/>
        </w:rPr>
        <w:t>approvals related to the transition of the manufacturing to the Company’s Braintree manufacturing facility; the possibility that costs or difficulties related to building and the operationalization of the Braintree facility or the transition of manufacturing activities from the</w:t>
      </w:r>
    </w:p>
    <w:p>
      <w:pPr>
        <w:spacing w:after="0" w:line="2"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9"/>
          <w:szCs w:val="19"/>
          <w:color w:val="auto"/>
        </w:rPr>
        <w:t>Company’s Boston facility to the Braintree facility will be greater than expected; fluctuations in hospitals' spending for capital equipment; uncertainties inherent in the development of new products and the enhancement of existing products, including FDA approval and/or</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clearance and other regulatory risks, technical risks, cost overruns and delays; the Company's ability to comply with regulations regarding products of human origin and products containing materials derived from animal source; difficulties in controlling expenses, including costs</w:t>
      </w:r>
    </w:p>
    <w:p>
      <w:pPr>
        <w:spacing w:after="0" w:line="227" w:lineRule="auto"/>
        <w:rPr>
          <w:sz w:val="20"/>
          <w:szCs w:val="20"/>
          <w:color w:val="auto"/>
        </w:rPr>
      </w:pPr>
      <w:r>
        <w:rPr>
          <w:rFonts w:ascii="Times New Roman" w:cs="Times New Roman" w:eastAsia="Times New Roman" w:hAnsi="Times New Roman"/>
          <w:sz w:val="20"/>
          <w:szCs w:val="20"/>
          <w:color w:val="auto"/>
        </w:rPr>
        <w:t>to procure and manufacture the Company’s products; the ability of the Company to successfully manage leadership and organizational</w:t>
      </w:r>
    </w:p>
    <w:p>
      <w:pPr>
        <w:ind w:right="20"/>
        <w:spacing w:after="0" w:line="229" w:lineRule="auto"/>
        <w:rPr>
          <w:sz w:val="20"/>
          <w:szCs w:val="20"/>
          <w:color w:val="auto"/>
        </w:rPr>
      </w:pPr>
      <w:r>
        <w:rPr>
          <w:rFonts w:ascii="Times New Roman" w:cs="Times New Roman" w:eastAsia="Times New Roman" w:hAnsi="Times New Roman"/>
          <w:sz w:val="19"/>
          <w:szCs w:val="19"/>
          <w:color w:val="auto"/>
        </w:rPr>
        <w:t>changes and the impact of changes in management or staff levels; the impact of goodwill and intangible asset impairment charges if future operating results of acquired businesses are significantly less than the results anticipated at the time of the acquisitions, the Company's ability</w:t>
      </w:r>
    </w:p>
    <w:p>
      <w:pPr>
        <w:spacing w:after="0" w:line="227" w:lineRule="auto"/>
        <w:rPr>
          <w:sz w:val="20"/>
          <w:szCs w:val="20"/>
          <w:color w:val="auto"/>
        </w:rPr>
      </w:pPr>
      <w:r>
        <w:rPr>
          <w:rFonts w:ascii="Times New Roman" w:cs="Times New Roman" w:eastAsia="Times New Roman" w:hAnsi="Times New Roman"/>
          <w:sz w:val="20"/>
          <w:szCs w:val="20"/>
          <w:color w:val="auto"/>
        </w:rPr>
        <w:t>to leverage its existing selling organizations and administrative infrastructure; the Company's ability to increase product sales and gross</w:t>
      </w:r>
    </w:p>
    <w:p>
      <w:pPr>
        <w:ind w:right="40"/>
        <w:spacing w:after="0" w:line="229" w:lineRule="auto"/>
        <w:rPr>
          <w:sz w:val="20"/>
          <w:szCs w:val="20"/>
          <w:color w:val="auto"/>
        </w:rPr>
      </w:pPr>
      <w:r>
        <w:rPr>
          <w:rFonts w:ascii="Times New Roman" w:cs="Times New Roman" w:eastAsia="Times New Roman" w:hAnsi="Times New Roman"/>
          <w:sz w:val="19"/>
          <w:szCs w:val="19"/>
          <w:color w:val="auto"/>
        </w:rPr>
        <w:t>margins, and control non-product costs; the Company’s ability to achieve anticipated growth rates, margins and scale and execute its strategy generally; the amount and timing of divestiture, acquisition and integration-related costs; the geographic distribution of where the Company</w:t>
      </w:r>
    </w:p>
    <w:p>
      <w:pPr>
        <w:spacing w:after="0" w:line="227" w:lineRule="auto"/>
        <w:rPr>
          <w:sz w:val="20"/>
          <w:szCs w:val="20"/>
          <w:color w:val="auto"/>
        </w:rPr>
      </w:pPr>
      <w:r>
        <w:rPr>
          <w:rFonts w:ascii="Times New Roman" w:cs="Times New Roman" w:eastAsia="Times New Roman" w:hAnsi="Times New Roman"/>
          <w:sz w:val="20"/>
          <w:szCs w:val="20"/>
          <w:color w:val="auto"/>
        </w:rPr>
        <w:t>generates its taxable income; new U.S. and foreign government laws and regulations, and changes in existing laws, regulations and</w:t>
      </w:r>
    </w:p>
    <w:p>
      <w:pPr>
        <w:ind w:right="260"/>
        <w:spacing w:after="0" w:line="229" w:lineRule="auto"/>
        <w:rPr>
          <w:sz w:val="20"/>
          <w:szCs w:val="20"/>
          <w:color w:val="auto"/>
        </w:rPr>
      </w:pPr>
      <w:r>
        <w:rPr>
          <w:rFonts w:ascii="Times New Roman" w:cs="Times New Roman" w:eastAsia="Times New Roman" w:hAnsi="Times New Roman"/>
          <w:sz w:val="19"/>
          <w:szCs w:val="19"/>
          <w:color w:val="auto"/>
        </w:rPr>
        <w:t>enforcement guidance, which affect areas of our operations including, but not limited to, those affecting the health care industry, including the EU Medical Device Regulation; the scope, duration and effect of U.S. and international governmental, regulatory, fiscal, monetary and</w:t>
      </w:r>
    </w:p>
    <w:p>
      <w:pPr>
        <w:spacing w:after="0"/>
        <w:rPr>
          <w:sz w:val="20"/>
          <w:szCs w:val="20"/>
          <w:color w:val="auto"/>
        </w:rPr>
      </w:pPr>
      <w:r>
        <w:rPr>
          <w:rFonts w:ascii="Times New Roman" w:cs="Times New Roman" w:eastAsia="Times New Roman" w:hAnsi="Times New Roman"/>
          <w:sz w:val="19"/>
          <w:szCs w:val="19"/>
          <w:color w:val="auto"/>
        </w:rPr>
        <w:t>public health responses to any future public health crises; fluctuations in foreign currency exchange rates; the amount of our bank borrowings</w:t>
      </w:r>
    </w:p>
    <w:p>
      <w:pPr>
        <w:ind w:right="140"/>
        <w:spacing w:after="0" w:line="229" w:lineRule="auto"/>
        <w:rPr>
          <w:sz w:val="20"/>
          <w:szCs w:val="20"/>
          <w:color w:val="auto"/>
        </w:rPr>
      </w:pPr>
      <w:r>
        <w:rPr>
          <w:rFonts w:ascii="Times New Roman" w:cs="Times New Roman" w:eastAsia="Times New Roman" w:hAnsi="Times New Roman"/>
          <w:sz w:val="19"/>
          <w:szCs w:val="19"/>
          <w:color w:val="auto"/>
        </w:rPr>
        <w:t>outstanding and other factors influencing liquidity; potential negative impacts resulting from environmental, social and governance matters; and the economic, competitive, governmental, technological, and other risk factors and uncertainties identified under the heading “Risk</w:t>
      </w:r>
    </w:p>
    <w:p>
      <w:pPr>
        <w:spacing w:after="0" w:line="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auto"/>
        </w:rPr>
        <w:t>Factors” included in Item 1A of Integra's Annual Report on Form 10-K for the year ended December 31, 2023 and information contained in subsequent filings with the Securities and Exchange Commission.</w:t>
      </w:r>
    </w:p>
    <w:p>
      <w:pPr>
        <w:spacing w:after="0" w:line="200" w:lineRule="exact"/>
        <w:rPr>
          <w:sz w:val="20"/>
          <w:szCs w:val="20"/>
          <w:color w:val="auto"/>
        </w:rPr>
      </w:pPr>
    </w:p>
    <w:p>
      <w:pPr>
        <w:spacing w:after="0" w:line="257"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9"/>
          <w:szCs w:val="19"/>
          <w:color w:val="auto"/>
        </w:rPr>
        <w:t>These forward-looking statements are made only as of the date hereof, and the Company undertakes no obligation to update or revise the forward-looking statements, whether as a result of new information, future events, or otherwise, except as otherwise required by law.</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Discussion of Adjusted Financial Measures</w:t>
      </w:r>
    </w:p>
    <w:p>
      <w:pPr>
        <w:sectPr>
          <w:pgSz w:w="11900" w:h="16838" w:orient="portrait"/>
          <w:cols w:equalWidth="0" w:num="1">
            <w:col w:w="11220"/>
          </w:cols>
          <w:pgMar w:left="320" w:top="873" w:right="359" w:bottom="1440" w:gutter="0" w:footer="0" w:header="0"/>
        </w:sectPr>
      </w:pPr>
    </w:p>
    <w:bookmarkStart w:id="10" w:name="page11"/>
    <w:bookmarkEnd w:id="10"/>
    <w:p>
      <w:pPr>
        <w:spacing w:after="0" w:line="262" w:lineRule="auto"/>
        <w:rPr>
          <w:sz w:val="20"/>
          <w:szCs w:val="20"/>
          <w:color w:val="auto"/>
        </w:rPr>
      </w:pPr>
      <w:r>
        <w:rPr>
          <w:rFonts w:ascii="Times New Roman" w:cs="Times New Roman" w:eastAsia="Times New Roman" w:hAnsi="Times New Roman"/>
          <w:sz w:val="19"/>
          <w:szCs w:val="19"/>
          <w:color w:val="auto"/>
        </w:rPr>
        <w:t>In addition to our GAAP results, we provide certain non-GAAP measures, including organic revenues, organic revenues excluding Boston, adjusted earnings before interest, taxes, depreciation and amortization (“EBITDA”), adjusted net income, adjusted gross profit, adjusted gross margin, adjusted earnings per diluted share, free cash flow, adjusted free cash flow conversion, and net debt. 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 produced products including sales reported prior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w:t>
      </w:r>
    </w:p>
    <w:p>
      <w:pPr>
        <w:spacing w:after="0" w:line="6" w:lineRule="exact"/>
        <w:rPr>
          <w:sz w:val="20"/>
          <w:szCs w:val="20"/>
          <w:color w:val="auto"/>
        </w:rPr>
      </w:pPr>
    </w:p>
    <w:p>
      <w:pPr>
        <w:ind w:right="40" w:firstLine="8"/>
        <w:spacing w:after="0" w:line="247" w:lineRule="auto"/>
        <w:tabs>
          <w:tab w:leader="none" w:pos="3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free cash flow consists of GAAP net cash provided by operating activities less purchases of property and equipment. The adjusted free cash flow conversion measure is calculated by dividing free cash flow by adjusted net income. The measure of net debt consists of GAAP total debt (excluding deferred financing costs) less short-term investments, cash and cash equivalents.</w:t>
      </w:r>
    </w:p>
    <w:p>
      <w:pPr>
        <w:spacing w:after="0" w:line="200" w:lineRule="exact"/>
        <w:rPr>
          <w:sz w:val="20"/>
          <w:szCs w:val="20"/>
          <w:color w:val="auto"/>
        </w:rPr>
      </w:pPr>
    </w:p>
    <w:p>
      <w:pPr>
        <w:spacing w:after="0" w:line="26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Reconciliations of GAAP revenues to organic revenues, GAAP revenues to organic revenues excluding Boston, GAAP net income to adjusted EBITDA, and adjusted net income, GAAP gross profit to adjusted gross profit, GAAP gross margin to adjusted gross margin, GAAP total debt to net debt, and GAAP earnings per diluted share to adjusted earnings per diluted share all for the quarter ended September 30, 2024 and 2023, and the GAAP operating cash flow to free cash flow and adjusted free cash flow conversion for the quarters ended September 30, 2024 and 2023, appear in the financial tables in this release.</w:t>
      </w:r>
    </w:p>
    <w:p>
      <w:pPr>
        <w:spacing w:after="0" w:line="200" w:lineRule="exact"/>
        <w:rPr>
          <w:sz w:val="20"/>
          <w:szCs w:val="20"/>
          <w:color w:val="auto"/>
        </w:rPr>
      </w:pPr>
    </w:p>
    <w:p>
      <w:pPr>
        <w:spacing w:after="0" w:line="2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www.sec.gov or on our website at www.integralife.com.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(609) 772-7736</w:t>
      </w:r>
    </w:p>
    <w:p>
      <w:pPr>
        <w:sectPr>
          <w:pgSz w:w="11900" w:h="16838" w:orient="portrait"/>
          <w:cols w:equalWidth="0" w:num="1">
            <w:col w:w="11220"/>
          </w:cols>
          <w:pgMar w:left="320" w:top="112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chris.ward@integralife.com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spacing w:after="0" w:line="22" w:lineRule="exact"/>
        <w:rPr>
          <w:sz w:val="20"/>
          <w:szCs w:val="20"/>
          <w:color w:val="auto"/>
        </w:rPr>
      </w:pPr>
    </w:p>
    <w:p>
      <w:pPr>
        <w:ind w:right="7819" w:firstLine="8"/>
        <w:spacing w:after="0" w:line="286" w:lineRule="auto"/>
        <w:tabs>
          <w:tab w:leader="none" w:pos="47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0139"/>
          </w:cols>
          <w:pgMar w:left="320" w:top="886" w:right="1440" w:bottom="1440" w:gutter="0" w:footer="0" w:header="0"/>
        </w:sectPr>
      </w:pPr>
    </w:p>
    <w:bookmarkStart w:id="12" w:name="page13"/>
    <w:bookmarkEnd w:id="12"/>
    <w:p>
      <w:pPr>
        <w:jc w:val="center"/>
        <w:ind w:right="-112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p>
      <w:pPr>
        <w:sectPr>
          <w:pgSz w:w="11900" w:h="16838" w:orient="portrait"/>
          <w:cols w:equalWidth="0" w:num="1">
            <w:col w:w="10139"/>
          </w:cols>
          <w:pgMar w:left="320" w:top="891" w:right="1440" w:bottom="1440" w:gutter="0" w:footer="0" w:header="0"/>
        </w:sect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revenues, net</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Intangible asset amortization</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31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57"/>
        </w:trPr>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8"/>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380,834</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382,421</w:t>
            </w:r>
          </w:p>
        </w:tc>
      </w:tr>
      <w:tr>
        <w:trPr>
          <w:trHeight w:val="557"/>
        </w:trPr>
        <w:tc>
          <w:tcPr>
            <w:tcW w:w="26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180,596</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164,076</w:t>
            </w:r>
          </w:p>
        </w:tc>
      </w:tr>
      <w:tr>
        <w:trPr>
          <w:trHeight w:val="229"/>
        </w:trPr>
        <w:tc>
          <w:tcPr>
            <w:tcW w:w="260" w:type="dxa"/>
            <w:vAlign w:val="bottom"/>
          </w:tcPr>
          <w:p>
            <w:pPr>
              <w:spacing w:after="0"/>
              <w:rPr>
                <w:sz w:val="19"/>
                <w:szCs w:val="19"/>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27,435</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w:t>
            </w:r>
          </w:p>
        </w:tc>
      </w:tr>
      <w:tr>
        <w:trPr>
          <w:trHeight w:val="230"/>
        </w:trPr>
        <w:tc>
          <w:tcPr>
            <w:tcW w:w="260" w:type="dxa"/>
            <w:vAlign w:val="bottom"/>
          </w:tcPr>
          <w:p>
            <w:pPr>
              <w:spacing w:after="0"/>
              <w:rPr>
                <w:sz w:val="19"/>
                <w:szCs w:val="19"/>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177,193</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161,948</w:t>
            </w: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3,760</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r>
      <w:tr>
        <w:trPr>
          <w:trHeight w:val="223"/>
        </w:trPr>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388,984</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355,828</w:t>
            </w:r>
          </w:p>
        </w:tc>
      </w:tr>
      <w:tr>
        <w:trPr>
          <w:trHeight w:val="466"/>
        </w:trPr>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(8,150)</w:t>
            </w: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26,593</w:t>
            </w:r>
          </w:p>
        </w:tc>
      </w:tr>
      <w:tr>
        <w:trPr>
          <w:trHeight w:val="461"/>
        </w:trPr>
        <w:tc>
          <w:tcPr>
            <w:tcW w:w="26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5,049</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29"/>
        </w:trPr>
        <w:tc>
          <w:tcPr>
            <w:tcW w:w="26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(19,373)</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w:t>
            </w: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2,112</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8"/>
        </w:trPr>
        <w:tc>
          <w:tcPr>
            <w:tcW w:w="26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(20,362)</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(9,667)</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3"/>
        </w:trPr>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(10,695)</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19,497</w:t>
            </w:r>
          </w:p>
        </w:tc>
      </w:tr>
    </w:tbl>
    <w:p>
      <w:pPr>
        <w:spacing w:after="0" w:line="200" w:lineRule="exact"/>
        <w:rPr>
          <w:sz w:val="20"/>
          <w:szCs w:val="20"/>
          <w:color w:val="auto"/>
        </w:rPr>
      </w:pPr>
    </w:p>
    <w:p>
      <w:pPr>
        <w:sectPr>
          <w:pgSz w:w="11900" w:h="16838" w:orient="portrait"/>
          <w:cols w:equalWidth="0" w:num="2">
            <w:col w:w="6220" w:space="320"/>
            <w:col w:w="3599"/>
          </w:cols>
          <w:pgMar w:left="320" w:top="891" w:right="1440" w:bottom="1440" w:gutter="0" w:footer="0" w:header="0"/>
          <w:type w:val="continuous"/>
        </w:sectPr>
      </w:pP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$(0.14)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4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2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76,448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79,811</w:t>
            </w:r>
          </w:p>
        </w:tc>
      </w:tr>
    </w:tbl>
    <w:p>
      <w:pPr>
        <w:sectPr>
          <w:pgSz w:w="11900" w:h="16838" w:orient="portrait"/>
          <w:cols w:equalWidth="0" w:num="1">
            <w:col w:w="10139"/>
          </w:cols>
          <w:pgMar w:left="320" w:top="891" w:right="1440" w:bottom="1440" w:gutter="0" w:footer="0" w:header="0"/>
          <w:type w:val="continuous"/>
        </w:sectPr>
      </w:pPr>
    </w:p>
    <w:bookmarkStart w:id="13" w:name="page14"/>
    <w:bookmarkEnd w:id="13"/>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for the three months ended September 30, 2024 and 2023 (amounts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Neurosurgery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7"/>
        </w:trPr>
        <w:tc>
          <w:tcPr>
            <w:tcW w:w="6080" w:type="dxa"/>
            <w:vAlign w:val="bottom"/>
            <w:vMerge w:val="continue"/>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175,956</w:t>
            </w:r>
          </w:p>
        </w:tc>
        <w:tc>
          <w:tcPr>
            <w:tcW w:w="380" w:type="dxa"/>
            <w:vAlign w:val="bottom"/>
          </w:tcPr>
          <w:p>
            <w:pPr>
              <w:spacing w:after="0"/>
              <w:rPr>
                <w:sz w:val="19"/>
                <w:szCs w:val="19"/>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209,229</w:t>
            </w: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(15.9)%</w:t>
            </w:r>
          </w:p>
        </w:tc>
        <w:tc>
          <w:tcPr>
            <w:tcW w:w="0" w:type="dxa"/>
            <w:vAlign w:val="bottom"/>
          </w:tcPr>
          <w:p>
            <w:pPr>
              <w:spacing w:after="0"/>
              <w:rPr>
                <w:sz w:val="1"/>
                <w:szCs w:val="1"/>
                <w:color w:val="auto"/>
              </w:rPr>
            </w:pPr>
          </w:p>
        </w:tc>
      </w:tr>
      <w:tr>
        <w:trPr>
          <w:trHeight w:val="256"/>
        </w:trPr>
        <w:tc>
          <w:tcPr>
            <w:tcW w:w="608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Instruments</w:t>
            </w:r>
            <w:r>
              <w:rPr>
                <w:rFonts w:ascii="Times New Roman" w:cs="Times New Roman" w:eastAsia="Times New Roman" w:hAnsi="Times New Roman"/>
                <w:sz w:val="25"/>
                <w:szCs w:val="25"/>
                <w:color w:val="auto"/>
                <w:vertAlign w:val="superscript"/>
              </w:rPr>
              <w:t>(2)</w:t>
            </w:r>
          </w:p>
        </w:tc>
        <w:tc>
          <w:tcPr>
            <w:tcW w:w="1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380" w:type="dxa"/>
            <w:vAlign w:val="bottom"/>
          </w:tcPr>
          <w:p>
            <w:pPr>
              <w:spacing w:after="0"/>
              <w:rPr>
                <w:sz w:val="22"/>
                <w:szCs w:val="22"/>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49,920</w:t>
            </w: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66"/>
        </w:trPr>
        <w:tc>
          <w:tcPr>
            <w:tcW w:w="608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ENT</w:t>
            </w:r>
            <w:r>
              <w:rPr>
                <w:rFonts w:ascii="Times New Roman" w:cs="Times New Roman" w:eastAsia="Times New Roman" w:hAnsi="Times New Roman"/>
                <w:sz w:val="25"/>
                <w:szCs w:val="25"/>
                <w:color w:val="auto"/>
                <w:vertAlign w:val="superscript"/>
              </w:rPr>
              <w:t>(2)</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3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9,056</w:t>
            </w:r>
          </w:p>
        </w:tc>
        <w:tc>
          <w:tcPr>
            <w:tcW w:w="1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7"/>
              </w:rPr>
              <w:t>348.2%</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Codman Specialty Surgical</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270,782</w:t>
            </w:r>
          </w:p>
        </w:tc>
        <w:tc>
          <w:tcPr>
            <w:tcW w:w="380" w:type="dxa"/>
            <w:vAlign w:val="bottom"/>
          </w:tcPr>
          <w:p>
            <w:pPr>
              <w:spacing w:after="0"/>
              <w:rPr>
                <w:sz w:val="20"/>
                <w:szCs w:val="20"/>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268,205</w:t>
            </w: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Wound Reconstruction and Care</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80,461</w:t>
            </w:r>
          </w:p>
        </w:tc>
        <w:tc>
          <w:tcPr>
            <w:tcW w:w="380" w:type="dxa"/>
            <w:vAlign w:val="bottom"/>
          </w:tcPr>
          <w:p>
            <w:pPr>
              <w:spacing w:after="0"/>
              <w:rPr>
                <w:sz w:val="24"/>
                <w:szCs w:val="24"/>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88,071</w:t>
            </w: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Private Label</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29,592</w:t>
            </w:r>
          </w:p>
        </w:tc>
        <w:tc>
          <w:tcPr>
            <w:tcW w:w="3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26,145</w:t>
            </w:r>
          </w:p>
        </w:tc>
        <w:tc>
          <w:tcPr>
            <w:tcW w:w="1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8"/>
              </w:rPr>
              <w:t>13.2%</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Tissue Technologies</w:t>
            </w: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110,053</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114,216</w:t>
            </w:r>
          </w:p>
        </w:tc>
        <w:tc>
          <w:tcPr>
            <w:tcW w:w="1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reported revenues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380,835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382,421</w:t>
            </w:r>
          </w:p>
        </w:tc>
        <w:tc>
          <w:tcPr>
            <w:tcW w:w="1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Impact of changes in currency exchange rates</w:t>
            </w: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60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tcPr>
          <w:p>
            <w:pPr>
              <w:spacing w:after="0"/>
              <w:rPr>
                <w:sz w:val="24"/>
                <w:szCs w:val="24"/>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Less contribution of revenues from acquisitions</w:t>
            </w:r>
          </w:p>
        </w:tc>
        <w:tc>
          <w:tcPr>
            <w:tcW w:w="1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(31,008)</w:t>
            </w:r>
          </w:p>
        </w:tc>
        <w:tc>
          <w:tcPr>
            <w:tcW w:w="380" w:type="dxa"/>
            <w:vAlign w:val="bottom"/>
          </w:tcPr>
          <w:p>
            <w:pPr>
              <w:spacing w:after="0"/>
              <w:rPr>
                <w:sz w:val="22"/>
                <w:szCs w:val="22"/>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Less contribution of revenues from divested products</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(1)</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349,642</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382,408</w:t>
            </w:r>
          </w:p>
        </w:tc>
        <w:tc>
          <w:tcPr>
            <w:tcW w:w="1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Boston Revenue impact</w:t>
            </w: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080" w:type="dxa"/>
            <w:vAlign w:val="bottom"/>
            <w:vMerge w:val="continue"/>
          </w:tcPr>
          <w:p>
            <w:pPr>
              <w:spacing w:after="0"/>
              <w:rPr>
                <w:sz w:val="24"/>
                <w:szCs w:val="24"/>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6,389</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excl. Boston</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348,863</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388,797</w:t>
            </w:r>
          </w:p>
        </w:tc>
        <w:tc>
          <w:tcPr>
            <w:tcW w:w="1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revenues have been adjusted to exclude foreign currency (current period), acquisitions and to account for divested and discontinued products.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revenues included within our instruments business have been reclassified under the ENT business.</w:t>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September 30,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Item</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Total Amount</w:t>
            </w: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SG&amp;A(b)</w:t>
            </w: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R&amp;D(c)</w:t>
            </w: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OI&amp;E(e)</w:t>
            </w:r>
          </w:p>
        </w:tc>
        <w:tc>
          <w:tcPr>
            <w:tcW w:w="1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(17)</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(17,244)</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September 30, 2023</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Amount</w:t>
            </w: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COGS(a)</w:t>
            </w: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SG&amp;A(b)</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R&amp;D(c)</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OI&amp;E(e)</w:t>
            </w:r>
          </w:p>
        </w:tc>
        <w:tc>
          <w:tcPr>
            <w:tcW w:w="10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Tax(f)</w:t>
            </w: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(123)</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(10,677)</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6" w:name="page17"/>
    <w:bookmarkEnd w:id="16"/>
    <w:p>
      <w:pPr>
        <w:jc w:val="center"/>
        <w:ind w:right="-1100"/>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ADJUSTED EBITDA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23"/>
        </w:trPr>
        <w:tc>
          <w:tcPr>
            <w:tcW w:w="6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5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(10,695)</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35,831</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30,538</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(2,095)</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14,324</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(9,667)</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5,739</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10,578</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 Braintree transition</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9,933</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charges(1)</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7,810</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72,453</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68,608</w:t>
            </w: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61,758</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88,105</w:t>
            </w:r>
          </w:p>
        </w:tc>
      </w:tr>
    </w:tbl>
    <w:p>
      <w:pPr>
        <w:sectPr>
          <w:pgSz w:w="11900" w:h="16838" w:orient="portrait"/>
          <w:cols w:equalWidth="0" w:num="1">
            <w:col w:w="10139"/>
          </w:cols>
          <w:pgMar w:left="320" w:top="891"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MEASURES OF ADJUSTED NET INCOME AND ADJUSTED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23"/>
        </w:trPr>
        <w:tc>
          <w:tcPr>
            <w:tcW w:w="7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69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(10,695)</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5,739</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7,810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10,578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9,933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25,615</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220" w:type="dxa"/>
            <w:vAlign w:val="bottom"/>
          </w:tcPr>
          <w:p>
            <w:pPr>
              <w:spacing w:after="0"/>
              <w:rPr>
                <w:sz w:val="19"/>
                <w:szCs w:val="19"/>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(17,244)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42,431</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41,042</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31,736</w:t>
            </w: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60,539</w:t>
            </w:r>
          </w:p>
        </w:tc>
      </w:tr>
      <w:tr>
        <w:trPr>
          <w:trHeight w:val="46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0.41</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2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76,478</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79,811</w:t>
            </w:r>
          </w:p>
        </w:tc>
      </w:tr>
    </w:tbl>
    <w:p>
      <w:pPr>
        <w:sectPr>
          <w:pgSz w:w="11900" w:h="16838" w:orient="portrait"/>
          <w:cols w:equalWidth="0" w:num="1">
            <w:col w:w="11220"/>
          </w:cols>
          <w:pgMar w:left="320" w:top="1134"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4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62,441</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30"/>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215,157</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00" w:type="dxa"/>
            <w:vAlign w:val="bottom"/>
          </w:tcPr>
          <w:p>
            <w:pPr>
              <w:spacing w:after="0"/>
              <w:rPr>
                <w:sz w:val="19"/>
                <w:szCs w:val="19"/>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248,298</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259,327</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436,930</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389,608</w:t>
            </w:r>
          </w:p>
        </w:tc>
        <w:tc>
          <w:tcPr>
            <w:tcW w:w="0" w:type="dxa"/>
            <w:vAlign w:val="bottom"/>
          </w:tcPr>
          <w:p>
            <w:pPr>
              <w:spacing w:after="0"/>
              <w:rPr>
                <w:sz w:val="1"/>
                <w:szCs w:val="1"/>
                <w:color w:val="auto"/>
              </w:rPr>
            </w:pPr>
          </w:p>
        </w:tc>
      </w:tr>
      <w:tr>
        <w:trPr>
          <w:trHeight w:val="441"/>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200" w:type="dxa"/>
            <w:vAlign w:val="bottom"/>
          </w:tcPr>
          <w:p>
            <w:pPr>
              <w:spacing w:after="0"/>
              <w:rPr>
                <w:sz w:val="24"/>
                <w:szCs w:val="24"/>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1,161,355</w:t>
            </w:r>
          </w:p>
        </w:tc>
        <w:tc>
          <w:tcPr>
            <w:tcW w:w="6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840,094</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00" w:type="dxa"/>
            <w:vAlign w:val="bottom"/>
          </w:tcPr>
          <w:p>
            <w:pPr>
              <w:spacing w:after="0"/>
              <w:rPr>
                <w:sz w:val="19"/>
                <w:szCs w:val="19"/>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72,800</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securities</w:t>
            </w:r>
          </w:p>
        </w:tc>
        <w:tc>
          <w:tcPr>
            <w:tcW w:w="20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572,442</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432"/>
        </w:trPr>
        <w:tc>
          <w:tcPr>
            <w:tcW w:w="7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1,521,587</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6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42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78,642</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(386,559)</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(36,949)</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by) by financing activities</w:t>
            </w:r>
          </w:p>
        </w:tc>
        <w:tc>
          <w:tcPr>
            <w:tcW w:w="380" w:type="dxa"/>
            <w:vAlign w:val="bottom"/>
          </w:tcPr>
          <w:p>
            <w:pPr>
              <w:spacing w:after="0"/>
              <w:rPr>
                <w:sz w:val="19"/>
                <w:szCs w:val="19"/>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245,013</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(223,035)</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1,659</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r>
      <w:tr>
        <w:trPr>
          <w:trHeight w:val="31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(61,245)</w:t>
            </w: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(182,929)</w:t>
            </w:r>
          </w:p>
        </w:tc>
      </w:tr>
    </w:tbl>
    <w:p>
      <w:pPr>
        <w:sectPr>
          <w:pgSz w:w="11900" w:h="16838" w:orient="portrait"/>
          <w:cols w:equalWidth="0" w:num="1">
            <w:col w:w="11220"/>
          </w:cols>
          <w:pgMar w:left="320" w:top="891" w:right="359" w:bottom="1440" w:gutter="0" w:footer="0" w:header="0"/>
        </w:sectPr>
      </w:pPr>
    </w:p>
    <w:bookmarkStart w:id="19" w:name="page20"/>
    <w:bookmarkEnd w:id="19"/>
    <w:p>
      <w:pPr>
        <w:jc w:val="center"/>
        <w:ind w:left="420" w:right="196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FREE CASH FLOW AND ADJUSTED FREE CASH FLOW CONVERSION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7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22,480</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26,770</w:t>
            </w:r>
          </w:p>
        </w:tc>
        <w:tc>
          <w:tcPr>
            <w:tcW w:w="0" w:type="dxa"/>
            <w:vAlign w:val="bottom"/>
          </w:tcPr>
          <w:p>
            <w:pPr>
              <w:spacing w:after="0"/>
              <w:rPr>
                <w:sz w:val="1"/>
                <w:szCs w:val="1"/>
                <w:color w:val="auto"/>
              </w:rPr>
            </w:pPr>
          </w:p>
        </w:tc>
      </w:tr>
      <w:tr>
        <w:trPr>
          <w:trHeight w:val="520"/>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(29,646)</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(13,062)</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(7,166)</w:t>
            </w:r>
          </w:p>
        </w:tc>
        <w:tc>
          <w:tcPr>
            <w:tcW w:w="4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13,708</w:t>
            </w:r>
          </w:p>
        </w:tc>
        <w:tc>
          <w:tcPr>
            <w:tcW w:w="0" w:type="dxa"/>
            <w:vAlign w:val="bottom"/>
          </w:tcPr>
          <w:p>
            <w:pPr>
              <w:spacing w:after="0"/>
              <w:rPr>
                <w:sz w:val="1"/>
                <w:szCs w:val="1"/>
                <w:color w:val="auto"/>
              </w:rPr>
            </w:pPr>
          </w:p>
        </w:tc>
      </w:tr>
      <w:tr>
        <w:trPr>
          <w:trHeight w:val="265"/>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31,736</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60,539</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Twelve Months Ended September 30,</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137,385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166,538</w:t>
            </w:r>
          </w:p>
        </w:tc>
        <w:tc>
          <w:tcPr>
            <w:tcW w:w="0" w:type="dxa"/>
            <w:vAlign w:val="bottom"/>
          </w:tcPr>
          <w:p>
            <w:pPr>
              <w:spacing w:after="0"/>
              <w:rPr>
                <w:sz w:val="1"/>
                <w:szCs w:val="1"/>
                <w:color w:val="auto"/>
              </w:rPr>
            </w:pPr>
          </w:p>
        </w:tc>
      </w:tr>
      <w:tr>
        <w:trPr>
          <w:trHeight w:val="25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(99,381)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(56,868)</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38,004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109,670</w:t>
            </w:r>
          </w:p>
        </w:tc>
        <w:tc>
          <w:tcPr>
            <w:tcW w:w="0" w:type="dxa"/>
            <w:vAlign w:val="bottom"/>
          </w:tcPr>
          <w:p>
            <w:pPr>
              <w:spacing w:after="0"/>
              <w:rPr>
                <w:sz w:val="1"/>
                <w:szCs w:val="1"/>
                <w:color w:val="auto"/>
              </w:rPr>
            </w:pPr>
          </w:p>
        </w:tc>
      </w:tr>
      <w:tr>
        <w:trPr>
          <w:trHeight w:val="265"/>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192,791</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257,514</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right="60"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for quarters ended September 30, 2024 and 2023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spacing w:after="0" w:line="200" w:lineRule="exact"/>
        <w:rPr>
          <w:sz w:val="20"/>
          <w:szCs w:val="20"/>
          <w:color w:val="auto"/>
        </w:rPr>
      </w:pPr>
    </w:p>
    <w:p>
      <w:pPr>
        <w:spacing w:after="0" w:line="24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useful in evaluating the significance of the cash special charges in its adjusted earnings measures.</w:t>
      </w:r>
    </w:p>
    <w:p>
      <w:pPr>
        <w:sectPr>
          <w:pgSz w:w="11900" w:h="16838" w:orient="portrait"/>
          <w:cols w:equalWidth="0" w:num="1">
            <w:col w:w="11140"/>
          </w:cols>
          <w:pgMar w:left="320" w:top="891" w:right="4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20"/>
                <w:szCs w:val="20"/>
                <w:color w:val="auto"/>
              </w:rPr>
            </w:pPr>
          </w:p>
        </w:tc>
        <w:tc>
          <w:tcPr>
            <w:tcW w:w="16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29,063</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1,132,292</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825,563</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572,442</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(215,157)</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1,535,515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spacing w:after="0" w:line="253" w:lineRule="auto"/>
        <w:rPr>
          <w:sz w:val="20"/>
          <w:szCs w:val="20"/>
          <w:color w:val="auto"/>
        </w:rPr>
      </w:pPr>
      <w:r>
        <w:rPr>
          <w:rFonts w:ascii="Times New Roman" w:cs="Times New Roman" w:eastAsia="Times New Roman" w:hAnsi="Times New Roman"/>
          <w:sz w:val="18"/>
          <w:szCs w:val="18"/>
          <w:color w:val="auto"/>
        </w:rPr>
        <w:t>RECONCILIATION OF NON-GAAP ADJUSTMENTS - GAAP GROSS PROFIT TO MEASURES OF ADJUSTED GROSS PROFIT AND ADJUSTED GROSS MARGIN</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4"/>
        </w:trPr>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481"/>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380,834</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382,421</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180,596</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164,076</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220" w:type="dxa"/>
            <w:vAlign w:val="bottom"/>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200,238</w:t>
            </w:r>
          </w:p>
        </w:tc>
        <w:tc>
          <w:tcPr>
            <w:tcW w:w="5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218,345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3,737</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1,847</w:t>
            </w:r>
          </w:p>
        </w:tc>
      </w:tr>
      <w:tr>
        <w:trPr>
          <w:trHeight w:val="2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3,643</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2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9,601</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7,706</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2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823</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1,263</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21,854</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17,661</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239,895</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247,229</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380,834</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382,421</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2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63.0 %</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r>
    </w:tbl>
    <w:p>
      <w:pPr>
        <w:spacing w:after="0" w:line="1" w:lineRule="exact"/>
        <w:rPr>
          <w:sz w:val="20"/>
          <w:szCs w:val="20"/>
          <w:color w:val="auto"/>
        </w:rPr>
      </w:pPr>
    </w:p>
    <w:sectPr>
      <w:pgSz w:w="11900" w:h="16838" w:orient="portrait"/>
      <w:cols w:equalWidth="0" w:num="1">
        <w:col w:w="11220"/>
      </w:cols>
      <w:pgMar w:left="320" w:top="11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5"/>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decimal"/>
      <w:start w:val="609"/>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2024-11-04T05:26:13Z</dcterms:created>
  <dcterms:modified xsi:type="dcterms:W3CDTF">2024-11-04T05:26:13Z</dcterms:modified>
</cp:coreProperties>
</file>