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29,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29, 2024, Integra LifeSciences Holdings Corporation (the “Company”) issued a press release announcing financial results for the quarter ended June 30, 2024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and organic revenues excluding Boston, respectively, for the quarters ended June 30, 2024 and 2023, GAAP net income to adjusted earnings before interest, taxes, depreciation and amortization (“EBITDA”) for the quarters ended June 30, 2024 and 2023, GAAP net income to adjusted net income for the quarters ended June 30, 2024 and 2023, GAAP earnings per diluted share to adjusted earnings per diluted share for the quarters ended June 30, 2024 and 2023, GAAP total debt to net debt for the quarters ended June 30, 2024 and 2023, and GAAP operating cash flow to free cash flow and adjusted free cash flow conversion used by management for the quarters and twelve months ended June 30, 2024 and 2023.</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organic revenues excluding Boston,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w:t>
      </w:r>
    </w:p>
    <w:p>
      <w:pPr>
        <w:spacing w:after="0" w:line="6" w:lineRule="exact"/>
        <w:rPr>
          <w:sz w:val="20"/>
          <w:szCs w:val="20"/>
          <w:color w:val="auto"/>
        </w:rPr>
      </w:pPr>
    </w:p>
    <w:p>
      <w:pPr>
        <w:jc w:val="both"/>
        <w:ind w:firstLine="8"/>
        <w:spacing w:after="0" w:line="251"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organic revenues excluding Boston and the various adjusted EBITDA, adjusted net income, adjusted gross profit, adjusted gross margin, adjusted earnings per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organic revenues excluding Boston, adjusted EBITDA,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ended June 30, 2024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 of organic revenues excluding Boston that we report reflects our total revenues for the quarter ended June 30, 2024 adjusted (i) for the effects of currency exchange rates, revenues from acquisitions, and revenues from divested products on current period revenues and (ii) revenues associated with Boston-produced products including sales reported prior to the recall and the impact of sales return provisions recorded. Management believes that this measure provides useful information when evaluating the Company’s revenues because of the infrequent and/or large scale nature of the recall which can distort our current period revenues when compared to prior periods.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189" w:lineRule="exact"/>
        <w:rPr>
          <w:sz w:val="20"/>
          <w:szCs w:val="20"/>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660"/>
        <w:spacing w:after="0" w:line="282" w:lineRule="auto"/>
        <w:rPr>
          <w:sz w:val="20"/>
          <w:szCs w:val="20"/>
          <w:color w:val="auto"/>
        </w:rPr>
      </w:pPr>
      <w:r>
        <w:rPr>
          <w:rFonts w:ascii="Times New Roman" w:cs="Times New Roman" w:eastAsia="Times New Roman" w:hAnsi="Times New Roman"/>
          <w:sz w:val="18"/>
          <w:szCs w:val="18"/>
          <w:color w:val="auto"/>
        </w:rPr>
        <w:t>significantly based on the timing and magnitude of the Company's rationalization activities and are, in some cases, dependent upon opportunities identified in acquisitions, which also vary in frequency and magnitude.</w:t>
      </w:r>
    </w:p>
    <w:p>
      <w:pPr>
        <w:spacing w:after="0" w:line="54" w:lineRule="exact"/>
        <w:rPr>
          <w:sz w:val="20"/>
          <w:szCs w:val="20"/>
          <w:color w:val="auto"/>
        </w:rPr>
      </w:pPr>
    </w:p>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These charges represent costs, including inventory write-offs, idle capacity charges and charges related to the transition of Boston-related manufacturing operations to the Company’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5"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rate related to adjusted net income could differ significantly from the effective tax rate related to GAAP net income.</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GAAP reported revenues to organic revenues excluding Boston, GAAP net income to adjusted EBITDA, GAAP net income to adjusted net income, GAAP gross profit to adjusted gross profit, GAAP gross margin to adjusted gross margin, and GAAP earnings per diluted share to adjusted earnings per diluted share each for the quarters ended June 30, 2024 and 2023. The Company has included reconciliations of GAAP operating cash flow to free cash flow and adjusted free cash flow conversion for the quarters and twelve months ended June 30, 2024 and 2023. The Company has included a reconciliation of GAAP total debt to net debt for the quarters ended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July 29, 2024,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62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2024</w:t>
            </w: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c>
          <w:tcPr>
            <w:tcW w:w="2640" w:type="dxa"/>
            <w:vAlign w:val="bottom"/>
          </w:tcPr>
          <w:p>
            <w:pPr>
              <w:spacing w:after="0"/>
              <w:rPr>
                <w:sz w:val="24"/>
                <w:szCs w:val="24"/>
                <w:color w:val="auto"/>
              </w:rPr>
            </w:pPr>
          </w:p>
        </w:tc>
      </w:tr>
      <w:tr>
        <w:trPr>
          <w:trHeight w:val="245"/>
        </w:trPr>
        <w:tc>
          <w:tcPr>
            <w:tcW w:w="30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080" w:type="dxa"/>
            <w:vAlign w:val="bottom"/>
          </w:tcPr>
          <w:p>
            <w:pPr>
              <w:spacing w:after="0"/>
              <w:rPr>
                <w:sz w:val="20"/>
                <w:szCs w:val="20"/>
                <w:color w:val="auto"/>
              </w:rPr>
            </w:pP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i w:val="1"/>
          <w:iCs w:val="1"/>
          <w:color w:val="auto"/>
        </w:rPr>
        <w:t>Integra LifeSciences Reports Second Quarter 2024 Financial Results</w:t>
      </w:r>
    </w:p>
    <w:p>
      <w:pPr>
        <w:spacing w:after="0" w:line="245"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 xml:space="preserve">PRINCETON, N.J., July 29, 2024 -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a leading global medical technology company, today reported financial results for the second quarter ending June 30, 2024.</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2024 Highlights</w:t>
      </w:r>
    </w:p>
    <w:p>
      <w:pPr>
        <w:spacing w:after="0" w:line="193" w:lineRule="exact"/>
        <w:rPr>
          <w:sz w:val="20"/>
          <w:szCs w:val="20"/>
          <w:color w:val="auto"/>
        </w:rPr>
      </w:pPr>
    </w:p>
    <w:p>
      <w:pPr>
        <w:ind w:left="660" w:right="200" w:hanging="328"/>
        <w:spacing w:after="0" w:line="25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revenues of $418.2 million increased 9.7% on a reported basis and 2.3% on an organic basis compared to the prior year. Revenue increased 0.3% on an organic basis excluding Boston.</w:t>
      </w:r>
    </w:p>
    <w:p>
      <w:pPr>
        <w:spacing w:after="0" w:line="199" w:lineRule="exact"/>
        <w:rPr>
          <w:rFonts w:ascii="Times New Roman" w:cs="Times New Roman" w:eastAsia="Times New Roman" w:hAnsi="Times New Roman"/>
          <w:sz w:val="20"/>
          <w:szCs w:val="20"/>
          <w:color w:val="auto"/>
        </w:rPr>
      </w:pPr>
    </w:p>
    <w:p>
      <w:pPr>
        <w:ind w:left="660" w:right="40" w:hanging="328"/>
        <w:spacing w:after="0" w:line="268"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Second quarter GAAP earnings per diluted share of $(0.16), compared to $0.05 in the prior year; adjusted earnings per diluted share of $0.63, compared to $0.71 in the prior year.</w:t>
      </w:r>
    </w:p>
    <w:p>
      <w:pPr>
        <w:spacing w:after="0" w:line="200"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Early integration success with the Acclarent ENT acquisition.</w:t>
      </w:r>
    </w:p>
    <w:p>
      <w:pPr>
        <w:spacing w:after="0" w:line="241" w:lineRule="exact"/>
        <w:rPr>
          <w:rFonts w:ascii="Arial" w:cs="Arial" w:eastAsia="Arial" w:hAnsi="Arial"/>
          <w:sz w:val="20"/>
          <w:szCs w:val="20"/>
          <w:color w:val="auto"/>
        </w:rPr>
      </w:pPr>
    </w:p>
    <w:p>
      <w:pPr>
        <w:ind w:left="660" w:right="460" w:hanging="328"/>
        <w:spacing w:after="0" w:line="268"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Announced plans to focus relaunch of SurgiMend® and PriMatrix® at new state-of-the-art manufacturing facility in Braintree, Massachusetts, with operational readiness expected in the first-half of 2026.</w:t>
      </w:r>
    </w:p>
    <w:p>
      <w:pPr>
        <w:spacing w:after="0" w:line="173"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PMA approvable notification pending GMP certification for SurgiMend.</w:t>
      </w:r>
    </w:p>
    <w:p>
      <w:pPr>
        <w:spacing w:after="0" w:line="242" w:lineRule="exact"/>
        <w:rPr>
          <w:rFonts w:ascii="Times New Roman" w:cs="Times New Roman" w:eastAsia="Times New Roman" w:hAnsi="Times New Roman"/>
          <w:sz w:val="20"/>
          <w:szCs w:val="20"/>
          <w:color w:val="auto"/>
        </w:rPr>
      </w:pPr>
    </w:p>
    <w:p>
      <w:pPr>
        <w:ind w:left="660" w:right="480" w:hanging="328"/>
        <w:spacing w:after="0" w:line="25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compliance master plan to address quality system and GMP compliance learnings. As a result, the company has initiated temporary shipping holds on certain products that will primarily impact the third quarter.</w:t>
      </w:r>
    </w:p>
    <w:p>
      <w:pPr>
        <w:spacing w:after="0" w:line="19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Updating full-year 2024 revenue guidance to a range of $1.609 billion to $1.629 billion and adjusted EPS guidance to a range of</w:t>
      </w:r>
    </w:p>
    <w:p>
      <w:pPr>
        <w:ind w:left="660" w:right="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$2.41 to $2.57 per share reflecting the temporary shipping holds and significant second half investments in quality system and GMP compliance improvements.</w:t>
      </w:r>
    </w:p>
    <w:p>
      <w:pPr>
        <w:spacing w:after="0" w:line="200" w:lineRule="exact"/>
        <w:rPr>
          <w:sz w:val="20"/>
          <w:szCs w:val="20"/>
          <w:color w:val="auto"/>
        </w:rPr>
      </w:pPr>
    </w:p>
    <w:p>
      <w:pPr>
        <w:spacing w:after="0" w:line="2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second quarter financial performance continues to reflect the persistent market demand for our diversified portfolio and the commitment of our teams," said Jan De Witte, Integra LifeSciences' president and chief executive officer. “Using the learnings from our Boston facility, we are continuing a thorough analysis of our operations and are committed to enhancing the quality, reliability and resilience of our manufacturing operations and supply chain. The reduction in our full-year guidance reflects an updated view of our operational challenges and critical investments in our compliance improvement program that will allow our supply to meet our strong commercial demand strength over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2024 Consolidated Performance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reported revenues of $418.2 million increased 9.7% on a reported basis and 2.3% on an organic basis compared to the prior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Organic growth excluding Boston was 0.3%.</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reported GAAP gross margin of 54.0%, compared to 54.3% in the second quarter of 2023. Adjusted gross margin was 65.2%, compared to 67.6% in the prior year.</w:t>
      </w:r>
    </w:p>
    <w:p>
      <w:pPr>
        <w:spacing w:after="0" w:line="13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Adjusted EBITDA for the second quarter of 2024 was $83.8 million, or 20.0% of revenue, compared to $88.8 million, or 23.3% of revenue, in the prior year.</w:t>
      </w:r>
    </w:p>
    <w:p>
      <w:pPr>
        <w:sectPr>
          <w:pgSz w:w="11900" w:h="16838" w:orient="portrait"/>
          <w:cols w:equalWidth="0" w:num="1">
            <w:col w:w="11140"/>
          </w:cols>
          <w:pgMar w:left="320" w:top="871" w:right="439" w:bottom="1440" w:gutter="0" w:footer="0" w:header="0"/>
        </w:sectPr>
      </w:pPr>
    </w:p>
    <w:bookmarkStart w:id="7" w:name="page8"/>
    <w:bookmarkEnd w:id="7"/>
    <w:p>
      <w:pPr>
        <w:ind w:right="140"/>
        <w:spacing w:after="0" w:line="243" w:lineRule="auto"/>
        <w:rPr>
          <w:sz w:val="20"/>
          <w:szCs w:val="20"/>
          <w:color w:val="auto"/>
        </w:rPr>
      </w:pPr>
      <w:r>
        <w:rPr>
          <w:rFonts w:ascii="Times New Roman" w:cs="Times New Roman" w:eastAsia="Times New Roman" w:hAnsi="Times New Roman"/>
          <w:sz w:val="20"/>
          <w:szCs w:val="20"/>
          <w:color w:val="auto"/>
        </w:rPr>
        <w:t>The Company reported a GAAP net loss of $(12.4) million, or $(0.16) per diluted share, in the second quarter of 2024, compared to GAAP net income of $4.2 million, or $0.05 per diluted share, in the prior year.</w:t>
      </w:r>
    </w:p>
    <w:p>
      <w:pPr>
        <w:spacing w:after="0" w:line="2"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Adjusted net income for the second quarter of 2024 was $49.0 million, or $0.63 per diluted share, compared to $57.4 million or $0.71 per diluted share, in the prior year.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2024 Segment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Codman Specialty Surgical (~70% of Revenues)</w:t>
      </w:r>
    </w:p>
    <w:p>
      <w:pPr>
        <w:spacing w:after="0" w:line="193" w:lineRule="exact"/>
        <w:rPr>
          <w:sz w:val="20"/>
          <w:szCs w:val="20"/>
          <w:color w:val="auto"/>
        </w:rPr>
      </w:pPr>
    </w:p>
    <w:p>
      <w:pPr>
        <w:ind w:left="660" w:right="360"/>
        <w:spacing w:after="0" w:line="255" w:lineRule="auto"/>
        <w:rPr>
          <w:sz w:val="20"/>
          <w:szCs w:val="20"/>
          <w:color w:val="auto"/>
        </w:rPr>
      </w:pPr>
      <w:r>
        <w:rPr>
          <w:rFonts w:ascii="Times New Roman" w:cs="Times New Roman" w:eastAsia="Times New Roman" w:hAnsi="Times New Roman"/>
          <w:sz w:val="20"/>
          <w:szCs w:val="20"/>
          <w:color w:val="auto"/>
        </w:rPr>
        <w:t>Total revenues were $301.8 million, representing reported growth of 11.3% and organic growth of 0.9% compared to the second quarter of 2023.</w:t>
      </w:r>
    </w:p>
    <w:p>
      <w:pPr>
        <w:spacing w:after="0" w:line="18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Neurosurgery grew 1.2% on an organic basis. Key drivers for the quarter include:</w:t>
      </w:r>
    </w:p>
    <w:p>
      <w:pPr>
        <w:spacing w:after="0" w:line="21" w:lineRule="exact"/>
        <w:rPr>
          <w:rFonts w:ascii="Times New Roman" w:cs="Times New Roman" w:eastAsia="Times New Roman" w:hAnsi="Times New Roman"/>
          <w:sz w:val="20"/>
          <w:szCs w:val="20"/>
          <w:color w:val="auto"/>
        </w:rPr>
      </w:pPr>
    </w:p>
    <w:p>
      <w:pPr>
        <w:ind w:left="1700" w:hanging="315"/>
        <w:spacing w:after="0" w:line="224" w:lineRule="auto"/>
        <w:tabs>
          <w:tab w:leader="none" w:pos="1700" w:val="left"/>
        </w:tabs>
        <w:numPr>
          <w:ilvl w:val="1"/>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Dural access and repair grew high-single-digits driven by DuraGen® and Mayfield®</w:t>
      </w:r>
    </w:p>
    <w:p>
      <w:pPr>
        <w:ind w:left="1700" w:hanging="315"/>
        <w:spacing w:after="0" w:line="238" w:lineRule="auto"/>
        <w:tabs>
          <w:tab w:leader="none" w:pos="1700" w:val="left"/>
        </w:tabs>
        <w:numPr>
          <w:ilvl w:val="1"/>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Advanced energy grew low-single digits driven by Aurora®</w:t>
      </w:r>
    </w:p>
    <w:p>
      <w:pPr>
        <w:ind w:left="1700" w:hanging="315"/>
        <w:spacing w:after="0" w:line="224" w:lineRule="auto"/>
        <w:tabs>
          <w:tab w:leader="none" w:pos="1700" w:val="left"/>
        </w:tabs>
        <w:numPr>
          <w:ilvl w:val="1"/>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CSF management decreased low-double digits due to supply backorders</w:t>
      </w:r>
    </w:p>
    <w:p>
      <w:pPr>
        <w:ind w:left="1700" w:hanging="315"/>
        <w:spacing w:after="0" w:line="232" w:lineRule="auto"/>
        <w:tabs>
          <w:tab w:leader="none" w:pos="1688" w:val="left"/>
        </w:tabs>
        <w:numPr>
          <w:ilvl w:val="1"/>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Neuro monitoring was down low-single digits driven by double-digit growth in CereLink® monitors and micro sensors offset by supply challenges</w:t>
      </w:r>
    </w:p>
    <w:p>
      <w:pPr>
        <w:ind w:left="1700" w:hanging="315"/>
        <w:spacing w:after="0" w:line="224" w:lineRule="auto"/>
        <w:tabs>
          <w:tab w:leader="none" w:pos="1700" w:val="left"/>
        </w:tabs>
        <w:numPr>
          <w:ilvl w:val="1"/>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Sales in international markets grew low-single digits</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Instruments declined 3.1% on an organic basis</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 grew low-double digits reflecting MicroFrance ENT instruments</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Tissue Technologies (~30% of Revenues)</w:t>
      </w:r>
    </w:p>
    <w:p>
      <w:pPr>
        <w:spacing w:after="0" w:line="247" w:lineRule="exact"/>
        <w:rPr>
          <w:sz w:val="20"/>
          <w:szCs w:val="20"/>
          <w:color w:val="auto"/>
        </w:rPr>
      </w:pPr>
    </w:p>
    <w:p>
      <w:pPr>
        <w:ind w:left="660" w:right="460"/>
        <w:spacing w:after="0" w:line="255" w:lineRule="auto"/>
        <w:rPr>
          <w:sz w:val="20"/>
          <w:szCs w:val="20"/>
          <w:color w:val="auto"/>
        </w:rPr>
      </w:pPr>
      <w:r>
        <w:rPr>
          <w:rFonts w:ascii="Times New Roman" w:cs="Times New Roman" w:eastAsia="Times New Roman" w:hAnsi="Times New Roman"/>
          <w:sz w:val="20"/>
          <w:szCs w:val="20"/>
          <w:color w:val="auto"/>
        </w:rPr>
        <w:t>Total revenues were $116.4 million, representing reported growth of 5.6% and organic growth of 5.7% compared to the second quarter of 2023. Tissue Technologies sales were down 1% excluding Boston. Key drivers for the quarter include:</w:t>
      </w:r>
    </w:p>
    <w:p>
      <w:pPr>
        <w:spacing w:after="0" w:line="20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High double-digit growth for DuraSorb®</w:t>
      </w:r>
    </w:p>
    <w:p>
      <w:pPr>
        <w:spacing w:after="0" w:line="7" w:lineRule="exact"/>
        <w:rPr>
          <w:rFonts w:ascii="Arial" w:cs="Arial" w:eastAsia="Arial" w:hAnsi="Arial"/>
          <w:sz w:val="20"/>
          <w:szCs w:val="20"/>
          <w:color w:val="auto"/>
        </w:rPr>
      </w:pPr>
    </w:p>
    <w:p>
      <w:pPr>
        <w:ind w:left="1300" w:hanging="320"/>
        <w:spacing w:after="0" w:line="238" w:lineRule="auto"/>
        <w:tabs>
          <w:tab w:leader="none" w:pos="13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Mid-double-digit growth in Gentrix®</w:t>
      </w:r>
    </w:p>
    <w:p>
      <w:pPr>
        <w:ind w:left="1300" w:hanging="320"/>
        <w:spacing w:after="0" w:line="224" w:lineRule="auto"/>
        <w:tabs>
          <w:tab w:leader="none" w:pos="13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Low double-digit growth in MicroMatrix®, Cytal® and amniotics</w:t>
      </w:r>
    </w:p>
    <w:p>
      <w:pPr>
        <w:ind w:left="1300" w:hanging="320"/>
        <w:spacing w:after="0" w:line="238" w:lineRule="auto"/>
        <w:tabs>
          <w:tab w:leader="none" w:pos="13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Low double-digit decline in Integra Skin</w:t>
      </w:r>
    </w:p>
    <w:p>
      <w:pPr>
        <w:ind w:left="1300" w:hanging="320"/>
        <w:spacing w:after="0"/>
        <w:tabs>
          <w:tab w:leader="none" w:pos="13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Sales in private label increased 1.5% on an organic basis excluding Boston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Advancing our Strategy</w:t>
      </w:r>
    </w:p>
    <w:p>
      <w:pPr>
        <w:spacing w:after="0" w:line="24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Broad demand for Integra's diverse portfolio of leading brands</w:t>
      </w:r>
    </w:p>
    <w:p>
      <w:pPr>
        <w:spacing w:after="0" w:line="12"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Continued successful market uptake of CereLink monitors and microsensors</w:t>
      </w:r>
    </w:p>
    <w:p>
      <w:pPr>
        <w:spacing w:after="0" w:line="6"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Expanded international commercial footprint and portfolio for CUSA®, DuraGen and Mayfield</w:t>
      </w:r>
    </w:p>
    <w:p>
      <w:pPr>
        <w:spacing w:after="0" w:line="6"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Growth in DuraSorb above expectations</w:t>
      </w:r>
    </w:p>
    <w:p>
      <w:pPr>
        <w:spacing w:after="0" w:line="6"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Early integration success with the Acclarent ENT acquisition</w:t>
      </w:r>
    </w:p>
    <w:p>
      <w:pPr>
        <w:ind w:left="640" w:hanging="308"/>
        <w:spacing w:after="0" w:line="224"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Positive early clinical response to MicroMatrix Flex launch</w:t>
      </w:r>
    </w:p>
    <w:p>
      <w:pPr>
        <w:ind w:left="660" w:hanging="328"/>
        <w:spacing w:after="0" w:line="224"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Finalized plans to restart the manufacture of PriMatrix and SurgiMend at our new manufacturing facility in Braintree, Massachusetts with operational readiness expected in the first half of 2026</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PMA approvable notification pending GMP certification from the FDA for SurgiMend</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stepping up investments in quality, reliability and capacity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Cash Flow and Capital Allocation</w:t>
      </w:r>
    </w:p>
    <w:p>
      <w:pPr>
        <w:spacing w:after="0" w:line="17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0"/>
          <w:szCs w:val="20"/>
          <w:color w:val="auto"/>
        </w:rPr>
        <w:t>The Company generated cash flow from operations of $40.4 million in the quarter. Total balance sheet debt and net debt at the end of the quarter were $1.83 billion and $1.54 billion, respectively, and the consolidated total leverage ratio was 3.8x.</w:t>
      </w:r>
    </w:p>
    <w:p>
      <w:pPr>
        <w:sectPr>
          <w:pgSz w:w="11900" w:h="16838" w:orient="portrait"/>
          <w:cols w:equalWidth="0" w:num="1">
            <w:col w:w="11160"/>
          </w:cols>
          <w:pgMar w:left="320" w:top="886" w:right="419" w:bottom="1440" w:gutter="0" w:footer="0" w:header="0"/>
        </w:sectPr>
      </w:pPr>
    </w:p>
    <w:bookmarkStart w:id="8" w:name="page9"/>
    <w:bookmarkEnd w:id="8"/>
    <w:p>
      <w:pPr>
        <w:spacing w:after="0" w:line="283" w:lineRule="auto"/>
        <w:rPr>
          <w:sz w:val="20"/>
          <w:szCs w:val="20"/>
          <w:color w:val="auto"/>
        </w:rPr>
      </w:pPr>
      <w:r>
        <w:rPr>
          <w:rFonts w:ascii="Times New Roman" w:cs="Times New Roman" w:eastAsia="Times New Roman" w:hAnsi="Times New Roman"/>
          <w:sz w:val="20"/>
          <w:szCs w:val="20"/>
          <w:color w:val="auto"/>
        </w:rPr>
        <w:t>As of quarter end, the Company had total liquidity of approximately $1.18 billion, including $297 million in cash plus short-term investments and the remainder available under its revolving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Outlook</w:t>
      </w:r>
    </w:p>
    <w:p>
      <w:pPr>
        <w:spacing w:after="0" w:line="17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For the full year 2024, the Company is updating its revenue and adjusted EPS expectations to $1.609 to $1.629 billion and $2.41 to $2.57, respectively. The revenue range represents reported growth of 4.4% to 5.7%, with organic growth of –1.0% to 0.3%, reflecting third quarter quality and labeling compliance shipping holds and significant second half investments in quality and compliance improvement.</w:t>
      </w:r>
    </w:p>
    <w:p>
      <w:pPr>
        <w:spacing w:after="0" w:line="194"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9"/>
          <w:szCs w:val="19"/>
          <w:color w:val="auto"/>
        </w:rPr>
        <w:t>For the third quarter 2024, the Company expects reported revenues in the range of $372 million to $382 million, representing reported growth of -2.6% to 0.0% and organic growth of -9.4% to –6.7%. The Company expects adjusted EPS in a range of $0.36 to $0.44.</w:t>
      </w:r>
    </w:p>
    <w:p>
      <w:pPr>
        <w:spacing w:after="0" w:line="151"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Company’s organic sales growth guidance for the third quarter and the full-year excludes acquisitions and divestitures, as well as the effects of foreign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Integra has scheduled a conference call for 8:30 a.m. ET on Monday July 29, 2024, to discuss second quarter 2024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w:t>
      </w:r>
      <w:r>
        <w:rPr>
          <w:rFonts w:ascii="Times New Roman" w:cs="Times New Roman" w:eastAsia="Times New Roman" w:hAnsi="Times New Roman"/>
          <w:sz w:val="19"/>
          <w:szCs w:val="19"/>
          <w:u w:val="single" w:color="auto"/>
          <w:color w:val="auto"/>
        </w:rPr>
        <w:t>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investor.integralife.com.</w:t>
      </w:r>
    </w:p>
    <w:p>
      <w:pPr>
        <w:spacing w:after="0" w:line="17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investor.integralife.com. For those planning to participate on the call, register </w:t>
      </w:r>
      <w:r>
        <w:rPr>
          <w:rFonts w:ascii="Times New Roman" w:cs="Times New Roman" w:eastAsia="Times New Roman" w:hAnsi="Times New Roman"/>
          <w:sz w:val="20"/>
          <w:szCs w:val="20"/>
          <w:color w:val="3051F2"/>
        </w:rPr>
        <w:t>here</w:t>
      </w:r>
      <w:r>
        <w:rPr>
          <w:rFonts w:ascii="Times New Roman" w:cs="Times New Roman" w:eastAsia="Times New Roman" w:hAnsi="Times New Roman"/>
          <w:sz w:val="20"/>
          <w:szCs w:val="20"/>
          <w:color w:val="auto"/>
        </w:rPr>
        <w:t xml:space="preserve"> to receive dial-in details and an individual pin. While not required, it is recommended to join 10 minutes prior to the event’s start. A webcast replay of the conference call will be available on the Investors section of the Company’s website following the call.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At Integra LifeSciences, we are driven by our purpose of restoring patients’ lives. We innovate treatment pathways to advance patient outcomes and set new standards of surgical, neurologic, and regenerative care. We offer a comprehensive portfolio of high quality, leadership brands. For the latest news and information about Integra and its products, please visit </w:t>
      </w:r>
      <w:r>
        <w:rPr>
          <w:rFonts w:ascii="Times New Roman" w:cs="Times New Roman" w:eastAsia="Times New Roman" w:hAnsi="Times New Roman"/>
          <w:sz w:val="20"/>
          <w:szCs w:val="20"/>
          <w:color w:val="0000FF"/>
        </w:rPr>
        <w:t>www.integralife.com.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Private Securities Litigation Reform Act of 1995 that</w:t>
      </w:r>
    </w:p>
    <w:p>
      <w:pPr>
        <w:spacing w:after="0" w:line="8"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color w:val="auto"/>
        </w:rPr>
        <w:t>involve risks and uncertainties and reflect the Company's judgment as of the date of this release. All statements, other than statements of historical fact, are statements that could be deemed forward-looking statements. Some of these forward-looking statements may contain</w:t>
      </w:r>
    </w:p>
    <w:p>
      <w:pPr>
        <w:spacing w:after="0" w:line="227" w:lineRule="auto"/>
        <w:rPr>
          <w:sz w:val="20"/>
          <w:szCs w:val="20"/>
          <w:color w:val="auto"/>
        </w:rPr>
      </w:pPr>
      <w:r>
        <w:rPr>
          <w:rFonts w:ascii="Times New Roman" w:cs="Times New Roman" w:eastAsia="Times New Roman" w:hAnsi="Times New Roman"/>
          <w:sz w:val="20"/>
          <w:szCs w:val="20"/>
          <w:color w:val="auto"/>
        </w:rPr>
        <w:t>words like “will,” “believe,” “may,” “could,” “would,” “might,” “possible,” “should,” “expect,” “intend,” "forecast," "guidance," “plan,”</w:t>
      </w:r>
    </w:p>
    <w:p>
      <w:pPr>
        <w:ind w:right="480"/>
        <w:spacing w:after="0" w:line="229" w:lineRule="auto"/>
        <w:rPr>
          <w:sz w:val="20"/>
          <w:szCs w:val="20"/>
          <w:color w:val="auto"/>
        </w:rPr>
      </w:pPr>
      <w:r>
        <w:rPr>
          <w:rFonts w:ascii="Times New Roman" w:cs="Times New Roman" w:eastAsia="Times New Roman" w:hAnsi="Times New Roman"/>
          <w:sz w:val="19"/>
          <w:szCs w:val="19"/>
          <w:color w:val="auto"/>
        </w:rPr>
        <w:t>“anticipate,” "target," or “continue,” the negative of these words, other terms of similar meaning or they may use future dates. Forward-looking statements contained in this news release include, but are not limited to, statements concerning: future financial performance,</w:t>
      </w:r>
    </w:p>
    <w:p>
      <w:pPr>
        <w:spacing w:after="0" w:line="227" w:lineRule="auto"/>
        <w:rPr>
          <w:sz w:val="20"/>
          <w:szCs w:val="20"/>
          <w:color w:val="auto"/>
        </w:rPr>
      </w:pPr>
      <w:r>
        <w:rPr>
          <w:rFonts w:ascii="Times New Roman" w:cs="Times New Roman" w:eastAsia="Times New Roman" w:hAnsi="Times New Roman"/>
          <w:sz w:val="20"/>
          <w:szCs w:val="20"/>
          <w:color w:val="auto"/>
        </w:rPr>
        <w:t>including projections for revenues, expected revenue growth (both reported and organic), GAAP and adjusted net income, GAAP and</w:t>
      </w:r>
    </w:p>
    <w:p>
      <w:pPr>
        <w:spacing w:after="0" w:line="229" w:lineRule="auto"/>
        <w:rPr>
          <w:sz w:val="20"/>
          <w:szCs w:val="20"/>
          <w:color w:val="auto"/>
        </w:rPr>
      </w:pPr>
      <w:r>
        <w:rPr>
          <w:rFonts w:ascii="Times New Roman" w:cs="Times New Roman" w:eastAsia="Times New Roman" w:hAnsi="Times New Roman"/>
          <w:sz w:val="19"/>
          <w:szCs w:val="19"/>
          <w:color w:val="auto"/>
        </w:rPr>
        <w:t>adjusted earnings per diluted share, non-GAAP adjustments such as divestiture, acquisition and integration-related charges, intangible asset amortization, structural optimization charges, EU Medical Device Regulation-related charges, charges related to the voluntary global recall of</w:t>
      </w:r>
    </w:p>
    <w:p>
      <w:pPr>
        <w:spacing w:after="0" w:line="227" w:lineRule="auto"/>
        <w:rPr>
          <w:sz w:val="20"/>
          <w:szCs w:val="20"/>
          <w:color w:val="auto"/>
        </w:rPr>
      </w:pPr>
      <w:r>
        <w:rPr>
          <w:rFonts w:ascii="Times New Roman" w:cs="Times New Roman" w:eastAsia="Times New Roman" w:hAnsi="Times New Roman"/>
          <w:sz w:val="20"/>
          <w:szCs w:val="20"/>
          <w:color w:val="auto"/>
        </w:rPr>
        <w:t>all products manufactured at the Company’s facility in Boston, Massachusetts and the transition of Boston-related manufacturing operations</w:t>
      </w:r>
    </w:p>
    <w:p>
      <w:pPr>
        <w:ind w:right="80"/>
        <w:spacing w:after="0" w:line="229" w:lineRule="auto"/>
        <w:rPr>
          <w:sz w:val="20"/>
          <w:szCs w:val="20"/>
          <w:color w:val="auto"/>
        </w:rPr>
      </w:pPr>
      <w:r>
        <w:rPr>
          <w:rFonts w:ascii="Times New Roman" w:cs="Times New Roman" w:eastAsia="Times New Roman" w:hAnsi="Times New Roman"/>
          <w:sz w:val="19"/>
          <w:szCs w:val="19"/>
          <w:color w:val="auto"/>
        </w:rPr>
        <w:t>to its Braintree, Massachusetts facility, and income tax expense (benefit) related to non-GAAP adjustments and other items; and the Company’s expectations and plans with respect to business and operational performance, strategic initiatives, capabilities, resources, product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development and regulatory approvals,</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 xml:space="preserve">including expectations concerning the Company’s plans to implement a compliance master plan to improve the Company’s </w:t>
      </w:r>
      <w:r>
        <w:rPr>
          <w:rFonts w:ascii="Times New Roman" w:cs="Times New Roman" w:eastAsia="Times New Roman" w:hAnsi="Times New Roman"/>
          <w:sz w:val="21"/>
          <w:szCs w:val="21"/>
          <w:color w:val="auto"/>
        </w:rPr>
        <w:t>quality system</w:t>
      </w:r>
    </w:p>
    <w:p>
      <w:pPr>
        <w:spacing w:after="0" w:line="26"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2"/>
          <w:szCs w:val="22"/>
          <w:color w:val="auto"/>
        </w:rPr>
        <w:t xml:space="preserve">and GMP compliance </w:t>
      </w:r>
      <w:r>
        <w:rPr>
          <w:rFonts w:ascii="Times New Roman" w:cs="Times New Roman" w:eastAsia="Times New Roman" w:hAnsi="Times New Roman"/>
          <w:sz w:val="19"/>
          <w:szCs w:val="19"/>
          <w:color w:val="auto"/>
        </w:rPr>
        <w:t>and to operationalize the Company’s Braintree facility and transition the manufacture of PriMatrix and SurgiMend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Braintree facility. It is important to note that the Company’s goals and expectations are not predictions of actual performance. Such</w:t>
      </w:r>
    </w:p>
    <w:p>
      <w:pPr>
        <w:spacing w:after="0" w:line="225" w:lineRule="auto"/>
        <w:rPr>
          <w:sz w:val="20"/>
          <w:szCs w:val="20"/>
          <w:color w:val="auto"/>
        </w:rPr>
      </w:pPr>
      <w:r>
        <w:rPr>
          <w:rFonts w:ascii="Times New Roman" w:cs="Times New Roman" w:eastAsia="Times New Roman" w:hAnsi="Times New Roman"/>
          <w:sz w:val="20"/>
          <w:szCs w:val="20"/>
          <w:color w:val="auto"/>
        </w:rPr>
        <w:t>forward-looking statements involve risks and uncertainties that could cause actual results to differ materially from predicted or expected</w:t>
      </w:r>
    </w:p>
    <w:p>
      <w:pPr>
        <w:spacing w:after="0" w:line="1"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color w:val="auto"/>
        </w:rPr>
        <w:t>results. Such risks and uncertainties include, but are not limited, to the following: the ongoing and possible future effects of global challenges, including macroeconomic uncertainties, inflation, supply chain disruptions, trade regulation and tariffs, bank failures and other</w:t>
      </w:r>
    </w:p>
    <w:p>
      <w:pPr>
        <w:spacing w:after="0" w:line="2"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9"/>
          <w:szCs w:val="19"/>
          <w:color w:val="auto"/>
        </w:rPr>
        <w:t>economic disruptions, and U.S. and global recession concerns, on the Company’s customers and on the Company’s business, financial condition, results of operations and cash flows; the Company's ability to execute its operating plan effectively; the Company’s ability to</w:t>
      </w:r>
    </w:p>
    <w:p>
      <w:pPr>
        <w:spacing w:after="0" w:line="1" w:lineRule="exact"/>
        <w:rPr>
          <w:sz w:val="20"/>
          <w:szCs w:val="20"/>
          <w:color w:val="auto"/>
        </w:rPr>
      </w:pPr>
    </w:p>
    <w:p>
      <w:pPr>
        <w:ind w:right="520"/>
        <w:spacing w:after="0" w:line="229" w:lineRule="auto"/>
        <w:rPr>
          <w:sz w:val="20"/>
          <w:szCs w:val="20"/>
          <w:color w:val="auto"/>
        </w:rPr>
      </w:pPr>
      <w:r>
        <w:rPr>
          <w:rFonts w:ascii="Times New Roman" w:cs="Times New Roman" w:eastAsia="Times New Roman" w:hAnsi="Times New Roman"/>
          <w:sz w:val="19"/>
          <w:szCs w:val="19"/>
          <w:color w:val="auto"/>
        </w:rPr>
        <w:t>successfully integrate Acclarent and other acquired businesses; the Company’s ability to achieve sales growth in a timely fashion; the Company's ability to manufacture and ship sufficient quantities of its products to meet its customers' demands; the ability of third-party</w:t>
      </w:r>
    </w:p>
    <w:p>
      <w:pPr>
        <w:spacing w:after="0"/>
        <w:rPr>
          <w:sz w:val="20"/>
          <w:szCs w:val="20"/>
          <w:color w:val="auto"/>
        </w:rPr>
      </w:pPr>
      <w:r>
        <w:rPr>
          <w:rFonts w:ascii="Times New Roman" w:cs="Times New Roman" w:eastAsia="Times New Roman" w:hAnsi="Times New Roman"/>
          <w:sz w:val="19"/>
          <w:szCs w:val="19"/>
          <w:color w:val="auto"/>
        </w:rPr>
        <w:t>suppliers to supply us with raw materials and finished products; global macroeconomic and political conditions, including the war in Ukraine</w:t>
      </w:r>
    </w:p>
    <w:p>
      <w:pPr>
        <w:ind w:right="80"/>
        <w:spacing w:after="0" w:line="229" w:lineRule="auto"/>
        <w:rPr>
          <w:sz w:val="20"/>
          <w:szCs w:val="20"/>
          <w:color w:val="auto"/>
        </w:rPr>
      </w:pPr>
      <w:r>
        <w:rPr>
          <w:rFonts w:ascii="Times New Roman" w:cs="Times New Roman" w:eastAsia="Times New Roman" w:hAnsi="Times New Roman"/>
          <w:sz w:val="19"/>
          <w:szCs w:val="19"/>
          <w:color w:val="auto"/>
        </w:rPr>
        <w:t>and the conflict in Israel and Gaza; the Company's ability to manage its direct sales channels effectively; the sales performance of third-party distributors on whom the Company relies to generate revenue for certain products and geographic regions; the Company's ability to access</w:t>
      </w:r>
    </w:p>
    <w:p>
      <w:pPr>
        <w:spacing w:after="0" w:line="227" w:lineRule="auto"/>
        <w:rPr>
          <w:sz w:val="20"/>
          <w:szCs w:val="20"/>
          <w:color w:val="auto"/>
        </w:rPr>
      </w:pPr>
      <w:r>
        <w:rPr>
          <w:rFonts w:ascii="Times New Roman" w:cs="Times New Roman" w:eastAsia="Times New Roman" w:hAnsi="Times New Roman"/>
          <w:sz w:val="20"/>
          <w:szCs w:val="20"/>
          <w:color w:val="auto"/>
        </w:rPr>
        <w:t>and maintain relationships with customers of acquired entities and businesses; physicians' willingness to adopt and third-party payors'</w:t>
      </w:r>
    </w:p>
    <w:p>
      <w:pPr>
        <w:spacing w:after="0" w:line="229" w:lineRule="auto"/>
        <w:rPr>
          <w:sz w:val="20"/>
          <w:szCs w:val="20"/>
          <w:color w:val="auto"/>
        </w:rPr>
      </w:pPr>
      <w:r>
        <w:rPr>
          <w:rFonts w:ascii="Times New Roman" w:cs="Times New Roman" w:eastAsia="Times New Roman" w:hAnsi="Times New Roman"/>
          <w:sz w:val="19"/>
          <w:szCs w:val="19"/>
          <w:color w:val="auto"/>
        </w:rPr>
        <w:t>willingness to provide or maintain reimbursement for the Company's recently launched, planned and existing products; initiatives launched by the Company's competitors; downward pricing pressures from customers; the Company's ability to secure regulatory approval for products</w:t>
      </w:r>
    </w:p>
    <w:p>
      <w:pPr>
        <w:spacing w:after="0" w:line="227" w:lineRule="auto"/>
        <w:rPr>
          <w:sz w:val="20"/>
          <w:szCs w:val="20"/>
          <w:color w:val="auto"/>
        </w:rPr>
      </w:pPr>
      <w:r>
        <w:rPr>
          <w:rFonts w:ascii="Times New Roman" w:cs="Times New Roman" w:eastAsia="Times New Roman" w:hAnsi="Times New Roman"/>
          <w:sz w:val="20"/>
          <w:szCs w:val="20"/>
          <w:color w:val="auto"/>
        </w:rPr>
        <w:t>in development; the Company's ability to remediate quality systems violations; difficulties in implementing the Company’s compliance</w:t>
      </w:r>
    </w:p>
    <w:p>
      <w:pPr>
        <w:ind w:right="120"/>
        <w:spacing w:after="0" w:line="229" w:lineRule="auto"/>
        <w:rPr>
          <w:sz w:val="20"/>
          <w:szCs w:val="20"/>
          <w:color w:val="auto"/>
        </w:rPr>
      </w:pPr>
      <w:r>
        <w:rPr>
          <w:rFonts w:ascii="Times New Roman" w:cs="Times New Roman" w:eastAsia="Times New Roman" w:hAnsi="Times New Roman"/>
          <w:sz w:val="19"/>
          <w:szCs w:val="19"/>
          <w:color w:val="auto"/>
        </w:rPr>
        <w:t>master plan and realizing the benefits contemplated thereby within the anticipated timeframe, or at all; difficulties or delays in obtaining and maintaining required regulatory approvals related to the transition of the manufacturing to the Braintree facility; the possibility that costs or</w:t>
      </w:r>
    </w:p>
    <w:p>
      <w:pPr>
        <w:spacing w:after="0" w:line="227" w:lineRule="auto"/>
        <w:rPr>
          <w:sz w:val="20"/>
          <w:szCs w:val="20"/>
          <w:color w:val="auto"/>
        </w:rPr>
      </w:pPr>
      <w:r>
        <w:rPr>
          <w:rFonts w:ascii="Times New Roman" w:cs="Times New Roman" w:eastAsia="Times New Roman" w:hAnsi="Times New Roman"/>
          <w:sz w:val="20"/>
          <w:szCs w:val="20"/>
          <w:color w:val="auto"/>
        </w:rPr>
        <w:t>difficulties related to building and the operationalization of the Braintree facility or the transition of manufacturing activities from the</w:t>
      </w:r>
    </w:p>
    <w:p>
      <w:pPr>
        <w:ind w:right="300"/>
        <w:spacing w:after="0" w:line="229" w:lineRule="auto"/>
        <w:rPr>
          <w:sz w:val="20"/>
          <w:szCs w:val="20"/>
          <w:color w:val="auto"/>
        </w:rPr>
      </w:pPr>
      <w:r>
        <w:rPr>
          <w:rFonts w:ascii="Times New Roman" w:cs="Times New Roman" w:eastAsia="Times New Roman" w:hAnsi="Times New Roman"/>
          <w:sz w:val="19"/>
          <w:szCs w:val="19"/>
          <w:color w:val="auto"/>
        </w:rPr>
        <w:t>Company’s Boston facility to the Braintree facility will be greater than expected; fluctuations in hospitals' spending for capital equipment; uncertainties inherent in the development of new products and the enhancement of existing products, including FDA approval and/or</w:t>
      </w:r>
    </w:p>
    <w:p>
      <w:pPr>
        <w:spacing w:after="0" w:line="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9"/>
          <w:szCs w:val="19"/>
          <w:color w:val="auto"/>
        </w:rPr>
        <w:t>clearance and other regulatory risks, technical risks, cost overruns and delays; the Company's ability to comply with regulations regarding products of human origin and products containing materials derived from animal source; difficulties in controlling expenses, including costs</w:t>
      </w:r>
    </w:p>
    <w:p>
      <w:pPr>
        <w:spacing w:after="0" w:line="1"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to procure and manufacture the Company’s products; the ability of the Company to successfully manage leadership and organizational changes and the impact of changes in management or staff levels; the impact of goodwill and intangible asset impairment charges if future</w:t>
      </w:r>
    </w:p>
    <w:p>
      <w:pPr>
        <w:spacing w:after="0"/>
        <w:rPr>
          <w:sz w:val="20"/>
          <w:szCs w:val="20"/>
          <w:color w:val="auto"/>
        </w:rPr>
      </w:pPr>
      <w:r>
        <w:rPr>
          <w:rFonts w:ascii="Times New Roman" w:cs="Times New Roman" w:eastAsia="Times New Roman" w:hAnsi="Times New Roman"/>
          <w:sz w:val="19"/>
          <w:szCs w:val="19"/>
          <w:color w:val="auto"/>
        </w:rPr>
        <w:t>operating results of acquired businesses are significantly less than the results anticipated at the time of the acquisitions, the Company's ability</w:t>
      </w:r>
    </w:p>
    <w:p>
      <w:pPr>
        <w:ind w:right="60"/>
        <w:spacing w:after="0" w:line="229" w:lineRule="auto"/>
        <w:rPr>
          <w:sz w:val="20"/>
          <w:szCs w:val="20"/>
          <w:color w:val="auto"/>
        </w:rPr>
      </w:pPr>
      <w:r>
        <w:rPr>
          <w:rFonts w:ascii="Times New Roman" w:cs="Times New Roman" w:eastAsia="Times New Roman" w:hAnsi="Times New Roman"/>
          <w:sz w:val="19"/>
          <w:szCs w:val="19"/>
          <w:color w:val="auto"/>
        </w:rPr>
        <w:t>to leverage its existing selling organizations and administrative infrastructure; the Company's ability to increase product sales and gross margins, and control non-product costs; the Company’s ability to achieve anticipated growth rates, margins and scale and execute its strategy</w:t>
      </w:r>
    </w:p>
    <w:p>
      <w:pPr>
        <w:spacing w:after="0" w:line="227" w:lineRule="auto"/>
        <w:rPr>
          <w:sz w:val="20"/>
          <w:szCs w:val="20"/>
          <w:color w:val="auto"/>
        </w:rPr>
      </w:pPr>
      <w:r>
        <w:rPr>
          <w:rFonts w:ascii="Times New Roman" w:cs="Times New Roman" w:eastAsia="Times New Roman" w:hAnsi="Times New Roman"/>
          <w:sz w:val="20"/>
          <w:szCs w:val="20"/>
          <w:color w:val="auto"/>
        </w:rPr>
        <w:t>generally; the amount and timing of divestiture, acquisition and integration-related costs; the geographic distribution of where the Company</w:t>
      </w:r>
    </w:p>
    <w:p>
      <w:pPr>
        <w:ind w:right="280"/>
        <w:spacing w:after="0" w:line="229" w:lineRule="auto"/>
        <w:rPr>
          <w:sz w:val="20"/>
          <w:szCs w:val="20"/>
          <w:color w:val="auto"/>
        </w:rPr>
      </w:pPr>
      <w:r>
        <w:rPr>
          <w:rFonts w:ascii="Times New Roman" w:cs="Times New Roman" w:eastAsia="Times New Roman" w:hAnsi="Times New Roman"/>
          <w:sz w:val="19"/>
          <w:szCs w:val="19"/>
          <w:color w:val="auto"/>
        </w:rPr>
        <w:t>generates its taxable income; new U.S. and foreign government laws and regulations, and changes in existing laws, regulations and enforcement guidance, which affect areas of our operations including, but not limited to, those affecting the health care industry, including</w:t>
      </w:r>
    </w:p>
    <w:p>
      <w:pPr>
        <w:spacing w:after="0" w:line="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auto"/>
        </w:rPr>
        <w:t>the EU Medical Device Regulation; the scope, duration and effect of U.S. and international governmental, regulatory, fiscal, monetary and public health responses to any future public health crises; fluctuations in foreign currency exchange rates; the amount of our bank borrowings outstanding and other factors influencing liquidity; potential negative impacts resulting from environmental, social and governance matters; and the economic, competitive, governmental, technological, and other risk factors and uncertainties identified under the heading “Risk</w:t>
      </w:r>
    </w:p>
    <w:p>
      <w:pPr>
        <w:spacing w:after="0" w:line="4"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0"/>
          <w:szCs w:val="20"/>
          <w:color w:val="auto"/>
        </w:rPr>
        <w:t>Factors” included in Item 1A of Integra's Annual Report on Form 10-K for the year ended December 31, 2023 and information contained in subsequent filings with the Securities and Exchange Commission.</w:t>
      </w:r>
    </w:p>
    <w:p>
      <w:pPr>
        <w:spacing w:after="0" w:line="20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9"/>
          <w:szCs w:val="19"/>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5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In addition to our GAAP results, we provide certain non-GAAP measures, including organic revenues, organic revenues excluding Boston, adjusted earnings before interest, taxes, depreciation and amortization (“EBITDA”), adjusted net income, adjusted gross profit, adjusted</w:t>
      </w:r>
    </w:p>
    <w:p>
      <w:pPr>
        <w:spacing w:after="0" w:line="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0"/>
          <w:szCs w:val="20"/>
          <w:color w:val="auto"/>
        </w:rPr>
        <w:t>gross margin, adjusted earnings per diluted share, free cash flow, adjusted free cash flow conversion, and net debt. Organic revenues consist of total revenues excluding the effects of currency exchange rates, revenues from current-period acquisitions and product divestitures. Organic revenues excluding Boston consist of total revenues, excluding (i) the effects of currency exchange rates, revenues</w:t>
      </w:r>
    </w:p>
    <w:p>
      <w:pPr>
        <w:sectPr>
          <w:pgSz w:w="11900" w:h="16838" w:orient="portrait"/>
          <w:cols w:equalWidth="0" w:num="1">
            <w:col w:w="11240"/>
          </w:cols>
          <w:pgMar w:left="320" w:top="882" w:right="339" w:bottom="1440" w:gutter="0" w:footer="0" w:header="0"/>
        </w:sectPr>
      </w:pPr>
    </w:p>
    <w:bookmarkStart w:id="10" w:name="page11"/>
    <w:bookmarkEnd w:id="10"/>
    <w:p>
      <w:pPr>
        <w:spacing w:after="0" w:line="237" w:lineRule="auto"/>
        <w:rPr>
          <w:sz w:val="20"/>
          <w:szCs w:val="20"/>
          <w:color w:val="auto"/>
        </w:rPr>
      </w:pPr>
      <w:r>
        <w:rPr>
          <w:rFonts w:ascii="Times New Roman" w:cs="Times New Roman" w:eastAsia="Times New Roman" w:hAnsi="Times New Roman"/>
          <w:sz w:val="20"/>
          <w:szCs w:val="20"/>
          <w:color w:val="auto"/>
        </w:rPr>
        <w:t>from current-period acquisitions and product divestitures and (ii) revenues associated with Boston 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free cash flow consists of GAAP net cash provided by operating activities less purchases of property and equipment. The adjusted free cash flow conversion measure is calculated by dividing free cash flow by adjusted net income. The measure of net debt consists of GAAP total debt (excluding deferred financing costs) less short-term investments, cash and cash equivalents.</w:t>
      </w:r>
    </w:p>
    <w:p>
      <w:pPr>
        <w:spacing w:after="0" w:line="20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Reconciliations of GAAP revenues to organic revenues, GAAP revenues to organic revenues excluding Boston, GAAP net income to adjusted EBITDA, and adjusted net income, GAAP gross profit to adjusted gross profit, GAAP gross margin to adjusted gross margin, GAAP total debt to net debt, and GAAP earnings per diluted share to adjusted earnings per diluted share all for the quarter ended June 30, 2024 and 2023, and the GAAP operating cash flow to free cash flow and adjusted free cash flow conversion for the quarters ended June 30, 2024 and 2023, appear in the financial tables in this release.</w:t>
      </w:r>
    </w:p>
    <w:p>
      <w:pPr>
        <w:spacing w:after="0" w:line="21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w:t>
      </w:r>
      <w:r>
        <w:rPr>
          <w:rFonts w:ascii="Calibri" w:cs="Calibri" w:eastAsia="Calibri" w:hAnsi="Calibri"/>
          <w:sz w:val="20"/>
          <w:szCs w:val="20"/>
          <w:color w:val="auto"/>
        </w:rPr>
        <w:t>t</w:t>
      </w:r>
      <w:r>
        <w:rPr>
          <w:rFonts w:ascii="Times New Roman" w:cs="Times New Roman" w:eastAsia="Times New Roman" w:hAnsi="Times New Roman"/>
          <w:sz w:val="20"/>
          <w:szCs w:val="20"/>
          <w:color w:val="auto"/>
        </w:rPr>
        <w:t xml:space="preserve"> www.sec.gov or on our website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94FF"/>
        </w:rPr>
        <w:t>www.integralife.com.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8" w:lineRule="exact"/>
        <w:rPr>
          <w:sz w:val="20"/>
          <w:szCs w:val="20"/>
          <w:color w:val="auto"/>
        </w:rPr>
      </w:pPr>
    </w:p>
    <w:p>
      <w:pPr>
        <w:ind w:right="9020" w:firstLine="8"/>
        <w:spacing w:after="0" w:line="279" w:lineRule="auto"/>
        <w:tabs>
          <w:tab w:leader="none" w:pos="4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8" w:lineRule="exact"/>
        <w:rPr>
          <w:sz w:val="20"/>
          <w:szCs w:val="20"/>
          <w:color w:val="auto"/>
        </w:rPr>
      </w:pPr>
    </w:p>
    <w:p>
      <w:pPr>
        <w:ind w:right="8920" w:firstLine="8"/>
        <w:spacing w:after="0" w:line="279" w:lineRule="auto"/>
        <w:tabs>
          <w:tab w:leader="none" w:pos="47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240"/>
          </w:cols>
          <w:pgMar w:left="320" w:top="886" w:right="339" w:bottom="1440" w:gutter="0" w:footer="0" w:header="0"/>
        </w:sectPr>
      </w:pPr>
    </w:p>
    <w:bookmarkStart w:id="11" w:name="page12"/>
    <w:bookmarkEnd w:id="11"/>
    <w:p>
      <w:pPr>
        <w:jc w:val="center"/>
        <w:ind w:right="-112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p>
      <w:pPr>
        <w:sectPr>
          <w:pgSz w:w="11900" w:h="16838" w:orient="portrait"/>
          <w:cols w:equalWidth="0" w:num="1">
            <w:col w:w="10139"/>
          </w:cols>
          <w:pgMar w:left="320" w:top="891" w:right="1440" w:bottom="1440" w:gutter="0" w:footer="0" w:header="0"/>
        </w:sect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revenues, net</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1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57"/>
        </w:trPr>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8"/>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418,175</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381,267</w:t>
            </w:r>
          </w:p>
        </w:tc>
      </w:tr>
      <w:tr>
        <w:trPr>
          <w:trHeight w:val="557"/>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192,258</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174,241</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29,767</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26,588</w:t>
            </w:r>
          </w:p>
        </w:tc>
      </w:tr>
      <w:tr>
        <w:trPr>
          <w:trHeight w:val="230"/>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195,472</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164,908</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3,707</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421,204</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368,763</w:t>
            </w:r>
          </w:p>
        </w:tc>
      </w:tr>
      <w:tr>
        <w:trPr>
          <w:trHeight w:val="466"/>
        </w:trPr>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(3,029)</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w:t>
            </w:r>
          </w:p>
        </w:tc>
      </w:tr>
      <w:tr>
        <w:trPr>
          <w:trHeight w:val="461"/>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5,058</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(18,651)</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1,437</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8"/>
        </w:trPr>
        <w:tc>
          <w:tcPr>
            <w:tcW w:w="30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(15,185)</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(2,783)</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(12,402)</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w:t>
            </w:r>
          </w:p>
        </w:tc>
      </w:tr>
    </w:tbl>
    <w:p>
      <w:pPr>
        <w:spacing w:after="0" w:line="200" w:lineRule="exact"/>
        <w:rPr>
          <w:sz w:val="20"/>
          <w:szCs w:val="20"/>
          <w:color w:val="auto"/>
        </w:rPr>
      </w:pPr>
    </w:p>
    <w:p>
      <w:pPr>
        <w:sectPr>
          <w:pgSz w:w="11900" w:h="16838" w:orient="portrait"/>
          <w:cols w:equalWidth="0" w:num="2">
            <w:col w:w="6220" w:space="320"/>
            <w:col w:w="3599"/>
          </w:cols>
          <w:pgMar w:left="320" w:top="891" w:right="1440" w:bottom="1440" w:gutter="0" w:footer="0" w:header="0"/>
          <w:type w:val="continuous"/>
        </w:sectPr>
      </w:pP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$(0.16)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4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77,409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81,151</w:t>
            </w:r>
          </w:p>
        </w:tc>
      </w:tr>
    </w:tbl>
    <w:p>
      <w:pPr>
        <w:sectPr>
          <w:pgSz w:w="11900" w:h="16838" w:orient="portrait"/>
          <w:cols w:equalWidth="0" w:num="1">
            <w:col w:w="10139"/>
          </w:cols>
          <w:pgMar w:left="320" w:top="891"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for the three months ended March 31, 2024 and 2023 (amounts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Neurosurgery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7"/>
        </w:trPr>
        <w:tc>
          <w:tcPr>
            <w:tcW w:w="6080" w:type="dxa"/>
            <w:vAlign w:val="bottom"/>
            <w:vMerge w:val="continue"/>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205,803</w:t>
            </w: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Instruments</w:t>
            </w:r>
          </w:p>
        </w:tc>
        <w:tc>
          <w:tcPr>
            <w:tcW w:w="1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54,537</w:t>
            </w:r>
          </w:p>
        </w:tc>
        <w:tc>
          <w:tcPr>
            <w:tcW w:w="380" w:type="dxa"/>
            <w:vAlign w:val="bottom"/>
          </w:tcPr>
          <w:p>
            <w:pPr>
              <w:spacing w:after="0"/>
              <w:rPr>
                <w:sz w:val="22"/>
                <w:szCs w:val="22"/>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56,365</w:t>
            </w: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ENT</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41,722</w:t>
            </w: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8,862</w:t>
            </w: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370.8%</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301,761</w:t>
            </w:r>
          </w:p>
        </w:tc>
        <w:tc>
          <w:tcPr>
            <w:tcW w:w="38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271,030</w:t>
            </w: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11.3%</w:t>
            </w:r>
          </w:p>
        </w:tc>
        <w:tc>
          <w:tcPr>
            <w:tcW w:w="0" w:type="dxa"/>
            <w:vAlign w:val="bottom"/>
          </w:tcPr>
          <w:p>
            <w:pPr>
              <w:spacing w:after="0"/>
              <w:rPr>
                <w:sz w:val="1"/>
                <w:szCs w:val="1"/>
                <w:color w:val="auto"/>
              </w:rPr>
            </w:pPr>
          </w:p>
        </w:tc>
      </w:tr>
      <w:tr>
        <w:trPr>
          <w:trHeight w:val="40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87,695</w:t>
            </w:r>
          </w:p>
        </w:tc>
        <w:tc>
          <w:tcPr>
            <w:tcW w:w="38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91,118</w:t>
            </w: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Private Label</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19,119</w:t>
            </w: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50.2%</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116,414</w:t>
            </w: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110,237</w:t>
            </w: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418,175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381,267</w:t>
            </w: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6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38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Less contribution of revenues from acquisitions</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(31,291)</w:t>
            </w: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60"/>
              <w:spacing w:after="0" w:line="236"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(1)</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389,849</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381,267</w:t>
            </w: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3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Boston Revenue impact</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7,374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80" w:type="dxa"/>
            <w:vAlign w:val="bottom"/>
          </w:tcPr>
          <w:p>
            <w:pPr>
              <w:ind w:left="220"/>
              <w:spacing w:after="0" w:line="236"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excl. Boston</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389,797</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388,641</w:t>
            </w: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Organic revenues have been adjusted to exclude foreign currency (current period), acquisitions and to account for divested and discontinued products.</w:t>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June 30,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Item</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Total Amount</w:t>
            </w: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R&amp;D(c)</w:t>
            </w: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OI&amp;E(e)</w:t>
            </w:r>
          </w:p>
        </w:tc>
        <w:tc>
          <w:tcPr>
            <w:tcW w:w="1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(34)</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(14,942)</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June 30, 2023</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Item</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Total Amount</w:t>
            </w: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R&amp;D(c)</w:t>
            </w: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OI&amp;E(e)</w:t>
            </w:r>
          </w:p>
        </w:tc>
        <w:tc>
          <w:tcPr>
            <w:tcW w:w="10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(127)</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(12,974)</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5" w:name="page16"/>
    <w:bookmarkEnd w:id="15"/>
    <w:p>
      <w:pPr>
        <w:jc w:val="center"/>
        <w:ind w:right="-1100"/>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ADJUSTED EBITDA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5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(12,402)</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35,782</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30,612</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(1,402)</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13,592</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(2,783)</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5,095</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12,508</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 Braintree transition</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14,698</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charges(1)</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18,666</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96,157</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84,630</w:t>
            </w: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83,755</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88,814</w:t>
            </w:r>
          </w:p>
        </w:tc>
      </w:tr>
    </w:tbl>
    <w:p>
      <w:pPr>
        <w:sectPr>
          <w:pgSz w:w="11900" w:h="16838" w:orient="portrait"/>
          <w:cols w:equalWidth="0" w:num="1">
            <w:col w:w="10139"/>
          </w:cols>
          <w:pgMar w:left="320" w:top="891"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MEASURES OF ADJUSTED NET INCOME AND ADJUSTED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23"/>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69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(12,402)</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5,095</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18,666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12,508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14,698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25,383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8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(14,942)</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61,409</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53,233</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49,007</w:t>
            </w: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57,417</w:t>
            </w:r>
          </w:p>
        </w:tc>
      </w:tr>
      <w:tr>
        <w:trPr>
          <w:trHeight w:val="46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0.63</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77,449</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81,151</w:t>
            </w:r>
          </w:p>
        </w:tc>
      </w:tr>
    </w:tbl>
    <w:p>
      <w:pPr>
        <w:sectPr>
          <w:pgSz w:w="11900" w:h="16838" w:orient="portrait"/>
          <w:cols w:equalWidth="0" w:num="1">
            <w:col w:w="11220"/>
          </w:cols>
          <w:pgMar w:left="320" w:top="113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4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81,691</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0"/>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215,236</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2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271,155</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259,327</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421,775</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389,608</w:t>
            </w:r>
          </w:p>
        </w:tc>
        <w:tc>
          <w:tcPr>
            <w:tcW w:w="0" w:type="dxa"/>
            <w:vAlign w:val="bottom"/>
          </w:tcPr>
          <w:p>
            <w:pPr>
              <w:spacing w:after="0"/>
              <w:rPr>
                <w:sz w:val="1"/>
                <w:szCs w:val="1"/>
                <w:color w:val="auto"/>
              </w:rPr>
            </w:pPr>
          </w:p>
        </w:tc>
      </w:tr>
      <w:tr>
        <w:trPr>
          <w:trHeight w:val="441"/>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320" w:type="dxa"/>
            <w:vAlign w:val="bottom"/>
          </w:tcPr>
          <w:p>
            <w:pPr>
              <w:spacing w:after="0"/>
              <w:rPr>
                <w:sz w:val="24"/>
                <w:szCs w:val="24"/>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1,175,884</w:t>
            </w:r>
          </w:p>
        </w:tc>
        <w:tc>
          <w:tcPr>
            <w:tcW w:w="6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840,094</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32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77,700</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convertible securities</w:t>
            </w:r>
          </w:p>
        </w:tc>
        <w:tc>
          <w:tcPr>
            <w:tcW w:w="3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571,713</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432"/>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1,534,195</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00" w:type="dxa"/>
            <w:vAlign w:val="bottom"/>
          </w:tcPr>
          <w:p>
            <w:pPr>
              <w:spacing w:after="0"/>
              <w:rPr>
                <w:sz w:val="19"/>
                <w:szCs w:val="19"/>
                <w:color w:val="auto"/>
              </w:rPr>
            </w:pPr>
          </w:p>
        </w:tc>
      </w:tr>
      <w:tr>
        <w:trPr>
          <w:trHeight w:val="234"/>
        </w:trPr>
        <w:tc>
          <w:tcPr>
            <w:tcW w:w="6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42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56,157</w:t>
            </w: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54,435</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(376,163)</w:t>
            </w:r>
          </w:p>
        </w:tc>
        <w:tc>
          <w:tcPr>
            <w:tcW w:w="10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(29,252)</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by) by financing activities</w:t>
            </w:r>
          </w:p>
        </w:tc>
        <w:tc>
          <w:tcPr>
            <w:tcW w:w="380" w:type="dxa"/>
            <w:vAlign w:val="bottom"/>
          </w:tcPr>
          <w:p>
            <w:pPr>
              <w:spacing w:after="0"/>
              <w:rPr>
                <w:sz w:val="19"/>
                <w:szCs w:val="19"/>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264,928</w:t>
            </w:r>
          </w:p>
        </w:tc>
        <w:tc>
          <w:tcPr>
            <w:tcW w:w="10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(173,376)</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(6,088)</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(61,166)</w:t>
            </w: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(147,469)</w:t>
            </w:r>
          </w:p>
        </w:tc>
      </w:tr>
    </w:tbl>
    <w:p>
      <w:pPr>
        <w:sectPr>
          <w:pgSz w:w="11900" w:h="16838" w:orient="portrait"/>
          <w:cols w:equalWidth="0" w:num="1">
            <w:col w:w="11220"/>
          </w:cols>
          <w:pgMar w:left="320" w:top="891" w:right="359" w:bottom="1440" w:gutter="0" w:footer="0" w:header="0"/>
        </w:sectPr>
      </w:pPr>
    </w:p>
    <w:bookmarkStart w:id="18" w:name="page19"/>
    <w:bookmarkEnd w:id="18"/>
    <w:p>
      <w:pPr>
        <w:jc w:val="center"/>
        <w:ind w:left="380" w:right="200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FREE CASH FLOW AND ADJUSTED FREE CASH FLOW CONVERSION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40,400</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28,278</w:t>
            </w:r>
          </w:p>
        </w:tc>
        <w:tc>
          <w:tcPr>
            <w:tcW w:w="0" w:type="dxa"/>
            <w:vAlign w:val="bottom"/>
          </w:tcPr>
          <w:p>
            <w:pPr>
              <w:spacing w:after="0"/>
              <w:rPr>
                <w:sz w:val="1"/>
                <w:szCs w:val="1"/>
                <w:color w:val="auto"/>
              </w:rPr>
            </w:pPr>
          </w:p>
        </w:tc>
      </w:tr>
      <w:tr>
        <w:trPr>
          <w:trHeight w:val="5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(29,707)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(15,646)</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10,693</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65"/>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49,007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57,417</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7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Twelve Months Ended June 30,</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141,672</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208,079</w:t>
            </w:r>
          </w:p>
        </w:tc>
        <w:tc>
          <w:tcPr>
            <w:tcW w:w="0" w:type="dxa"/>
            <w:vAlign w:val="bottom"/>
          </w:tcPr>
          <w:p>
            <w:pPr>
              <w:spacing w:after="0"/>
              <w:rPr>
                <w:sz w:val="1"/>
                <w:szCs w:val="1"/>
                <w:color w:val="auto"/>
              </w:rPr>
            </w:pPr>
          </w:p>
        </w:tc>
      </w:tr>
      <w:tr>
        <w:trPr>
          <w:trHeight w:val="25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(82,797)</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(52,963)</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58,875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155,116</w:t>
            </w:r>
          </w:p>
        </w:tc>
        <w:tc>
          <w:tcPr>
            <w:tcW w:w="0" w:type="dxa"/>
            <w:vAlign w:val="bottom"/>
          </w:tcPr>
          <w:p>
            <w:pPr>
              <w:spacing w:after="0"/>
              <w:rPr>
                <w:sz w:val="1"/>
                <w:szCs w:val="1"/>
                <w:color w:val="auto"/>
              </w:rPr>
            </w:pPr>
          </w:p>
        </w:tc>
      </w:tr>
      <w:tr>
        <w:trPr>
          <w:trHeight w:val="26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221,594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268,667</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firstLine="8"/>
        <w:spacing w:after="0" w:line="266"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ended June 30, 2024 and 2023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180"/>
          </w:cols>
          <w:pgMar w:left="320" w:top="891" w:right="3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1,151,665</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825,563</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convertible securities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571,713</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(215,236)</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1,535,929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4"/>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48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418,175</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381,267</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192,258</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174,241</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30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225,917</w:t>
            </w:r>
          </w:p>
        </w:tc>
        <w:tc>
          <w:tcPr>
            <w:tcW w:w="5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207,026</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4,900</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1,513</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4,865</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14,398</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29,691</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702</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21,676</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17,610</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272,458</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257,783</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418,175</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381,267</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30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65.2 %</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r>
    </w:tbl>
    <w:p>
      <w:pPr>
        <w:spacing w:after="0" w:line="1" w:lineRule="exact"/>
        <w:rPr>
          <w:sz w:val="20"/>
          <w:szCs w:val="20"/>
          <w:color w:val="auto"/>
        </w:rPr>
      </w:pP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5"/>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609"/>
    </w:lvl>
  </w:abstractNum>
  <w:abstractNum w:abstractNumId="11">
    <w:nsid w:val="109CF92E"/>
    <w:multiLevelType w:val="hybridMultilevel"/>
    <w:lvl w:ilvl="0">
      <w:lvlJc w:val="left"/>
      <w:lvlText w:val="(%1)"/>
      <w:numFmt w:val="decimal"/>
      <w:start w:val="609"/>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2024-07-29T05:34:17Z</dcterms:created>
  <dcterms:modified xsi:type="dcterms:W3CDTF">2024-07-29T05:34:17Z</dcterms:modified>
</cp:coreProperties>
</file>