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16,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16, 2024, Integra LifeSciences Holdings Corporation (the “Company”) entered into an accelerated share repurchase agreement with Morgan Stanley &amp; Co. LLC to repurchase $50 million in the aggregate of the Company’s outstanding shares of common stock, par value $0.01 per share. The repurchase transactions are expected to be completed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08" w:right="7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2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2024</w:t>
            </w:r>
          </w:p>
        </w:tc>
        <w:tc>
          <w:tcPr>
            <w:tcW w:w="23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Lea Knight</w:t>
            </w:r>
          </w:p>
        </w:tc>
        <w:tc>
          <w:tcPr>
            <w:tcW w:w="2220" w:type="dxa"/>
            <w:vAlign w:val="bottom"/>
          </w:tcPr>
          <w:p>
            <w:pPr>
              <w:spacing w:after="0"/>
              <w:rPr>
                <w:sz w:val="24"/>
                <w:szCs w:val="24"/>
                <w:color w:val="auto"/>
              </w:rPr>
            </w:pPr>
          </w:p>
        </w:tc>
      </w:tr>
      <w:tr>
        <w:trPr>
          <w:trHeight w:val="245"/>
        </w:trPr>
        <w:tc>
          <w:tcPr>
            <w:tcW w:w="3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100" w:type="dxa"/>
            <w:vAlign w:val="bottom"/>
          </w:tcPr>
          <w:p>
            <w:pPr>
              <w:spacing w:after="0"/>
              <w:rPr>
                <w:sz w:val="20"/>
                <w:szCs w:val="20"/>
                <w:color w:val="auto"/>
              </w:rPr>
            </w:pPr>
          </w:p>
        </w:tc>
        <w:tc>
          <w:tcPr>
            <w:tcW w:w="23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2024-05-17T05:07:44Z</dcterms:created>
  <dcterms:modified xsi:type="dcterms:W3CDTF">2024-05-17T05:07:44Z</dcterms:modified>
</cp:coreProperties>
</file>