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ind w:left="680" w:hanging="443"/>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ind w:left="680" w:hanging="443"/>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350" w:lineRule="exact"/>
        <w:rPr>
          <w:sz w:val="24"/>
          <w:szCs w:val="24"/>
          <w:color w:val="auto"/>
        </w:rPr>
      </w:pPr>
    </w:p>
    <w:p>
      <w:pPr>
        <w:ind w:left="394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000-26224</w:t>
      </w: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40" w:lineRule="exact"/>
        <w:rPr>
          <w:sz w:val="24"/>
          <w:szCs w:val="24"/>
          <w:color w:val="auto"/>
        </w:rPr>
      </w:pPr>
    </w:p>
    <w:tbl>
      <w:tblPr>
        <w:tblLayout w:type="fixed"/>
        <w:tblInd w:w="1020" w:type="dxa"/>
        <w:tblCellMar>
          <w:top w:w="0" w:type="dxa"/>
          <w:left w:w="0" w:type="dxa"/>
          <w:bottom w:w="0" w:type="dxa"/>
          <w:right w:w="0" w:type="dxa"/>
        </w:tblCellMar>
      </w:tblPr>
      <w:tr>
        <w:trPr>
          <w:trHeight w:val="227"/>
        </w:trPr>
        <w:tc>
          <w:tcPr>
            <w:tcW w:w="4980" w:type="dxa"/>
            <w:vAlign w:val="bottom"/>
          </w:tcPr>
          <w:p>
            <w:pPr>
              <w:jc w:val="center"/>
              <w:ind w:right="14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51-0317849</w:t>
            </w:r>
          </w:p>
        </w:tc>
        <w:tc>
          <w:tcPr>
            <w:tcW w:w="0" w:type="dxa"/>
            <w:vAlign w:val="bottom"/>
          </w:tcPr>
          <w:p>
            <w:pPr>
              <w:spacing w:after="0"/>
              <w:rPr>
                <w:sz w:val="1"/>
                <w:szCs w:val="1"/>
                <w:color w:val="auto"/>
              </w:rPr>
            </w:pPr>
          </w:p>
        </w:tc>
      </w:tr>
      <w:tr>
        <w:trPr>
          <w:trHeight w:val="149"/>
        </w:trPr>
        <w:tc>
          <w:tcPr>
            <w:tcW w:w="4980" w:type="dxa"/>
            <w:vAlign w:val="bottom"/>
          </w:tcPr>
          <w:p>
            <w:pPr>
              <w:jc w:val="center"/>
              <w:ind w:right="15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5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980" w:type="dxa"/>
            <w:vAlign w:val="bottom"/>
          </w:tcPr>
          <w:p>
            <w:pPr>
              <w:jc w:val="center"/>
              <w:ind w:right="14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501"/>
        </w:trPr>
        <w:tc>
          <w:tcPr>
            <w:tcW w:w="4980" w:type="dxa"/>
            <w:vAlign w:val="bottom"/>
          </w:tcPr>
          <w:p>
            <w:pPr>
              <w:jc w:val="center"/>
              <w:ind w:right="1499"/>
              <w:spacing w:after="0"/>
              <w:rPr>
                <w:sz w:val="20"/>
                <w:szCs w:val="20"/>
                <w:color w:val="auto"/>
              </w:rPr>
            </w:pPr>
            <w:r>
              <w:rPr>
                <w:rFonts w:ascii="Times New Roman" w:cs="Times New Roman" w:eastAsia="Times New Roman" w:hAnsi="Times New Roman"/>
                <w:sz w:val="18"/>
                <w:szCs w:val="18"/>
                <w:b w:val="1"/>
                <w:bCs w:val="1"/>
                <w:color w:val="auto"/>
                <w:w w:val="98"/>
              </w:rPr>
              <w:t>1100 Campus Road</w:t>
            </w:r>
          </w:p>
        </w:tc>
        <w:tc>
          <w:tcPr>
            <w:tcW w:w="3160" w:type="dxa"/>
            <w:vAlign w:val="bottom"/>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08540</w:t>
            </w:r>
          </w:p>
        </w:tc>
        <w:tc>
          <w:tcPr>
            <w:tcW w:w="0" w:type="dxa"/>
            <w:vAlign w:val="bottom"/>
          </w:tcPr>
          <w:p>
            <w:pPr>
              <w:spacing w:after="0"/>
              <w:rPr>
                <w:sz w:val="1"/>
                <w:szCs w:val="1"/>
                <w:color w:val="auto"/>
              </w:rPr>
            </w:pPr>
          </w:p>
        </w:tc>
      </w:tr>
      <w:tr>
        <w:trPr>
          <w:trHeight w:val="227"/>
        </w:trPr>
        <w:tc>
          <w:tcPr>
            <w:tcW w:w="4980" w:type="dxa"/>
            <w:vAlign w:val="bottom"/>
          </w:tcPr>
          <w:p>
            <w:pPr>
              <w:jc w:val="center"/>
              <w:ind w:right="1519"/>
              <w:spacing w:after="0"/>
              <w:rPr>
                <w:sz w:val="20"/>
                <w:szCs w:val="20"/>
                <w:color w:val="auto"/>
              </w:rPr>
            </w:pPr>
            <w:r>
              <w:rPr>
                <w:rFonts w:ascii="Times New Roman" w:cs="Times New Roman" w:eastAsia="Times New Roman" w:hAnsi="Times New Roman"/>
                <w:sz w:val="18"/>
                <w:szCs w:val="18"/>
                <w:b w:val="1"/>
                <w:bCs w:val="1"/>
                <w:color w:val="auto"/>
              </w:rPr>
              <w:t>Princeton ,  New Jersey</w:t>
            </w:r>
          </w:p>
        </w:tc>
        <w:tc>
          <w:tcPr>
            <w:tcW w:w="3160" w:type="dxa"/>
            <w:vAlign w:val="bottom"/>
            <w:vMerge w:val="restart"/>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82"/>
        </w:trPr>
        <w:tc>
          <w:tcPr>
            <w:tcW w:w="4980" w:type="dxa"/>
            <w:vAlign w:val="bottom"/>
            <w:vMerge w:val="restart"/>
          </w:tcPr>
          <w:p>
            <w:pPr>
              <w:jc w:val="center"/>
              <w:ind w:right="15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980" w:type="dxa"/>
            <w:vAlign w:val="bottom"/>
            <w:vMerge w:val="continue"/>
          </w:tcPr>
          <w:p>
            <w:pPr>
              <w:spacing w:after="0"/>
              <w:rPr>
                <w:sz w:val="9"/>
                <w:szCs w:val="9"/>
                <w:color w:val="auto"/>
              </w:rPr>
            </w:pPr>
          </w:p>
        </w:tc>
        <w:tc>
          <w:tcPr>
            <w:tcW w:w="3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(609) 275-0500</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40"/>
          </w:cols>
          <w:pgMar w:left="320" w:top="1033" w:right="339" w:bottom="1440" w:gutter="0" w:footer="0" w:header="0"/>
        </w:sectPr>
      </w:pPr>
    </w:p>
    <w:p>
      <w:pPr>
        <w:spacing w:after="0" w:line="167"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4" w:lineRule="exact"/>
        <w:rPr>
          <w:sz w:val="24"/>
          <w:szCs w:val="24"/>
          <w:color w:val="auto"/>
        </w:rPr>
      </w:pPr>
    </w:p>
    <w:p>
      <w:pPr>
        <w:sectPr>
          <w:pgSz w:w="11900" w:h="16838" w:orient="portrait"/>
          <w:cols w:equalWidth="0" w:num="3">
            <w:col w:w="3220" w:space="720"/>
            <w:col w:w="1720" w:space="720"/>
            <w:col w:w="4860"/>
          </w:cols>
          <w:pgMar w:left="320" w:top="1033" w:right="3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6"/>
          <w:szCs w:val="16"/>
          <w:color w:val="auto"/>
        </w:rPr>
        <w:t>Common Stock, Par 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IART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Nasdaq Global Select Market</w:t>
      </w:r>
    </w:p>
    <w:p>
      <w:pPr>
        <w:spacing w:after="0" w:line="200" w:lineRule="exact"/>
        <w:rPr>
          <w:sz w:val="24"/>
          <w:szCs w:val="24"/>
          <w:color w:val="auto"/>
        </w:rPr>
      </w:pPr>
    </w:p>
    <w:p>
      <w:pPr>
        <w:sectPr>
          <w:pgSz w:w="11900" w:h="16838" w:orient="portrait"/>
          <w:cols w:equalWidth="0" w:num="3">
            <w:col w:w="3800" w:space="720"/>
            <w:col w:w="2320" w:space="720"/>
            <w:col w:w="3680"/>
          </w:cols>
          <w:pgMar w:left="320" w:top="1033" w:right="339" w:bottom="1440" w:gutter="0" w:footer="0" w:header="0"/>
          <w:type w:val="continuous"/>
        </w:sectPr>
      </w:pPr>
    </w:p>
    <w:p>
      <w:pPr>
        <w:spacing w:after="0" w:line="116"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20"/>
        <w:spacing w:after="0" w:line="184" w:lineRule="exact"/>
        <w:tabs>
          <w:tab w:leader="none" w:pos="74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50"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4"/>
          <w:szCs w:val="24"/>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7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2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4"/>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2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5"/>
        </w:trPr>
        <w:tc>
          <w:tcPr>
            <w:tcW w:w="2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76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90" w:lineRule="exact"/>
        <w:rPr>
          <w:sz w:val="20"/>
          <w:szCs w:val="20"/>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0"/>
          <w:szCs w:val="20"/>
          <w:color w:val="auto"/>
        </w:rPr>
      </w:pPr>
    </w:p>
    <w:p>
      <w:pPr>
        <w:ind w:right="2660"/>
        <w:spacing w:after="0" w:line="28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$0.01 par value, outstanding as of </w:t>
      </w:r>
      <w:r>
        <w:rPr>
          <w:rFonts w:ascii="Times New Roman" w:cs="Times New Roman" w:eastAsia="Times New Roman" w:hAnsi="Times New Roman"/>
          <w:sz w:val="17"/>
          <w:szCs w:val="17"/>
          <w:color w:val="auto"/>
        </w:rPr>
        <w:t>July 26, 2024</w:t>
      </w:r>
      <w:r>
        <w:rPr>
          <w:rFonts w:ascii="Times New Roman" w:cs="Times New Roman" w:eastAsia="Times New Roman" w:hAnsi="Times New Roman"/>
          <w:sz w:val="16"/>
          <w:szCs w:val="16"/>
          <w:color w:val="auto"/>
        </w:rPr>
        <w:t xml:space="preserve"> was 77,582,027.</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tcBorders>
              <w:bottom w:val="single" w:sz="8" w:color="0000FF"/>
            </w:tcBorders>
            <w:gridSpan w:val="10"/>
          </w:tcPr>
          <w:p>
            <w:pPr>
              <w:spacing w:after="0" w:line="159" w:lineRule="exact"/>
              <w:rPr>
                <w:sz w:val="20"/>
                <w:szCs w:val="20"/>
                <w:color w:val="auto"/>
              </w:rPr>
            </w:pPr>
            <w:r>
              <w:rPr>
                <w:rFonts w:ascii="Times New Roman" w:cs="Times New Roman" w:eastAsia="Times New Roman" w:hAnsi="Times New Roman"/>
                <w:sz w:val="16"/>
                <w:szCs w:val="16"/>
                <w:color w:val="0000FF"/>
                <w:w w:val="99"/>
              </w:rPr>
              <w:t>PART I. FINANCIAL INFORMATION</w:t>
            </w:r>
          </w:p>
        </w:tc>
        <w:tc>
          <w:tcPr>
            <w:tcW w:w="7360" w:type="dxa"/>
            <w:vAlign w:val="bottom"/>
            <w:gridSpan w:val="8"/>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Item 1. Financial Statements</w:t>
            </w:r>
          </w:p>
        </w:tc>
        <w:tc>
          <w:tcPr>
            <w:tcW w:w="8100" w:type="dxa"/>
            <w:vAlign w:val="bottom"/>
            <w:gridSpan w:val="11"/>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Condensed Consolidated Statements of Operations and Comprehensive Income for the Three and Six Months Ended June 30, 2024 and 2023</w:t>
            </w: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0000FF"/>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40" w:type="dxa"/>
            <w:vAlign w:val="bottom"/>
            <w:tcBorders>
              <w:top w:val="single" w:sz="8" w:color="0000FF"/>
            </w:tcBorders>
            <w:gridSpan w:val="17"/>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Condensed Consolidated Balance Sheets as of June 30, 2024 and December 31, 2023 (Unaudited)</w:t>
            </w:r>
          </w:p>
        </w:tc>
        <w:tc>
          <w:tcPr>
            <w:tcW w:w="3600" w:type="dxa"/>
            <w:vAlign w:val="bottom"/>
            <w:gridSpan w:val="4"/>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 for the Six Months Ended June 30, 2024 and 2023 (Unaudited)</w:t>
            </w:r>
          </w:p>
        </w:tc>
        <w:tc>
          <w:tcPr>
            <w:tcW w:w="2480" w:type="dxa"/>
            <w:vAlign w:val="bottom"/>
            <w:gridSpan w:val="3"/>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Condensed Consolidated Statements of Changes in Shareholders' Equity for the Six Months Ended June 30, 2024 and 2023 (Unaudited)</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Notes to Unaudited Condensed Consolidated Financial Statements</w:t>
            </w:r>
          </w:p>
        </w:tc>
        <w:tc>
          <w:tcPr>
            <w:tcW w:w="4500" w:type="dxa"/>
            <w:vAlign w:val="bottom"/>
            <w:tcBorders>
              <w:top w:val="single" w:sz="8" w:color="0000FF"/>
            </w:tcBorders>
            <w:gridSpan w:val="5"/>
          </w:tcPr>
          <w:p>
            <w:pPr>
              <w:spacing w:after="0"/>
              <w:rPr>
                <w:sz w:val="21"/>
                <w:szCs w:val="21"/>
                <w:color w:val="auto"/>
              </w:rPr>
            </w:pPr>
          </w:p>
        </w:tc>
        <w:tc>
          <w:tcPr>
            <w:tcW w:w="1140" w:type="dxa"/>
            <w:vAlign w:val="bottom"/>
            <w:gridSpan w:val="2"/>
          </w:tcPr>
          <w:p>
            <w:pPr>
              <w:spacing w:after="0"/>
              <w:rPr>
                <w:sz w:val="21"/>
                <w:szCs w:val="21"/>
                <w:color w:val="auto"/>
              </w:rPr>
            </w:pPr>
          </w:p>
        </w:tc>
        <w:tc>
          <w:tcPr>
            <w:tcW w:w="1160" w:type="dxa"/>
            <w:vAlign w:val="bottom"/>
            <w:gridSpan w:val="2"/>
          </w:tcPr>
          <w:p>
            <w:pPr>
              <w:spacing w:after="0"/>
              <w:rPr>
                <w:sz w:val="21"/>
                <w:szCs w:val="21"/>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3640" w:type="dxa"/>
            <w:vAlign w:val="bottom"/>
            <w:gridSpan w:val="5"/>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Item 4. Controls and Procedures</w:t>
            </w:r>
          </w:p>
        </w:tc>
        <w:tc>
          <w:tcPr>
            <w:tcW w:w="2320" w:type="dxa"/>
            <w:vAlign w:val="bottom"/>
            <w:tcBorders>
              <w:top w:val="single" w:sz="8" w:color="0000FF"/>
            </w:tcBorders>
            <w:gridSpan w:val="4"/>
          </w:tcPr>
          <w:p>
            <w:pPr>
              <w:spacing w:after="0"/>
              <w:rPr>
                <w:sz w:val="21"/>
                <w:szCs w:val="21"/>
                <w:color w:val="auto"/>
              </w:rPr>
            </w:pPr>
          </w:p>
        </w:tc>
        <w:tc>
          <w:tcPr>
            <w:tcW w:w="5540" w:type="dxa"/>
            <w:vAlign w:val="bottom"/>
            <w:gridSpan w:val="6"/>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PART II. OTHER INFORMATION</w:t>
            </w: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Item 1. Legal Proceedings</w:t>
            </w:r>
          </w:p>
        </w:tc>
        <w:tc>
          <w:tcPr>
            <w:tcW w:w="7640" w:type="dxa"/>
            <w:vAlign w:val="bottom"/>
            <w:gridSpan w:val="9"/>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260" w:type="dxa"/>
            <w:vAlign w:val="bottom"/>
            <w:tcBorders>
              <w:top w:val="single" w:sz="8" w:color="0000FF"/>
            </w:tcBorders>
            <w:gridSpan w:val="2"/>
          </w:tcPr>
          <w:p>
            <w:pPr>
              <w:spacing w:after="0"/>
              <w:rPr>
                <w:sz w:val="21"/>
                <w:szCs w:val="21"/>
                <w:color w:val="auto"/>
              </w:rPr>
            </w:pPr>
          </w:p>
        </w:tc>
        <w:tc>
          <w:tcPr>
            <w:tcW w:w="8260" w:type="dxa"/>
            <w:vAlign w:val="bottom"/>
            <w:gridSpan w:val="12"/>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Item 2. Unregistered Sales of Equity Securities and Use of Proceeds</w:t>
            </w:r>
          </w:p>
        </w:tc>
        <w:tc>
          <w:tcPr>
            <w:tcW w:w="5540" w:type="dxa"/>
            <w:vAlign w:val="bottom"/>
            <w:gridSpan w:val="6"/>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Item 3. Defaults Upon Senior Securities</w:t>
            </w:r>
          </w:p>
        </w:tc>
        <w:tc>
          <w:tcPr>
            <w:tcW w:w="7360" w:type="dxa"/>
            <w:vAlign w:val="bottom"/>
            <w:gridSpan w:val="8"/>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Item 4. Mine Safety Disclosures</w:t>
            </w:r>
          </w:p>
        </w:tc>
        <w:tc>
          <w:tcPr>
            <w:tcW w:w="7860" w:type="dxa"/>
            <w:vAlign w:val="bottom"/>
            <w:gridSpan w:val="10"/>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Item 5. Other Information</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Item 6. Exhibits</w:t>
            </w:r>
          </w:p>
        </w:tc>
        <w:tc>
          <w:tcPr>
            <w:tcW w:w="8280" w:type="dxa"/>
            <w:vAlign w:val="bottom"/>
            <w:gridSpan w:val="13"/>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8920" w:type="dxa"/>
            <w:vAlign w:val="bottom"/>
            <w:gridSpan w:val="15"/>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3"/>
        </w:trPr>
        <w:tc>
          <w:tcPr>
            <w:tcW w:w="20" w:type="dxa"/>
            <w:vAlign w:val="bottom"/>
            <w:tcBorders>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18"/>
                <w:szCs w:val="18"/>
                <w:color w:val="auto"/>
              </w:rPr>
            </w:pPr>
          </w:p>
        </w:tc>
        <w:tc>
          <w:tcPr>
            <w:tcW w:w="264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762,113</w:t>
            </w:r>
          </w:p>
        </w:tc>
      </w:tr>
      <w:tr>
        <w:trPr>
          <w:trHeight w:val="216"/>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322,216</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53,312</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361,270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331,565</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6,134</w:t>
            </w:r>
          </w:p>
        </w:tc>
      </w:tr>
      <w:tr>
        <w:trPr>
          <w:trHeight w:val="207"/>
        </w:trPr>
        <w:tc>
          <w:tcPr>
            <w:tcW w:w="52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421,204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368,763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786,112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713,227</w:t>
            </w:r>
          </w:p>
        </w:tc>
      </w:tr>
      <w:tr>
        <w:trPr>
          <w:trHeight w:val="21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48,886</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8,046</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(24,564)</w:t>
            </w:r>
          </w:p>
        </w:tc>
      </w:tr>
      <w:tr>
        <w:trPr>
          <w:trHeight w:val="21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w:t>
            </w:r>
          </w:p>
        </w:tc>
      </w:tr>
      <w:tr>
        <w:trPr>
          <w:trHeight w:val="21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income before income taxes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33,602</w:t>
            </w:r>
          </w:p>
        </w:tc>
      </w:tr>
      <w:tr>
        <w:trPr>
          <w:trHeight w:val="21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5,192</w:t>
            </w: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 per share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r>
      <w:tr>
        <w:trPr>
          <w:trHeight w:val="21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r>
      <w:tr>
        <w:trPr>
          <w:trHeight w:val="270"/>
        </w:trPr>
        <w:tc>
          <w:tcPr>
            <w:tcW w:w="5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 (See Note 13):</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81,418</w:t>
            </w:r>
          </w:p>
        </w:tc>
      </w:tr>
      <w:tr>
        <w:trPr>
          <w:trHeight w:val="216"/>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77,409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81,151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77,572</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81,739</w:t>
            </w:r>
          </w:p>
        </w:tc>
      </w:tr>
      <w:tr>
        <w:trPr>
          <w:trHeight w:val="212"/>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(See Note 14)</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(20,482)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(19,303)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22,975</w:t>
            </w: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9"/>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276,402</w:t>
            </w:r>
          </w:p>
        </w:tc>
        <w:tc>
          <w:tcPr>
            <w:tcW w:w="0" w:type="dxa"/>
            <w:vAlign w:val="bottom"/>
          </w:tcPr>
          <w:p>
            <w:pPr>
              <w:spacing w:after="0"/>
              <w:rPr>
                <w:sz w:val="1"/>
                <w:szCs w:val="1"/>
                <w:color w:val="auto"/>
              </w:rPr>
            </w:pPr>
          </w:p>
        </w:tc>
      </w:tr>
      <w:tr>
        <w:trPr>
          <w:trHeight w:val="213"/>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Short-term investments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32,694</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Trade accounts receivable, net of allowances of $10,992 and $4,879</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259,327</w:t>
            </w:r>
          </w:p>
        </w:tc>
        <w:tc>
          <w:tcPr>
            <w:tcW w:w="0" w:type="dxa"/>
            <w:vAlign w:val="bottom"/>
          </w:tcPr>
          <w:p>
            <w:pPr>
              <w:spacing w:after="0"/>
              <w:rPr>
                <w:sz w:val="1"/>
                <w:szCs w:val="1"/>
                <w:color w:val="auto"/>
              </w:rPr>
            </w:pPr>
          </w:p>
        </w:tc>
      </w:tr>
      <w:tr>
        <w:trPr>
          <w:trHeight w:val="213"/>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Inventories, net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421,775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389,608</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67,362</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28,790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32,643</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1,112,286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1,058,036</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373,570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340,199</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 of use asset - operating leases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156,184</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1,219,942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1,067,833</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1,104,640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1,055,462</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46,080</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70,822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58,194</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4,074,495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3,781,988</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borrowings under senior credit facility</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14,531</w:t>
            </w:r>
          </w:p>
        </w:tc>
        <w:tc>
          <w:tcPr>
            <w:tcW w:w="0" w:type="dxa"/>
            <w:vAlign w:val="bottom"/>
          </w:tcPr>
          <w:p>
            <w:pPr>
              <w:spacing w:after="0"/>
              <w:rPr>
                <w:sz w:val="1"/>
                <w:szCs w:val="1"/>
                <w:color w:val="auto"/>
              </w:rPr>
            </w:pPr>
          </w:p>
        </w:tc>
      </w:tr>
      <w:tr>
        <w:trPr>
          <w:trHeight w:val="213"/>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lease liability - operating leases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15,284</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trade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92,326</w:t>
            </w:r>
          </w:p>
        </w:tc>
        <w:tc>
          <w:tcPr>
            <w:tcW w:w="0" w:type="dxa"/>
            <w:vAlign w:val="bottom"/>
          </w:tcPr>
          <w:p>
            <w:pPr>
              <w:spacing w:after="0"/>
              <w:rPr>
                <w:sz w:val="1"/>
                <w:szCs w:val="1"/>
                <w:color w:val="auto"/>
              </w:rPr>
            </w:pPr>
          </w:p>
        </w:tc>
      </w:tr>
      <w:tr>
        <w:trPr>
          <w:trHeight w:val="213"/>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8,540</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compensation</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75,455</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102,487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100,844</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306,980</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borrowings under senior credit facility</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1,151,665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825,563</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borrowings under securitization facility</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89,200</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convertible securities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571,713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570,255</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166,849</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35,317</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154,820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199,940</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2,540,300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2,194,104</w:t>
            </w:r>
          </w:p>
        </w:tc>
        <w:tc>
          <w:tcPr>
            <w:tcW w:w="0" w:type="dxa"/>
            <w:vAlign w:val="bottom"/>
          </w:tcPr>
          <w:p>
            <w:pPr>
              <w:spacing w:after="0"/>
              <w:rPr>
                <w:sz w:val="1"/>
                <w:szCs w:val="1"/>
                <w:color w:val="auto"/>
              </w:rPr>
            </w:pPr>
          </w:p>
        </w:tc>
      </w:tr>
      <w:tr>
        <w:trPr>
          <w:trHeight w:val="19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Preferred stock; no par value; 15,000 authorized shares; none outstanding</w:t>
            </w:r>
          </w:p>
        </w:tc>
        <w:tc>
          <w:tcPr>
            <w:tcW w:w="2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82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Common stock; $0.01 par value; 240,000 authorized shares; 91,591 and 90,920 issued at June 30, 2024 and</w:t>
            </w:r>
          </w:p>
        </w:tc>
        <w:tc>
          <w:tcPr>
            <w:tcW w:w="2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2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1,301,582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1,302,484</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Treasury stock, at cost; 14,008 shares and 12,751 shares at June 30, 2024 and December 31, 2023, respectively</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(680,753)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(647,262)</w:t>
            </w:r>
          </w:p>
        </w:tc>
        <w:tc>
          <w:tcPr>
            <w:tcW w:w="0" w:type="dxa"/>
            <w:vAlign w:val="bottom"/>
          </w:tcPr>
          <w:p>
            <w:pPr>
              <w:spacing w:after="0"/>
              <w:rPr>
                <w:sz w:val="1"/>
                <w:szCs w:val="1"/>
                <w:color w:val="auto"/>
              </w:rPr>
            </w:pPr>
          </w:p>
        </w:tc>
      </w:tr>
      <w:tr>
        <w:trPr>
          <w:trHeight w:val="213"/>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(15,106)</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931,176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946,859</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1,534,195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1,587,884</w:t>
            </w:r>
          </w:p>
        </w:tc>
        <w:tc>
          <w:tcPr>
            <w:tcW w:w="0" w:type="dxa"/>
            <w:vAlign w:val="bottom"/>
          </w:tcPr>
          <w:p>
            <w:pPr>
              <w:spacing w:after="0"/>
              <w:rPr>
                <w:sz w:val="1"/>
                <w:szCs w:val="1"/>
                <w:color w:val="auto"/>
              </w:rPr>
            </w:pPr>
          </w:p>
        </w:tc>
      </w:tr>
      <w:tr>
        <w:trPr>
          <w:trHeight w:val="23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4,074,495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3,781,988</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78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(15,683)</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28,410</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61,969</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impairment charges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 provision (benefit)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8,891</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 and expenses associated with debt refinancing</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3,314</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lease expense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(gain) on disposal of property and equipment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contingent consideration and others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6,081</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4,826</w:t>
            </w:r>
          </w:p>
        </w:tc>
      </w:tr>
      <w:tr>
        <w:trPr>
          <w:trHeight w:val="213"/>
        </w:trPr>
        <w:tc>
          <w:tcPr>
            <w:tcW w:w="7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Inventories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(27,555)</w:t>
            </w:r>
          </w:p>
        </w:tc>
      </w:tr>
      <w:tr>
        <w:trPr>
          <w:trHeight w:val="21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(10,512)</w:t>
            </w:r>
          </w:p>
        </w:tc>
      </w:tr>
      <w:tr>
        <w:trPr>
          <w:trHeight w:val="213"/>
        </w:trPr>
        <w:tc>
          <w:tcPr>
            <w:tcW w:w="7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non-current assets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(8,184)</w:t>
            </w:r>
          </w:p>
        </w:tc>
      </w:tr>
      <w:tr>
        <w:trPr>
          <w:trHeight w:val="21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(15,899)</w:t>
            </w:r>
          </w:p>
        </w:tc>
      </w:tr>
      <w:tr>
        <w:trPr>
          <w:trHeight w:val="213"/>
        </w:trPr>
        <w:tc>
          <w:tcPr>
            <w:tcW w:w="7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Contract liabilities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r>
      <w:tr>
        <w:trPr>
          <w:trHeight w:val="21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56,157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54,435</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(45,172)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(29,252)</w:t>
            </w:r>
          </w:p>
        </w:tc>
      </w:tr>
      <w:tr>
        <w:trPr>
          <w:trHeight w:val="23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business acquisitions, net of cash acquired</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(281,994)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(48,997)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(376,163)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(29,252)</w:t>
            </w: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borrowings of long-term indebtedness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429,300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15,200</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debt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(29,100)</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(7,578)</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for Contingent Consideration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exercised stock options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3,437</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taxes paid in net equity settlement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w:t>
            </w:r>
          </w:p>
        </w:tc>
      </w:tr>
      <w:tr>
        <w:trPr>
          <w:trHeight w:val="20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264,928</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(173,376)</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r>
      <w:tr>
        <w:trPr>
          <w:trHeight w:val="20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(61,166)</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(147,469)</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276,402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456,661</w:t>
            </w: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215,236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309,192</w:t>
            </w: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SHAREHOLDERS'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33655</wp:posOffset>
            </wp:positionV>
            <wp:extent cx="5177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7779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January 1, 2024</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loss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p>
      <w:pPr>
        <w:spacing w:after="0" w:line="32" w:lineRule="exact"/>
        <w:rPr>
          <w:sz w:val="20"/>
          <w:szCs w:val="20"/>
          <w:color w:val="auto"/>
        </w:rPr>
      </w:pPr>
    </w:p>
    <w:p>
      <w:pPr>
        <w:ind w:left="20" w:right="80"/>
        <w:spacing w:after="0" w:line="245" w:lineRule="auto"/>
        <w:rPr>
          <w:sz w:val="20"/>
          <w:szCs w:val="20"/>
          <w:color w:val="auto"/>
        </w:rPr>
      </w:pPr>
      <w:r>
        <w:rPr>
          <w:rFonts w:ascii="Times New Roman" w:cs="Times New Roman" w:eastAsia="Times New Roman" w:hAnsi="Times New Roman"/>
          <w:sz w:val="16"/>
          <w:szCs w:val="16"/>
          <w:color w:val="auto"/>
        </w:rPr>
        <w:t>Issuance of common stock through employee stock purchase plan</w:t>
      </w:r>
    </w:p>
    <w:p>
      <w:pPr>
        <w:spacing w:after="0" w:line="2"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16"/>
          <w:szCs w:val="16"/>
          <w:color w:val="auto"/>
        </w:rPr>
        <w:t>Issuance of common stock for vesting of share based awards, net of shares withheld for taxes</w:t>
      </w:r>
    </w:p>
    <w:p>
      <w:pPr>
        <w:spacing w:after="0" w:line="2" w:lineRule="exact"/>
        <w:rPr>
          <w:sz w:val="20"/>
          <w:szCs w:val="20"/>
          <w:color w:val="auto"/>
        </w:rPr>
      </w:pPr>
    </w:p>
    <w:p>
      <w:pPr>
        <w:ind w:left="20" w:right="1280"/>
        <w:spacing w:after="0" w:line="290" w:lineRule="auto"/>
        <w:rPr>
          <w:sz w:val="20"/>
          <w:szCs w:val="20"/>
          <w:color w:val="auto"/>
        </w:rPr>
      </w:pPr>
      <w:r>
        <w:rPr>
          <w:rFonts w:ascii="Times New Roman" w:cs="Times New Roman" w:eastAsia="Times New Roman" w:hAnsi="Times New Roman"/>
          <w:sz w:val="16"/>
          <w:szCs w:val="16"/>
          <w:color w:val="auto"/>
        </w:rPr>
        <w:t>Share-based compensation Balance, March 31, 2024</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p>
      <w:pPr>
        <w:spacing w:after="0" w:line="32"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16"/>
          <w:szCs w:val="16"/>
          <w:color w:val="auto"/>
        </w:rPr>
        <w:t>Issuance of common stock for vesting of share based awards, net of shares withheld for taxes</w:t>
      </w:r>
    </w:p>
    <w:p>
      <w:pPr>
        <w:spacing w:after="0" w:line="2" w:lineRule="exact"/>
        <w:rPr>
          <w:sz w:val="20"/>
          <w:szCs w:val="20"/>
          <w:color w:val="auto"/>
        </w:rPr>
      </w:pPr>
    </w:p>
    <w:p>
      <w:pPr>
        <w:ind w:left="20" w:right="980"/>
        <w:spacing w:after="0" w:line="290" w:lineRule="auto"/>
        <w:rPr>
          <w:sz w:val="20"/>
          <w:szCs w:val="20"/>
          <w:color w:val="auto"/>
        </w:rPr>
      </w:pPr>
      <w:r>
        <w:rPr>
          <w:rFonts w:ascii="Times New Roman" w:cs="Times New Roman" w:eastAsia="Times New Roman" w:hAnsi="Times New Roman"/>
          <w:sz w:val="16"/>
          <w:szCs w:val="16"/>
          <w:color w:val="auto"/>
        </w:rPr>
        <w:t>Share-based compensation Accelerated shares repurchased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June 30, 2024</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8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7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8"/>
                <w:szCs w:val="18"/>
                <w:color w:val="auto"/>
              </w:rPr>
            </w:pPr>
          </w:p>
        </w:tc>
        <w:tc>
          <w:tcPr>
            <w:tcW w:w="94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83"/>
        </w:trPr>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7"/>
                <w:szCs w:val="7"/>
                <w:color w:val="auto"/>
              </w:rPr>
            </w:pPr>
          </w:p>
        </w:tc>
        <w:tc>
          <w:tcPr>
            <w:tcW w:w="1240" w:type="dxa"/>
            <w:vAlign w:val="bottom"/>
            <w:gridSpan w:val="2"/>
          </w:tcPr>
          <w:p>
            <w:pPr>
              <w:jc w:val="center"/>
              <w:ind w:right="240"/>
              <w:spacing w:after="0" w:line="84"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100" w:type="dxa"/>
            <w:vAlign w:val="bottom"/>
          </w:tcPr>
          <w:p>
            <w:pPr>
              <w:spacing w:after="0"/>
              <w:rPr>
                <w:sz w:val="7"/>
                <w:szCs w:val="7"/>
                <w:color w:val="auto"/>
              </w:rPr>
            </w:pPr>
          </w:p>
        </w:tc>
        <w:tc>
          <w:tcPr>
            <w:tcW w:w="780" w:type="dxa"/>
            <w:vAlign w:val="bottom"/>
            <w:gridSpan w:val="2"/>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0"/>
                <w:szCs w:val="10"/>
                <w:color w:val="auto"/>
              </w:rPr>
            </w:pPr>
          </w:p>
        </w:tc>
        <w:tc>
          <w:tcPr>
            <w:tcW w:w="76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90,920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(647,262)</w:t>
            </w:r>
          </w:p>
        </w:tc>
        <w:tc>
          <w:tcPr>
            <w:tcW w:w="10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1,302,484</w:t>
            </w:r>
          </w:p>
        </w:tc>
        <w:tc>
          <w:tcPr>
            <w:tcW w:w="10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(15,106)</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946,859</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1,587,884</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4,460</w:t>
            </w:r>
          </w:p>
        </w:tc>
        <w:tc>
          <w:tcPr>
            <w:tcW w:w="0" w:type="dxa"/>
            <w:vAlign w:val="bottom"/>
          </w:tcPr>
          <w:p>
            <w:pPr>
              <w:spacing w:after="0"/>
              <w:rPr>
                <w:sz w:val="1"/>
                <w:szCs w:val="1"/>
                <w:color w:val="auto"/>
              </w:rPr>
            </w:pPr>
          </w:p>
        </w:tc>
      </w:tr>
      <w:tr>
        <w:trPr>
          <w:trHeight w:val="297"/>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0" w:type="dxa"/>
            <w:vAlign w:val="bottom"/>
          </w:tcPr>
          <w:p>
            <w:pPr>
              <w:spacing w:after="0"/>
              <w:rPr>
                <w:sz w:val="1"/>
                <w:szCs w:val="1"/>
                <w:color w:val="auto"/>
              </w:rPr>
            </w:pPr>
          </w:p>
        </w:tc>
      </w:tr>
      <w:tr>
        <w:trPr>
          <w:trHeight w:val="378"/>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0" w:type="dxa"/>
            <w:vAlign w:val="bottom"/>
          </w:tcPr>
          <w:p>
            <w:pPr>
              <w:spacing w:after="0"/>
              <w:rPr>
                <w:sz w:val="1"/>
                <w:szCs w:val="1"/>
                <w:color w:val="auto"/>
              </w:rPr>
            </w:pPr>
          </w:p>
        </w:tc>
      </w:tr>
      <w:tr>
        <w:trPr>
          <w:trHeight w:val="300"/>
        </w:trPr>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5,608</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5,612</w:t>
            </w:r>
          </w:p>
        </w:tc>
        <w:tc>
          <w:tcPr>
            <w:tcW w:w="0" w:type="dxa"/>
            <w:vAlign w:val="bottom"/>
          </w:tcPr>
          <w:p>
            <w:pPr>
              <w:spacing w:after="0"/>
              <w:rPr>
                <w:sz w:val="1"/>
                <w:szCs w:val="1"/>
                <w:color w:val="auto"/>
              </w:rPr>
            </w:pPr>
          </w:p>
        </w:tc>
      </w:tr>
      <w:tr>
        <w:trPr>
          <w:trHeight w:val="207"/>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91,484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(646,422)</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1,310,527</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943,578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1,597,952</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(12,402)</w:t>
            </w:r>
          </w:p>
        </w:tc>
        <w:tc>
          <w:tcPr>
            <w:tcW w:w="0" w:type="dxa"/>
            <w:vAlign w:val="bottom"/>
          </w:tcPr>
          <w:p>
            <w:pPr>
              <w:spacing w:after="0"/>
              <w:rPr>
                <w:sz w:val="1"/>
                <w:szCs w:val="1"/>
                <w:color w:val="auto"/>
              </w:rPr>
            </w:pPr>
          </w:p>
        </w:tc>
      </w:tr>
      <w:tr>
        <w:trPr>
          <w:trHeight w:val="216"/>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(8,080)</w:t>
            </w:r>
          </w:p>
        </w:tc>
        <w:tc>
          <w:tcPr>
            <w:tcW w:w="0" w:type="dxa"/>
            <w:vAlign w:val="bottom"/>
          </w:tcPr>
          <w:p>
            <w:pPr>
              <w:spacing w:after="0"/>
              <w:rPr>
                <w:sz w:val="1"/>
                <w:szCs w:val="1"/>
                <w:color w:val="auto"/>
              </w:rPr>
            </w:pPr>
          </w:p>
        </w:tc>
      </w:tr>
      <w:tr>
        <w:trPr>
          <w:trHeight w:val="297"/>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97"/>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7,305</w:t>
            </w:r>
          </w:p>
        </w:tc>
        <w:tc>
          <w:tcPr>
            <w:tcW w:w="0" w:type="dxa"/>
            <w:vAlign w:val="bottom"/>
          </w:tcPr>
          <w:p>
            <w:pPr>
              <w:spacing w:after="0"/>
              <w:rPr>
                <w:sz w:val="1"/>
                <w:szCs w:val="1"/>
                <w:color w:val="auto"/>
              </w:rPr>
            </w:pPr>
          </w:p>
        </w:tc>
      </w:tr>
      <w:tr>
        <w:trPr>
          <w:trHeight w:val="219"/>
        </w:trPr>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(34,351)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(16,149)</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(50,500)</w:t>
            </w:r>
          </w:p>
        </w:tc>
        <w:tc>
          <w:tcPr>
            <w:tcW w:w="0" w:type="dxa"/>
            <w:vAlign w:val="bottom"/>
          </w:tcPr>
          <w:p>
            <w:pPr>
              <w:spacing w:after="0"/>
              <w:rPr>
                <w:sz w:val="1"/>
                <w:szCs w:val="1"/>
                <w:color w:val="auto"/>
              </w:rPr>
            </w:pPr>
          </w:p>
        </w:tc>
      </w:tr>
      <w:tr>
        <w:trPr>
          <w:trHeight w:val="210"/>
        </w:trPr>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91,591</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(14,008)</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(680,753)</w:t>
            </w:r>
          </w:p>
        </w:tc>
        <w:tc>
          <w:tcPr>
            <w:tcW w:w="2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1,301,582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(18,726)</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931,176</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1,534,195</w:t>
            </w:r>
          </w:p>
        </w:tc>
        <w:tc>
          <w:tcPr>
            <w:tcW w:w="0" w:type="dxa"/>
            <w:vAlign w:val="bottom"/>
          </w:tcPr>
          <w:p>
            <w:pPr>
              <w:spacing w:after="0"/>
              <w:rPr>
                <w:sz w:val="1"/>
                <w:szCs w:val="1"/>
                <w:color w:val="auto"/>
              </w:rPr>
            </w:pPr>
          </w:p>
        </w:tc>
      </w:tr>
      <w:tr>
        <w:trPr>
          <w:trHeight w:val="23"/>
        </w:trPr>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-2150745</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-1868170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-1490980</wp:posOffset>
            </wp:positionV>
            <wp:extent cx="7132320"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-1113790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-831215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-454025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-179070</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5177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3040" w:space="40"/>
            <w:col w:w="8160"/>
          </w:cols>
          <w:pgMar w:left="320" w:top="121" w:right="339" w:bottom="1440" w:gutter="0" w:footer="0" w:header="0"/>
          <w:type w:val="continuous"/>
        </w:sectPr>
      </w:pPr>
    </w:p>
    <w:tbl>
      <w:tblPr>
        <w:tblLayout w:type="fixed"/>
        <w:tblInd w:w="3080" w:type="dxa"/>
        <w:tblCellMar>
          <w:top w:w="0" w:type="dxa"/>
          <w:left w:w="0" w:type="dxa"/>
          <w:bottom w:w="0" w:type="dxa"/>
          <w:right w:w="0" w:type="dxa"/>
        </w:tblCellMar>
      </w:tblPr>
      <w:tr>
        <w:trPr>
          <w:trHeight w:val="214"/>
        </w:trPr>
        <w:tc>
          <w:tcPr>
            <w:tcW w:w="18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7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w w:val="97"/>
              </w:rPr>
              <w:t>Total Equity</w:t>
            </w:r>
          </w:p>
        </w:tc>
        <w:tc>
          <w:tcPr>
            <w:tcW w:w="0" w:type="dxa"/>
            <w:vAlign w:val="bottom"/>
          </w:tcPr>
          <w:p>
            <w:pPr>
              <w:spacing w:after="0"/>
              <w:rPr>
                <w:sz w:val="1"/>
                <w:szCs w:val="1"/>
                <w:color w:val="auto"/>
              </w:rPr>
            </w:pPr>
          </w:p>
        </w:tc>
      </w:tr>
      <w:tr>
        <w:trPr>
          <w:trHeight w:val="70"/>
        </w:trPr>
        <w:tc>
          <w:tcPr>
            <w:tcW w:w="8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80" w:type="dxa"/>
            <w:vAlign w:val="bottom"/>
            <w:vMerge w:val="restart"/>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1420" w:type="dxa"/>
            <w:vAlign w:val="bottom"/>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860" w:type="dxa"/>
            <w:vAlign w:val="bottom"/>
            <w:vMerge w:val="restart"/>
          </w:tcPr>
          <w:p>
            <w:pPr>
              <w:ind w:left="120"/>
              <w:spacing w:after="0" w:line="115"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8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180" w:type="dxa"/>
            <w:vAlign w:val="bottom"/>
            <w:vMerge w:val="continue"/>
          </w:tcPr>
          <w:p>
            <w:pPr>
              <w:spacing w:after="0"/>
              <w:rPr>
                <w:sz w:val="5"/>
                <w:szCs w:val="5"/>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8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820" w:type="dxa"/>
            <w:vAlign w:val="bottom"/>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January 1, 2023</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p>
      <w:pPr>
        <w:spacing w:after="0" w:line="32" w:lineRule="exact"/>
        <w:rPr>
          <w:sz w:val="20"/>
          <w:szCs w:val="20"/>
          <w:color w:val="auto"/>
        </w:rPr>
      </w:pPr>
    </w:p>
    <w:p>
      <w:pPr>
        <w:ind w:left="20" w:right="80"/>
        <w:spacing w:after="0" w:line="245" w:lineRule="auto"/>
        <w:rPr>
          <w:sz w:val="20"/>
          <w:szCs w:val="20"/>
          <w:color w:val="auto"/>
        </w:rPr>
      </w:pPr>
      <w:r>
        <w:rPr>
          <w:rFonts w:ascii="Times New Roman" w:cs="Times New Roman" w:eastAsia="Times New Roman" w:hAnsi="Times New Roman"/>
          <w:sz w:val="16"/>
          <w:szCs w:val="16"/>
          <w:color w:val="auto"/>
        </w:rPr>
        <w:t>Issuance of common stock through employee stock purchase plan</w:t>
      </w:r>
    </w:p>
    <w:p>
      <w:pPr>
        <w:spacing w:after="0" w:line="2"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16"/>
          <w:szCs w:val="16"/>
          <w:color w:val="auto"/>
        </w:rPr>
        <w:t>Issuance of common stock for vesting of share based awards, net of shares withheld for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90,476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tcPr>
          <w:p>
            <w:pPr>
              <w:spacing w:after="0"/>
              <w:rPr>
                <w:sz w:val="18"/>
                <w:szCs w:val="18"/>
                <w:color w:val="auto"/>
              </w:rPr>
            </w:pPr>
          </w:p>
        </w:tc>
        <w:tc>
          <w:tcPr>
            <w:tcW w:w="7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(6,823)</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(362,862)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1,276,977</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879,118</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1,804,403</w:t>
            </w:r>
          </w:p>
        </w:tc>
      </w:tr>
      <w:tr>
        <w:trPr>
          <w:trHeight w:val="216"/>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24,226</w:t>
            </w:r>
          </w:p>
        </w:tc>
      </w:tr>
      <w:tr>
        <w:trPr>
          <w:trHeight w:val="216"/>
        </w:trPr>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(3,198)</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(3,198)</w:t>
            </w:r>
          </w:p>
        </w:tc>
      </w:tr>
      <w:tr>
        <w:trPr>
          <w:trHeight w:val="297"/>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r>
      <w:tr>
        <w:trPr>
          <w:trHeight w:val="378"/>
        </w:trPr>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-843915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-561340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-184150</wp:posOffset>
            </wp:positionV>
            <wp:extent cx="713232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3040" w:space="40"/>
            <w:col w:w="81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3,609</w:t>
            </w:r>
          </w:p>
        </w:tc>
        <w:tc>
          <w:tcPr>
            <w:tcW w:w="5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Accelerated shares repurchased</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(119,662)</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(31,538)</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(151,200)</w:t>
            </w:r>
          </w:p>
        </w:tc>
        <w:tc>
          <w:tcPr>
            <w:tcW w:w="0" w:type="dxa"/>
            <w:vAlign w:val="bottom"/>
          </w:tcPr>
          <w:p>
            <w:pPr>
              <w:spacing w:after="0"/>
              <w:rPr>
                <w:sz w:val="1"/>
                <w:szCs w:val="1"/>
                <w:color w:val="auto"/>
              </w:rPr>
            </w:pPr>
          </w:p>
        </w:tc>
      </w:tr>
      <w:tr>
        <w:trPr>
          <w:trHeight w:val="207"/>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March 31, 2023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90,813</w:t>
            </w:r>
          </w:p>
        </w:tc>
        <w:tc>
          <w:tcPr>
            <w:tcW w:w="4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908</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(481,678)</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1,245,297</w:t>
            </w:r>
          </w:p>
        </w:tc>
        <w:tc>
          <w:tcPr>
            <w:tcW w:w="5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7,067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903,344</w:t>
            </w:r>
          </w:p>
        </w:tc>
        <w:tc>
          <w:tcPr>
            <w:tcW w:w="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1,674,938</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4,184</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4,184</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20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0" w:type="dxa"/>
            <w:vAlign w:val="bottom"/>
          </w:tcPr>
          <w:p>
            <w:pPr>
              <w:spacing w:after="0"/>
              <w:rPr>
                <w:sz w:val="1"/>
                <w:szCs w:val="1"/>
                <w:color w:val="auto"/>
              </w:rPr>
            </w:pPr>
          </w:p>
        </w:tc>
      </w:tr>
      <w:tr>
        <w:trPr>
          <w:trHeight w:val="165"/>
        </w:trPr>
        <w:tc>
          <w:tcPr>
            <w:tcW w:w="3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for vesting of share</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4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7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985</w:t>
            </w:r>
          </w:p>
        </w:tc>
        <w:tc>
          <w:tcPr>
            <w:tcW w:w="5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0" w:type="dxa"/>
            <w:vAlign w:val="bottom"/>
          </w:tcPr>
          <w:p>
            <w:pPr>
              <w:spacing w:after="0"/>
              <w:rPr>
                <w:sz w:val="1"/>
                <w:szCs w:val="1"/>
                <w:color w:val="auto"/>
              </w:rPr>
            </w:pPr>
          </w:p>
        </w:tc>
      </w:tr>
      <w:tr>
        <w:trPr>
          <w:trHeight w:val="129"/>
        </w:trPr>
        <w:tc>
          <w:tcPr>
            <w:tcW w:w="30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based awards, net of shares withheld for taxes</w:t>
            </w:r>
          </w:p>
        </w:tc>
        <w:tc>
          <w:tcPr>
            <w:tcW w:w="780" w:type="dxa"/>
            <w:vAlign w:val="bottom"/>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080" w:type="dxa"/>
            <w:vAlign w:val="bottom"/>
            <w:vMerge w:val="continue"/>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5,268</w:t>
            </w:r>
          </w:p>
        </w:tc>
        <w:tc>
          <w:tcPr>
            <w:tcW w:w="5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Accelerated shares repurchased</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(32,125)</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32,125</w:t>
            </w:r>
          </w:p>
        </w:tc>
        <w:tc>
          <w:tcPr>
            <w:tcW w:w="50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June 30, 2023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90,881</w:t>
            </w: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909</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(9,527)</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(513,782)</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1,283,675</w:t>
            </w: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4,830</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907,528</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1,683,160</w:t>
            </w: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“we,” “our,” “us,” “Company” and “Integra” refer to Integra LifeSciences Holdings Corporation, a Delaware corporation, and its subsidiaries unless the context suggests otherwise.</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opinion of management, the June 30, 2024 unaudited condensed consolidated financial statements contain all adjustments (consisting only of normal recurring adjustments) necessary for a fair statement of the financial position, statement of changes in shareholders’ equity, results of operations and cash flows of the Company. Certain information and footnote disclosures normally included in financial statements prepared in accordance with generally accepted accounting principles in the United States (“GAAP”)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2023 included in the Company’s Annual Report on Form 10-K. The consolidated balance sheet as of December 31, 2023 was derived from audited financial statements, but does not include all disclosures required by GAAP. Operating results for the three and six-month period ended June 30, 2024 are not necessarily indicative of the results to be expected for the entire year.</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is in conformity with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unaudited condensed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March 2020, the Financial Accounting Standards Board (“FASB”) issued ASU 2020-04, </w:t>
      </w:r>
      <w:r>
        <w:rPr>
          <w:rFonts w:ascii="Times New Roman" w:cs="Times New Roman" w:eastAsia="Times New Roman" w:hAnsi="Times New Roman"/>
          <w:sz w:val="18"/>
          <w:szCs w:val="18"/>
          <w:i w:val="1"/>
          <w:iCs w:val="1"/>
          <w:color w:val="auto"/>
        </w:rPr>
        <w:t>Reference Rate Reform (Topic 848): Facilitation of the Effects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of Reference Rate Reform on Financial Reporting</w:t>
      </w:r>
      <w:r>
        <w:rPr>
          <w:rFonts w:ascii="Times New Roman" w:cs="Times New Roman" w:eastAsia="Times New Roman" w:hAnsi="Times New Roman"/>
          <w:sz w:val="18"/>
          <w:szCs w:val="18"/>
          <w:color w:val="auto"/>
        </w:rPr>
        <w:t>, and, in January 2021, subsequently amended the initial guidance in</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2021-01,</w:t>
      </w:r>
      <w:r>
        <w:rPr>
          <w:rFonts w:ascii="Times New Roman" w:cs="Times New Roman" w:eastAsia="Times New Roman" w:hAnsi="Times New Roman"/>
          <w:sz w:val="18"/>
          <w:szCs w:val="18"/>
          <w:i w:val="1"/>
          <w:iCs w:val="1"/>
          <w:color w:val="auto"/>
        </w:rPr>
        <w:t xml:space="preserve"> Reference Rate Reform (Topic 848): Scope </w:t>
      </w:r>
      <w:r>
        <w:rPr>
          <w:rFonts w:ascii="Times New Roman" w:cs="Times New Roman" w:eastAsia="Times New Roman" w:hAnsi="Times New Roman"/>
          <w:sz w:val="18"/>
          <w:szCs w:val="18"/>
          <w:color w:val="auto"/>
        </w:rPr>
        <w:t>(collectively, “Topic 848”). Topic 848 provides optional expedients and exceptions for applying GAAP to contracts,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and other transactions affected by reference rate reform if certain criteria are met. The amendments apply only to contracts, hedging relationships, and other transactions that reference London Inter-Bank Offered Rate (“LIBOR”) or another reference rate expected to be discontinued because of reference rate reform. In December 2022, the FASB issued ASU 2022-06</w:t>
      </w:r>
      <w:r>
        <w:rPr>
          <w:rFonts w:ascii="Times New Roman" w:cs="Times New Roman" w:eastAsia="Times New Roman" w:hAnsi="Times New Roman"/>
          <w:sz w:val="18"/>
          <w:szCs w:val="18"/>
          <w:i w:val="1"/>
          <w:iCs w:val="1"/>
          <w:color w:val="auto"/>
        </w:rPr>
        <w:t>, Reference Rate Reform (Topic 848): Deferral of the Sunset Date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848</w:t>
      </w:r>
      <w:r>
        <w:rPr>
          <w:rFonts w:ascii="Times New Roman" w:cs="Times New Roman" w:eastAsia="Times New Roman" w:hAnsi="Times New Roman"/>
          <w:sz w:val="18"/>
          <w:szCs w:val="18"/>
          <w:color w:val="auto"/>
        </w:rPr>
        <w:t>, which delayed the effective date from December 31, 2022 to December 31, 2024. The Alternative Reference Rates Committee, a group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private-market participants convened by the U.S. Federal Reserve Board and the New York Federal Reserve, has recommended the use of the Secured Overnight Financing Rate (“SOFR”) as a more robust reference rate alternative to LIBOR. On March 24, 2023, the Company entered into the seventh amendment and restatement (the “March 2023 Amendment”) of its Senior Credit Facility (the “Senior Credit Facility”) with a syndicate of lending banks with Bank of America, N.A., as Administrative Agent. In connection with the March 2023 Amendment, the Company replaced all LIBOR-based contracts with SOFR, which is calculated based on overnight transactions under repurchase agreements backed by Treasury securities. In addition, on April 17, 2023 the Company entered into an amendment (the “April 2023 Amendment”) of the Securitization Facility (as defined below) and amended the interest rate from LIBOR to a SOFR-indexed rate. (See </w:t>
      </w:r>
      <w:r>
        <w:rPr>
          <w:rFonts w:ascii="Times New Roman" w:cs="Times New Roman" w:eastAsia="Times New Roman" w:hAnsi="Times New Roman"/>
          <w:sz w:val="18"/>
          <w:szCs w:val="18"/>
          <w:i w:val="1"/>
          <w:iCs w:val="1"/>
          <w:color w:val="auto"/>
        </w:rPr>
        <w:t>Note 6. Debt</w:t>
      </w:r>
      <w:r>
        <w:rPr>
          <w:rFonts w:ascii="Times New Roman" w:cs="Times New Roman" w:eastAsia="Times New Roman" w:hAnsi="Times New Roman"/>
          <w:sz w:val="18"/>
          <w:szCs w:val="18"/>
          <w:color w:val="auto"/>
        </w:rPr>
        <w:t>). In March 2023, the Company entered into a basis swap contract by which the Company receives Term SOFR and pays LIBOR to convert its portfolio of interest rate swaps from LIBOR to SOFR. The Company has elected to adopt the optional expedient under Topic 848, which will allow the interest rate swap hedging relationship to continue, without de-designation, due to the change in the indexed rate from LIBOR to SOFR.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enhances the transparency of income tax disclosures by expanding annual disclosure requirements related to the rate reconciliation and income taxes paid. The amendments are effective for fiscal years beginning after December 15, 2024. Early adoption is permitted. The amendments should be applied retrospectively to all prior periods presented in the financial statements. The Company does not plan to early adopt and is currently evaluating this ASU to determine its impact on the Company’s disclosures.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Early adoption is permitted. The amendments should be applied retrospectively to all prior periods presented in the financial statements. The Company does not plan to early adopt and is currently evaluating this ASU to determine its impact on the Company’s disclosures.</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other recently issued accounting pronouncements that are expected to have any significant effect on the Company’s financial position, results of operations 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had cash and cash equivalents, primarily consisting of cash on-hand as well as time deposits with original maturities of three months or less and money market funds which are highly liquid and readily convertible to cash, totaling approximately $215.2 million and $276.4 million at June 30, 2024 and December 31, 2023 respectively. Time deposits with original maturities of three months or less and money market funds are valued based on Level 1 measurements in the fair value hierarchy established within FASB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Level 1 inputs represent quoted prices in active markets for identical assets or liabilities.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08" w:lineRule="exact"/>
        <w:rPr>
          <w:sz w:val="20"/>
          <w:szCs w:val="20"/>
          <w:color w:val="auto"/>
        </w:rPr>
      </w:pPr>
    </w:p>
    <w:p>
      <w:pPr>
        <w:jc w:val="both"/>
        <w:ind w:right="380"/>
        <w:spacing w:after="0" w:line="250" w:lineRule="auto"/>
        <w:rPr>
          <w:sz w:val="20"/>
          <w:szCs w:val="20"/>
          <w:color w:val="auto"/>
        </w:rPr>
      </w:pPr>
      <w:r>
        <w:rPr>
          <w:rFonts w:ascii="Times New Roman" w:cs="Times New Roman" w:eastAsia="Times New Roman" w:hAnsi="Times New Roman"/>
          <w:sz w:val="18"/>
          <w:szCs w:val="18"/>
          <w:color w:val="auto"/>
        </w:rPr>
        <w:t>The Company had short term investments, primarily consisting of time deposits with original maturities between three months and one year, which are valued based on Level 1 measurements in the fair value hierarchy, totaling approximately $81.7 million at June 30, 2024 compared to $32.7 million at December 31, 2023.</w:t>
      </w:r>
    </w:p>
    <w:p>
      <w:pPr>
        <w:spacing w:after="0" w:line="186" w:lineRule="exact"/>
        <w:rPr>
          <w:sz w:val="20"/>
          <w:szCs w:val="20"/>
          <w:color w:val="auto"/>
        </w:rPr>
      </w:pPr>
    </w:p>
    <w:p>
      <w:pPr>
        <w:ind w:right="7920" w:firstLine="8"/>
        <w:spacing w:after="0" w:line="383" w:lineRule="auto"/>
        <w:tabs>
          <w:tab w:leader="none" w:pos="17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ACQUISITIONS AND DIVESTITURES </w:t>
      </w:r>
      <w:r>
        <w:rPr>
          <w:rFonts w:ascii="Times New Roman" w:cs="Times New Roman" w:eastAsia="Times New Roman" w:hAnsi="Times New Roman"/>
          <w:sz w:val="17"/>
          <w:szCs w:val="17"/>
          <w:b w:val="1"/>
          <w:bCs w:val="1"/>
          <w:i w:val="1"/>
          <w:iCs w:val="1"/>
          <w:color w:val="auto"/>
        </w:rPr>
        <w:t>Acquisition of Acclarent, Inc.</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2024, the Company completed the acquisition of all of the outstanding capital stock of Acclarent, Inc. (“Acclarent”), a developer and marketer of medical devices used in ear, nose, throat (“ENT”) procedures, from Ethicon, Inc., a subsidiary of Johnson &amp; Johnson, for approximately $282.0 million in cash, subject to customary adjustments set forth in the purchase agreement related to working capital balances transferred to the Company. The addition of Acclarent’s ENT product portfolio, including sinus balloon dilation, eustachian tube balloon dilation, and surgical navigation systems technologies, and dedicated salesforce will enhance the Company’s position in the ENT specialty device market.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Acclarent’s results of operations have been reported in the Company’s Codman Specialty Surgical reportable segment from the date of acquisition. The Company recorded revenue from Acclarent of approximately $31.3 million, in the consolidated statements of operations and comprehensive income for the three months ended June 30, 2024. The net income or loss attributable to this acquisition cannot be identified on a stand-alone basis because it is in the process of being integrated into the Company’s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Acquired and Liabilities Assumed at Fair Value</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Acclarent acquisition has been accounted for using the acquisition method of accounting in accordance with FASB Topic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(“ASC 805”). This method requires that assets acquired and liabilities assumed in a business combination are recognized at their fair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the acquisition date. The Company estimated fair values at the date of acquisition for the preliminary allocation of consideration to the net tangible and intangible assets acquired and liabilities assumed. The Company has not completed its analysis regarding the assets acquired and liabilities assumed. Therefore, the allocation to intangible assets, goodwill, and income taxes are preliminary and subject to finalization. During the measurement period ending no later than one year after the acquisition date, the Company will continue to obtain information to assist in finalizing the fair values of the net assets acquired, which may differ materially from these preliminary estimates. If any measurement period adjustment is material, the Company will record such adjustment, including any related impact on net income, in the reporting period in which the adjustment is determined.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values of the assets acquired and liabilities assumed at the acquisition date: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Life</w:t>
            </w:r>
          </w:p>
        </w:tc>
      </w:tr>
      <w:tr>
        <w:trPr>
          <w:trHeight w:val="19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30"/>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Trade accounts receivable, net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 net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20,294</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7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r>
      <w:tr>
        <w:trPr>
          <w:trHeight w:val="209"/>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 of use asset - operating leases</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2"/>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Completed technology</w:t>
            </w:r>
          </w:p>
        </w:tc>
        <w:tc>
          <w:tcPr>
            <w:tcW w:w="20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 years</w:t>
            </w:r>
          </w:p>
        </w:tc>
      </w:tr>
      <w:tr>
        <w:trPr>
          <w:trHeight w:val="229"/>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Trademarks/brand names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r>
      <w:tr>
        <w:trPr>
          <w:trHeight w:val="230"/>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All other</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 years</w:t>
            </w: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65,579</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8"/>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347,906</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8"/>
        </w:trPr>
        <w:tc>
          <w:tcPr>
            <w:tcW w:w="7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trade</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7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compensation</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7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lease liability - operating leases</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07"/>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11,653</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53,635</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1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65,912</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7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33"/>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acquired</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281,994</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trade accounts receivable, prepaid expenses, other current assets, accounts payable, contract liabilities, accrued compensation, accrued expenses and other current liabilities, as well as certain other current and non-current assets and liabilities, generally represented the fair value at the date of acquisition.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estimated fair value of the intangible assets acquired was determined using the multi-period, excess earnings method of the income approach, which estimates value based on the present value of future economic benefits attributable to the intangible assets. The significant assumptions used in developing the valuation included the estimated annual net cash flows including application of forecasted revenue, the discount rate that appropriately reflects the risk inherent in each future cash flow stream, and an assessment of the asset’s life cycle, as well as other factors. The assumptions used in the financial forecasts were based on historical data, supplemented by current and anticipated growth rates, management plans, and market-comparable information. Fair-value determinations require considerable judgment and are sensitive to changes in underlying assumptions and factors. Preliminary assumptions may change and may result in significant changes to the final valuation. The intangible assets acquired have a weighted average useful life of 11 years.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used a discount rate of 12.2%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Goodwill is the excess of the consideration transferred over the net assets recognized and represents the expected synergies of the combined company and assembled workforce. Goodwill has been allocated to the Codman Specialty Surgical segment, as shown in </w:t>
      </w:r>
      <w:r>
        <w:rPr>
          <w:rFonts w:ascii="Times New Roman" w:cs="Times New Roman" w:eastAsia="Times New Roman" w:hAnsi="Times New Roman"/>
          <w:sz w:val="18"/>
          <w:szCs w:val="18"/>
          <w:i w:val="1"/>
          <w:iCs w:val="1"/>
          <w:color w:val="auto"/>
        </w:rPr>
        <w:t>Note 5. Goodwill and Other Intangible Assets</w:t>
      </w:r>
      <w:r>
        <w:rPr>
          <w:rFonts w:ascii="Times New Roman" w:cs="Times New Roman" w:eastAsia="Times New Roman" w:hAnsi="Times New Roman"/>
          <w:sz w:val="18"/>
          <w:szCs w:val="18"/>
          <w:color w:val="auto"/>
        </w:rPr>
        <w:t>. Goodwill recognized as a result of this acquisition is non-deductible for income tax purposes.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Liabilities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 FROM CONTRACTS WITH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Accounting Policies on Revenue Recognition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performance obligations consist mainly of transferring control of goods and services identified in the contracts, purchase orders, or invoices. The Company has no significant multi-element contracts with customers.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90 days.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 and Liability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recognized from the Company’s private label business that are not invoiced to the customers as a result of recognizing revenue over time are recorded as a contract asset included in the other current assets account in the consolidated balance sheets.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contract asset and liability balances for the six months ended June 30,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56"/>
        </w:trPr>
        <w:tc>
          <w:tcPr>
            <w:tcW w:w="20" w:type="dxa"/>
            <w:vAlign w:val="bottom"/>
            <w:shd w:val="clear" w:color="auto" w:fill="CCEEFF"/>
          </w:tcPr>
          <w:p>
            <w:pPr>
              <w:spacing w:after="0"/>
              <w:rPr>
                <w:sz w:val="13"/>
                <w:szCs w:val="13"/>
                <w:color w:val="auto"/>
              </w:rPr>
            </w:pPr>
          </w:p>
        </w:tc>
        <w:tc>
          <w:tcPr>
            <w:tcW w:w="896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Contract Asset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9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Contract asset, January 1, 2024</w:t>
            </w:r>
          </w:p>
        </w:tc>
        <w:tc>
          <w:tcPr>
            <w:tcW w:w="62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9,233</w:t>
            </w:r>
          </w:p>
        </w:tc>
      </w:tr>
      <w:tr>
        <w:trPr>
          <w:trHeight w:val="219"/>
        </w:trPr>
        <w:tc>
          <w:tcPr>
            <w:tcW w:w="20" w:type="dxa"/>
            <w:vAlign w:val="bottom"/>
            <w:shd w:val="clear" w:color="auto" w:fill="CCEEFF"/>
          </w:tcPr>
          <w:p>
            <w:pPr>
              <w:spacing w:after="0"/>
              <w:rPr>
                <w:sz w:val="19"/>
                <w:szCs w:val="19"/>
                <w:color w:val="auto"/>
              </w:rPr>
            </w:pPr>
          </w:p>
        </w:tc>
        <w:tc>
          <w:tcPr>
            <w:tcW w:w="89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Transferred to trade receivable from contract asset included in beginning of the year contract asset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(9,233)</w:t>
            </w:r>
          </w:p>
        </w:tc>
      </w:tr>
      <w:tr>
        <w:trPr>
          <w:trHeight w:val="213"/>
        </w:trPr>
        <w:tc>
          <w:tcPr>
            <w:tcW w:w="20" w:type="dxa"/>
            <w:vAlign w:val="bottom"/>
            <w:tcBorders>
              <w:bottom w:val="single" w:sz="8" w:color="CCEEFF"/>
            </w:tcBorders>
          </w:tcPr>
          <w:p>
            <w:pPr>
              <w:spacing w:after="0"/>
              <w:rPr>
                <w:sz w:val="18"/>
                <w:szCs w:val="18"/>
                <w:color w:val="auto"/>
              </w:rPr>
            </w:pPr>
          </w:p>
        </w:tc>
        <w:tc>
          <w:tcPr>
            <w:tcW w:w="896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Contract asset, net of transferred to trade receivables on contracts during the period</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6,623</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9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Contract asset, June 30, 2024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896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Contract Liability</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7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9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Contract liability, January 1, 2024</w:t>
            </w:r>
          </w:p>
        </w:tc>
        <w:tc>
          <w:tcPr>
            <w:tcW w:w="62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16,252</w:t>
            </w:r>
          </w:p>
        </w:tc>
      </w:tr>
      <w:tr>
        <w:trPr>
          <w:trHeight w:val="219"/>
        </w:trPr>
        <w:tc>
          <w:tcPr>
            <w:tcW w:w="20" w:type="dxa"/>
            <w:vAlign w:val="bottom"/>
            <w:shd w:val="clear" w:color="auto" w:fill="CCEEFF"/>
          </w:tcPr>
          <w:p>
            <w:pPr>
              <w:spacing w:after="0"/>
              <w:rPr>
                <w:sz w:val="19"/>
                <w:szCs w:val="19"/>
                <w:color w:val="auto"/>
              </w:rPr>
            </w:pPr>
          </w:p>
        </w:tc>
        <w:tc>
          <w:tcPr>
            <w:tcW w:w="89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Recognition of revenue included in beginning of year contract liability</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(5,365)</w:t>
            </w:r>
          </w:p>
        </w:tc>
      </w:tr>
      <w:tr>
        <w:trPr>
          <w:trHeight w:val="213"/>
        </w:trPr>
        <w:tc>
          <w:tcPr>
            <w:tcW w:w="20" w:type="dxa"/>
            <w:vAlign w:val="bottom"/>
          </w:tcPr>
          <w:p>
            <w:pPr>
              <w:spacing w:after="0"/>
              <w:rPr>
                <w:sz w:val="18"/>
                <w:szCs w:val="18"/>
                <w:color w:val="auto"/>
              </w:rPr>
            </w:pPr>
          </w:p>
        </w:tc>
        <w:tc>
          <w:tcPr>
            <w:tcW w:w="89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Contract liability, net of revenue recognized on contracts during the period</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7,519</w:t>
            </w:r>
          </w:p>
        </w:tc>
      </w:tr>
      <w:tr>
        <w:trPr>
          <w:trHeight w:val="216"/>
        </w:trPr>
        <w:tc>
          <w:tcPr>
            <w:tcW w:w="20" w:type="dxa"/>
            <w:vAlign w:val="bottom"/>
            <w:shd w:val="clear" w:color="auto" w:fill="CCEEFF"/>
          </w:tcPr>
          <w:p>
            <w:pPr>
              <w:spacing w:after="0"/>
              <w:rPr>
                <w:sz w:val="18"/>
                <w:szCs w:val="18"/>
                <w:color w:val="auto"/>
              </w:rPr>
            </w:pPr>
          </w:p>
        </w:tc>
        <w:tc>
          <w:tcPr>
            <w:tcW w:w="89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2"/>
        </w:trPr>
        <w:tc>
          <w:tcPr>
            <w:tcW w:w="20" w:type="dxa"/>
            <w:vAlign w:val="bottom"/>
          </w:tcPr>
          <w:p>
            <w:pPr>
              <w:spacing w:after="0"/>
              <w:rPr>
                <w:sz w:val="18"/>
                <w:szCs w:val="18"/>
                <w:color w:val="auto"/>
              </w:rPr>
            </w:pPr>
          </w:p>
        </w:tc>
        <w:tc>
          <w:tcPr>
            <w:tcW w:w="89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Contract liability, June 30, 2024</w:t>
            </w:r>
          </w:p>
        </w:tc>
        <w:tc>
          <w:tcPr>
            <w:tcW w:w="620" w:type="dxa"/>
            <w:vAlign w:val="bottom"/>
            <w:tcBorders>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18,329</w:t>
            </w: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June 30, 2024, the short-term portion of the contract liability of $9.9 million and the long-term portion of $8.4 million are included in current liabilities and other liabilities, respectively, in the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Company is expected to recognize revenue of approximately 54% of unsatisfied (or partially unsatisfied) performance obligations as revenue within 12 months, with the remaining balance to be recognized thereafter.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Fees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Collected from Customers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revenues disaggregated by the major sources of revenues for the three and six months ended June 30, 2024 and 2023 (dollar amounts in thousands):</w:t>
      </w:r>
    </w:p>
    <w:p>
      <w:pPr>
        <w:spacing w:after="0" w:line="18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0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80" w:type="dxa"/>
            <w:vAlign w:val="bottom"/>
          </w:tcPr>
          <w:p>
            <w:pPr>
              <w:spacing w:after="0"/>
              <w:rPr>
                <w:sz w:val="13"/>
                <w:szCs w:val="13"/>
                <w:color w:val="auto"/>
              </w:rPr>
            </w:pP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3"/>
                <w:szCs w:val="13"/>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5"/>
        </w:trPr>
        <w:tc>
          <w:tcPr>
            <w:tcW w:w="3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30, 2023</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Neurosurgery</w:t>
            </w: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205,502</w:t>
            </w:r>
          </w:p>
        </w:tc>
        <w:tc>
          <w:tcPr>
            <w:tcW w:w="100" w:type="dxa"/>
            <w:vAlign w:val="bottom"/>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205,803</w:t>
            </w:r>
          </w:p>
        </w:tc>
        <w:tc>
          <w:tcPr>
            <w:tcW w:w="80" w:type="dxa"/>
            <w:vAlign w:val="bottom"/>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407,770</w:t>
            </w:r>
          </w:p>
        </w:tc>
        <w:tc>
          <w:tcPr>
            <w:tcW w:w="100" w:type="dxa"/>
            <w:vAlign w:val="bottom"/>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398,673</w:t>
            </w:r>
          </w:p>
        </w:tc>
      </w:tr>
      <w:tr>
        <w:trPr>
          <w:trHeight w:val="21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Instruments</w:t>
            </w: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56,365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98,910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102,603</w:t>
            </w:r>
          </w:p>
        </w:tc>
      </w:tr>
      <w:tr>
        <w:trPr>
          <w:trHeight w:val="239"/>
        </w:trPr>
        <w:tc>
          <w:tcPr>
            <w:tcW w:w="3320" w:type="dxa"/>
            <w:vAlign w:val="bottom"/>
            <w:tcBorders>
              <w:bottom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ENT</w:t>
            </w:r>
            <w:r>
              <w:rPr>
                <w:rFonts w:ascii="Times New Roman" w:cs="Times New Roman" w:eastAsia="Times New Roman" w:hAnsi="Times New Roman"/>
                <w:sz w:val="21"/>
                <w:szCs w:val="21"/>
                <w:color w:val="auto"/>
                <w:vertAlign w:val="superscript"/>
              </w:rPr>
              <w:t>(1)</w:t>
            </w:r>
          </w:p>
        </w:tc>
        <w:tc>
          <w:tcPr>
            <w:tcW w:w="3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41,722</w:t>
            </w:r>
          </w:p>
        </w:tc>
        <w:tc>
          <w:tcPr>
            <w:tcW w:w="100" w:type="dxa"/>
            <w:vAlign w:val="bottom"/>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8,862</w:t>
            </w:r>
          </w:p>
        </w:tc>
        <w:tc>
          <w:tcPr>
            <w:tcW w:w="80" w:type="dxa"/>
            <w:vAlign w:val="bottom"/>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51,515</w:t>
            </w:r>
          </w:p>
        </w:tc>
        <w:tc>
          <w:tcPr>
            <w:tcW w:w="100" w:type="dxa"/>
            <w:vAlign w:val="bottom"/>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17,890</w:t>
            </w:r>
          </w:p>
        </w:tc>
      </w:tr>
      <w:tr>
        <w:trPr>
          <w:trHeight w:val="200"/>
        </w:trPr>
        <w:tc>
          <w:tcPr>
            <w:tcW w:w="3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Codman Specialty Surgical</w:t>
            </w: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301,761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271,030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558,195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519,166</w:t>
            </w:r>
          </w:p>
        </w:tc>
      </w:tr>
      <w:tr>
        <w:trPr>
          <w:trHeight w:val="219"/>
        </w:trPr>
        <w:tc>
          <w:tcPr>
            <w:tcW w:w="3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Wound Reconstruction and Care</w:t>
            </w: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91,118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192,058</w:t>
            </w:r>
          </w:p>
        </w:tc>
      </w:tr>
      <w:tr>
        <w:trPr>
          <w:trHeight w:val="21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Private Label</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28,719</w:t>
            </w:r>
          </w:p>
        </w:tc>
        <w:tc>
          <w:tcPr>
            <w:tcW w:w="10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19,119</w:t>
            </w:r>
          </w:p>
        </w:tc>
        <w:tc>
          <w:tcPr>
            <w:tcW w:w="80" w:type="dxa"/>
            <w:vAlign w:val="bottom"/>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60,280</w:t>
            </w:r>
          </w:p>
        </w:tc>
        <w:tc>
          <w:tcPr>
            <w:tcW w:w="100" w:type="dxa"/>
            <w:vAlign w:val="bottom"/>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50,889</w:t>
            </w:r>
          </w:p>
        </w:tc>
      </w:tr>
      <w:tr>
        <w:trPr>
          <w:trHeight w:val="207"/>
        </w:trPr>
        <w:tc>
          <w:tcPr>
            <w:tcW w:w="3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Tissue Technologies</w:t>
            </w: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116,414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110,237</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228,852</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242,947</w:t>
            </w:r>
          </w:p>
        </w:tc>
      </w:tr>
      <w:tr>
        <w:trPr>
          <w:trHeight w:val="237"/>
        </w:trPr>
        <w:tc>
          <w:tcPr>
            <w:tcW w:w="3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418,175</w:t>
            </w:r>
          </w:p>
        </w:tc>
        <w:tc>
          <w:tcPr>
            <w:tcW w:w="100" w:type="dxa"/>
            <w:vAlign w:val="bottom"/>
          </w:tcPr>
          <w:p>
            <w:pPr>
              <w:spacing w:after="0"/>
              <w:rPr>
                <w:sz w:val="20"/>
                <w:szCs w:val="20"/>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381,267</w:t>
            </w:r>
          </w:p>
        </w:tc>
        <w:tc>
          <w:tcPr>
            <w:tcW w:w="80" w:type="dxa"/>
            <w:vAlign w:val="bottom"/>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787,047</w:t>
            </w:r>
          </w:p>
        </w:tc>
        <w:tc>
          <w:tcPr>
            <w:tcW w:w="100" w:type="dxa"/>
            <w:vAlign w:val="bottom"/>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762,113</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Prior period revenues included within our instruments business have been reclassified under the ENT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and Geographical Information</w:t>
      </w:r>
      <w:r>
        <w:rPr>
          <w:rFonts w:ascii="Times New Roman" w:cs="Times New Roman" w:eastAsia="Times New Roman" w:hAnsi="Times New Roman"/>
          <w:sz w:val="18"/>
          <w:szCs w:val="18"/>
          <w:color w:val="auto"/>
        </w:rPr>
        <w:t>, for details of revenues based on the location of the customer.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5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196,402</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74,035</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119,171</w:t>
            </w:r>
          </w:p>
        </w:tc>
      </w:tr>
      <w:tr>
        <w:trPr>
          <w:trHeight w:val="20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inventories, net</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421,775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389,608</w:t>
            </w:r>
          </w:p>
        </w:tc>
      </w:tr>
      <w:tr>
        <w:trPr>
          <w:trHeight w:val="23"/>
        </w:trPr>
        <w:tc>
          <w:tcPr>
            <w:tcW w:w="7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OTHER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six-month period ended June 30, 2024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3"/>
                <w:szCs w:val="13"/>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Codman Specialty</w:t>
            </w:r>
          </w:p>
        </w:tc>
        <w:tc>
          <w:tcPr>
            <w:tcW w:w="140" w:type="dxa"/>
            <w:vAlign w:val="bottom"/>
          </w:tcPr>
          <w:p>
            <w:pPr>
              <w:spacing w:after="0"/>
              <w:rPr>
                <w:sz w:val="13"/>
                <w:szCs w:val="13"/>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Tissue Technologies</w:t>
            </w:r>
          </w:p>
        </w:tc>
        <w:tc>
          <w:tcPr>
            <w:tcW w:w="360" w:type="dxa"/>
            <w:vAlign w:val="bottom"/>
          </w:tcPr>
          <w:p>
            <w:pPr>
              <w:spacing w:after="0"/>
              <w:rPr>
                <w:sz w:val="13"/>
                <w:szCs w:val="13"/>
                <w:color w:val="auto"/>
              </w:rPr>
            </w:pPr>
          </w:p>
        </w:tc>
        <w:tc>
          <w:tcPr>
            <w:tcW w:w="1220" w:type="dxa"/>
            <w:vAlign w:val="bottom"/>
            <w:vMerge w:val="restart"/>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Surgical</w:t>
            </w:r>
          </w:p>
        </w:tc>
        <w:tc>
          <w:tcPr>
            <w:tcW w:w="14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at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666,937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388,525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1,055,462</w:t>
            </w:r>
          </w:p>
        </w:tc>
        <w:tc>
          <w:tcPr>
            <w:tcW w:w="0" w:type="dxa"/>
            <w:vAlign w:val="bottom"/>
          </w:tcPr>
          <w:p>
            <w:pPr>
              <w:spacing w:after="0"/>
              <w:rPr>
                <w:sz w:val="1"/>
                <w:szCs w:val="1"/>
                <w:color w:val="auto"/>
              </w:rPr>
            </w:pPr>
          </w:p>
        </w:tc>
      </w:tr>
      <w:tr>
        <w:trPr>
          <w:trHeight w:val="213"/>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Acclarent Acquisition</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65,579</w:t>
            </w:r>
          </w:p>
        </w:tc>
        <w:tc>
          <w:tcPr>
            <w:tcW w:w="0" w:type="dxa"/>
            <w:vAlign w:val="bottom"/>
          </w:tcPr>
          <w:p>
            <w:pPr>
              <w:spacing w:after="0"/>
              <w:rPr>
                <w:sz w:val="1"/>
                <w:szCs w:val="1"/>
                <w:color w:val="auto"/>
              </w:rPr>
            </w:pPr>
          </w:p>
        </w:tc>
      </w:tr>
      <w:tr>
        <w:trPr>
          <w:trHeight w:val="21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0" w:type="dxa"/>
            <w:vAlign w:val="bottom"/>
          </w:tcPr>
          <w:p>
            <w:pPr>
              <w:spacing w:after="0"/>
              <w:rPr>
                <w:sz w:val="1"/>
                <w:szCs w:val="1"/>
                <w:color w:val="auto"/>
              </w:rPr>
            </w:pPr>
          </w:p>
        </w:tc>
      </w:tr>
      <w:tr>
        <w:trPr>
          <w:trHeight w:val="207"/>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at June 30,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721,799</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382,841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1,104,640</w:t>
            </w: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tests goodwill and intangible assets with indefinite lives for impairment annually in the third quarter in accordance with FASB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(“ASC 350”). Additionally, the Company may perform interim tests if an event occurs or circumstances change that could potentially reduce the fair value of a reporting unit or indefinite lived intangible asset below its carrying amount. The carrying value of each reporting unit is determined by assigning the assets and liabilities, including the existing goodwill and intangible assets, to those reporting units.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tests for impairment by either performing a qualitative evaluation or a quantitative test. 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this qualitative evaluation for some or all of its reporting units and perform a quantitative test. The quantitative test estimates the fair value of the reporting unit using a discounted cash flow model, which incorporates significant estimates and assumptions made by management which, by their nature, are characterized by uncertainty.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third-party audit findings and an update to the estimated timeframe to resume the commercial distribution of products manufactured in the Company’s manufacturing facility located in Boston, Massachusetts (the “Boston facility”), the Company elected to perform a quantitative analysis of its Tissue Technologies reporting unit in the first quarter of 2024 in accordance with ASC 350. The quantitative test estimates the fair value of the reporting unit using a discounted cash flow model, which incorporates significant estimates and assumptions made by management with respect to future revenue and expense growth rates and discount rates which, by their nature, are characterized by uncertainty. An impairment loss is recognized when the reporting unit’s carrying amount exceeds its estimated fair value. The quantitative test utilized a terminal growth rate of 2%, a discount rate of 15%, and a range and application of the company guideline multiples. The Company determined, after performing the quantitative analysis, that the fair value of the Tissue Technologies reporting unit was not less than its carrying amount, with 20% headroom.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identifiable intangible assets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8"/>
          </w:tcPr>
          <w:p>
            <w:pPr>
              <w:ind w:left="8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4"/>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560" w:type="dxa"/>
            <w:vAlign w:val="bottom"/>
            <w:gridSpan w:val="4"/>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12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8"/>
        </w:trPr>
        <w:tc>
          <w:tcPr>
            <w:tcW w:w="5020" w:type="dxa"/>
            <w:vAlign w:val="bottom"/>
            <w:gridSpan w:val="2"/>
            <w:vMerge w:val="continue"/>
          </w:tcPr>
          <w:p>
            <w:pPr>
              <w:spacing w:after="0"/>
              <w:rPr>
                <w:sz w:val="17"/>
                <w:szCs w:val="17"/>
                <w:color w:val="auto"/>
              </w:rPr>
            </w:pPr>
          </w:p>
        </w:tc>
        <w:tc>
          <w:tcPr>
            <w:tcW w:w="15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2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Completed technology</w:t>
            </w:r>
          </w:p>
        </w:tc>
        <w:tc>
          <w:tcPr>
            <w:tcW w:w="13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 years</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1,412,670</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(482,499)</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930,171</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56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color w:val="auto"/>
              </w:rPr>
              <w:t>12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167,273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(135,789)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31,484</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Trademarks/brand names</w:t>
            </w:r>
          </w:p>
        </w:tc>
        <w:tc>
          <w:tcPr>
            <w:tcW w:w="1560" w:type="dxa"/>
            <w:vAlign w:val="bottom"/>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27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100,600</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(40,351)</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60,249</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Codman tradename</w:t>
            </w:r>
          </w:p>
        </w:tc>
        <w:tc>
          <w:tcPr>
            <w:tcW w:w="156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color w:val="auto"/>
              </w:rPr>
              <w:t>Indefinite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168,969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168,969</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Supplier relationships</w:t>
            </w:r>
          </w:p>
        </w:tc>
        <w:tc>
          <w:tcPr>
            <w:tcW w:w="1560" w:type="dxa"/>
            <w:vAlign w:val="bottom"/>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30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(18,637)</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11,574</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All other</w:t>
            </w:r>
          </w:p>
        </w:tc>
        <w:tc>
          <w:tcPr>
            <w:tcW w:w="1560" w:type="dxa"/>
            <w:vAlign w:val="bottom"/>
            <w:tcBorders>
              <w:bottom w:val="single" w:sz="8" w:color="CCEEFF"/>
            </w:tcBorders>
            <w:gridSpan w:val="4"/>
          </w:tcPr>
          <w:p>
            <w:pPr>
              <w:jc w:val="center"/>
              <w:ind w:right="260"/>
              <w:spacing w:after="0"/>
              <w:rPr>
                <w:sz w:val="20"/>
                <w:szCs w:val="20"/>
                <w:color w:val="auto"/>
              </w:rPr>
            </w:pPr>
            <w:r>
              <w:rPr>
                <w:rFonts w:ascii="Times New Roman" w:cs="Times New Roman" w:eastAsia="Times New Roman" w:hAnsi="Times New Roman"/>
                <w:sz w:val="16"/>
                <w:szCs w:val="16"/>
                <w:color w:val="auto"/>
              </w:rPr>
              <w:t>6 years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23,015</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(5,520)</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17,495</w:t>
            </w:r>
          </w:p>
        </w:tc>
        <w:tc>
          <w:tcPr>
            <w:tcW w:w="0" w:type="dxa"/>
            <w:vAlign w:val="bottom"/>
          </w:tcPr>
          <w:p>
            <w:pPr>
              <w:spacing w:after="0"/>
              <w:rPr>
                <w:sz w:val="1"/>
                <w:szCs w:val="1"/>
                <w:color w:val="auto"/>
              </w:rPr>
            </w:pPr>
          </w:p>
        </w:tc>
      </w:tr>
      <w:tr>
        <w:trPr>
          <w:trHeight w:val="234"/>
        </w:trPr>
        <w:tc>
          <w:tcPr>
            <w:tcW w:w="4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1,902,738</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(682,796)</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1,219,942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4"/>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56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12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5020" w:type="dxa"/>
            <w:vAlign w:val="bottom"/>
            <w:gridSpan w:val="2"/>
            <w:vMerge w:val="continue"/>
          </w:tcPr>
          <w:p>
            <w:pPr>
              <w:spacing w:after="0"/>
              <w:rPr>
                <w:sz w:val="17"/>
                <w:szCs w:val="17"/>
                <w:color w:val="auto"/>
              </w:rPr>
            </w:pPr>
          </w:p>
        </w:tc>
        <w:tc>
          <w:tcPr>
            <w:tcW w:w="15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2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Completed technology</w:t>
            </w: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rPr>
              <w:t>18 years</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1,226,128</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(448,519)</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777,609</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56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color w:val="auto"/>
              </w:rPr>
              <w:t>12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193,895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(152,160)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41,735</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Trademarks/brand names</w:t>
            </w:r>
          </w:p>
        </w:tc>
        <w:tc>
          <w:tcPr>
            <w:tcW w:w="1560" w:type="dxa"/>
            <w:vAlign w:val="bottom"/>
            <w:gridSpan w:val="4"/>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color w:val="auto"/>
              </w:rPr>
              <w:t>28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98,892</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(38,754)</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60,138</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Codman tradename</w:t>
            </w:r>
          </w:p>
        </w:tc>
        <w:tc>
          <w:tcPr>
            <w:tcW w:w="156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color w:val="auto"/>
              </w:rPr>
              <w:t>Indefinite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174,531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174,531</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Supplier relationships</w:t>
            </w:r>
          </w:p>
        </w:tc>
        <w:tc>
          <w:tcPr>
            <w:tcW w:w="1560" w:type="dxa"/>
            <w:vAlign w:val="bottom"/>
            <w:gridSpan w:val="4"/>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color w:val="auto"/>
              </w:rPr>
              <w:t>30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(18,148)</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12,063</w:t>
            </w:r>
          </w:p>
        </w:tc>
        <w:tc>
          <w:tcPr>
            <w:tcW w:w="0" w:type="dxa"/>
            <w:vAlign w:val="bottom"/>
          </w:tcPr>
          <w:p>
            <w:pPr>
              <w:spacing w:after="0"/>
              <w:rPr>
                <w:sz w:val="1"/>
                <w:szCs w:val="1"/>
                <w:color w:val="auto"/>
              </w:rPr>
            </w:pPr>
          </w:p>
        </w:tc>
      </w:tr>
      <w:tr>
        <w:trPr>
          <w:trHeight w:val="21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 other</w:t>
            </w:r>
          </w:p>
        </w:tc>
        <w:tc>
          <w:tcPr>
            <w:tcW w:w="156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color w:val="auto"/>
              </w:rPr>
              <w:t>11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(4,423)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0" w:type="dxa"/>
            <w:vAlign w:val="bottom"/>
          </w:tcPr>
          <w:p>
            <w:pPr>
              <w:spacing w:after="0"/>
              <w:rPr>
                <w:sz w:val="1"/>
                <w:szCs w:val="1"/>
                <w:color w:val="auto"/>
              </w:rPr>
            </w:pPr>
          </w:p>
        </w:tc>
      </w:tr>
      <w:tr>
        <w:trPr>
          <w:trHeight w:val="234"/>
        </w:trPr>
        <w:tc>
          <w:tcPr>
            <w:tcW w:w="49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1,729,837</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(662,004)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1,067,833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amortization of intangible assets for the three and six months ended June 30, 2024 was $25.4 million and $53.1 million, respectively. Of these amounts, $21.7 million and $39.3 million, respectively, was related to amortization of technology based intangibles and included in cost of goods sold. $7.1 million related to the impairment of a customer relationship intangible and the remainder were included in intangible amortization in the statement of operations.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amortization of intangible assets for the three and six months ended June 30, 2023 was $20.6 million and $41.3 million, respectively. Of these amounts, $17.6 million and $35.1 million, respectively, was related to amortization of technology based intangibles and included in cost of goods sold, with the remainder included in intangible amortization in the statement of operations.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quarter-end exchange rates, amortization expense (including amounts reported in cost of goods sold) is expected to be approximately $50.8 million for the remainder of 2024, $101.6 million in 2025, $101.4 million in 2026, $100.4 million in 2027, $96.9 million in 2028, $91.6 million in 2029 and $506.8 million thereafter.</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periodically performs testing for impairment on certain long-lived assets whenever events or changes in circumstances indicate that the carrying amount of an asset may not be recoverable.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Due to third-party audit findings and an update to the estimated timeframe to resume the commercial distribution of products manufactured in the Boston facility, the Company elected to perform impairment testing on certain definite-lived intangible assets including completed technology and customer relationships in accordance with FASB ASC Topic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In the first quarter of 2024, the Company recorded an impairment charge related to the definite-lived intangible asset associated with the customer relationships of $7.1 million in intangible asset amortization in the consolidated statement of operations. With respect to the definite-lived intangible assets associated with the completed technology of SurgiMend® and PriMatrix®, the Company determined that the carrying amount of these definite-lived intangible assets were recoverable and, therefore, the intangible assets were not deemed to be impaired. The carrying values of SurgiMend® and PriMatrix® are $36.5 million and $26.6 million, respectively, as of June 30,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the Seventh Amended and Restated Senior Credit Agreement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24, 2023, the Company entered into the seventh amendment and restatement (the “March 2023 Amendment”) of the Senior Credit Facility (the “Senior Credit Facility”) with a syndicate of lending banks with Bank of America, N.A., as Administrative Agent. The March 2023 Amendment extended the maturity date to March 24, 2028, amended the contractual repayments of the term loan component, and amended the interest rate from LIBOR to SOFR-indexed interest. The Company continues to have the aggregate principal amount of up to approximately $2.1 billion available to it through the following facilities: (i) a $775.0 million term loan facility, and (ii) a $1.3 billion revolving credit facility, which includes a $60 million sublimit for the issuance of standby letters of credit and a $60 million sublimit for swingline loans. The terms of the Senior Credit Facility limit the amount of dividends we may pay.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maximum Consolidated Total Leverage Ratio (as defined in the March 2023 Amendment) in the financial covenants was modified to the following:</w:t>
      </w:r>
    </w:p>
    <w:p>
      <w:pPr>
        <w:spacing w:after="0" w:line="22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Quarter Ending</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Consolidated Total</w:t>
            </w:r>
          </w:p>
        </w:tc>
        <w:tc>
          <w:tcPr>
            <w:tcW w:w="0" w:type="dxa"/>
            <w:vAlign w:val="bottom"/>
          </w:tcPr>
          <w:p>
            <w:pPr>
              <w:spacing w:after="0"/>
              <w:rPr>
                <w:sz w:val="1"/>
                <w:szCs w:val="1"/>
                <w:color w:val="auto"/>
              </w:rPr>
            </w:pPr>
          </w:p>
        </w:tc>
      </w:tr>
      <w:tr>
        <w:trPr>
          <w:trHeight w:val="195"/>
        </w:trPr>
        <w:tc>
          <w:tcPr>
            <w:tcW w:w="7160" w:type="dxa"/>
            <w:vAlign w:val="bottom"/>
            <w:gridSpan w:val="3"/>
            <w:vMerge w:val="continue"/>
          </w:tcPr>
          <w:p>
            <w:pPr>
              <w:spacing w:after="0"/>
              <w:rPr>
                <w:sz w:val="16"/>
                <w:szCs w:val="16"/>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0" w:type="dxa"/>
            <w:vAlign w:val="bottom"/>
          </w:tcPr>
          <w:p>
            <w:pPr>
              <w:spacing w:after="0"/>
              <w:rPr>
                <w:sz w:val="1"/>
                <w:szCs w:val="1"/>
                <w:color w:val="auto"/>
              </w:rPr>
            </w:pPr>
          </w:p>
        </w:tc>
      </w:tr>
      <w:tr>
        <w:trPr>
          <w:trHeight w:val="215"/>
        </w:trPr>
        <w:tc>
          <w:tcPr>
            <w:tcW w:w="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w:t>
            </w:r>
          </w:p>
        </w:tc>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 through December 31, 2024</w:t>
            </w:r>
          </w:p>
        </w:tc>
        <w:tc>
          <w:tcPr>
            <w:tcW w:w="14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4.50 to 1.00</w:t>
            </w:r>
          </w:p>
        </w:tc>
        <w:tc>
          <w:tcPr>
            <w:tcW w:w="0" w:type="dxa"/>
            <w:vAlign w:val="bottom"/>
          </w:tcPr>
          <w:p>
            <w:pPr>
              <w:spacing w:after="0"/>
              <w:rPr>
                <w:sz w:val="1"/>
                <w:szCs w:val="1"/>
                <w:color w:val="auto"/>
              </w:rPr>
            </w:pPr>
          </w:p>
        </w:tc>
      </w:tr>
      <w:tr>
        <w:trPr>
          <w:trHeight w:val="213"/>
        </w:trPr>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w:t>
            </w: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2025 through June 30, 2026</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4.25 to 1.00</w:t>
            </w:r>
          </w:p>
        </w:tc>
        <w:tc>
          <w:tcPr>
            <w:tcW w:w="0" w:type="dxa"/>
            <w:vAlign w:val="bottom"/>
          </w:tcPr>
          <w:p>
            <w:pPr>
              <w:spacing w:after="0"/>
              <w:rPr>
                <w:sz w:val="1"/>
                <w:szCs w:val="1"/>
                <w:color w:val="auto"/>
              </w:rPr>
            </w:pPr>
          </w:p>
        </w:tc>
      </w:tr>
      <w:tr>
        <w:trPr>
          <w:trHeight w:val="219"/>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2026 and the last day of each fiscal quarter thereafter</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4.00 to 1.00</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Senior Credit Facility bear interest, at the Company’s option, at a rate equal to the following:</w:t>
      </w:r>
    </w:p>
    <w:p>
      <w:pPr>
        <w:spacing w:after="0" w:line="117"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in effect from time to time plus 0.10% plus the applicable rate (ranging from 1.00% to 1.75%),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of:</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overnight Federal funds rate, as published by the Federal Reserve Bank of New York, plus 0.50%;</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lending rate of Bank of America, N.A.; or</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one-month Term SOFR plus 1.00%.</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applicable rates are based on the Company’s Consolidated Total Leverage Ratio (defined, as of any date of determination, as the ratio of (a) Consolidated Funded Indebtedness as of such date (as defined in the Credit Agreement) less cash that is not subject to any restriction on the use or investment thereof to (b) Consolidated EBITDA (as defined by the Seventh Amended and Restated Credit Agreement (the “Credit Agreement”)), for the period of four consecutive fiscal quarters ending on such date).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pay an annual commitment fee (ranging from 0.15% to 0.30%), based on the Company’s consolidated total leverage ratio, on the amount available for borrowing under the revolving credit facility component of the Senior Credit Facility.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Credit Facility is collateralized by substantially all of the assets of the Company’s U.S. subsidiaries, excluding intangible assets. The Senior Credit Facility is subject to various financial and negative covenants and, at June 30, 2024, the Company was in compliance with all such covenants. The Company capitalized $7.6 million in deferred financing costs in connection with the modification of the Senior Credit Facility and wrote off $0.2 million of previously capitalized financing costs during the first quarter of 2023.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2024 and December 31, 2023 there was $410.0 million and $70.0 million, respectively, outstanding under the revolving credit facility component of the Senior Credit Facility. At June 30, 2024 and December 31, 2023, there was $770.2 million and $775.0 million outstanding under the term loan component of the Senior Credit Facility at a weighted average interest rate of 6.8% and 6.8%, respectively. As of June 30, 2024 and December 31, 2023 there was $24.2 million and $14.5 million, respectively, of the term loan component of the Senior Credit Facility classified as current on the condensed consolidated balance sheet.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term loan and revolving portion of the Senior Credit Facility at June 30, 2024 was $759.8 million, and $404.2 million, respectively. The fair value was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Letters of credit outstanding as of June 30, 2024 and December 31, 2023 totaled $1.7 million. There were no amounts drawn under the letters of credit outstanding as of June 30,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repayments of the term loan component of the Senior Credit Facility are due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6720" w:type="dxa"/>
            <w:vAlign w:val="bottom"/>
            <w:gridSpan w:val="3"/>
          </w:tcPr>
          <w:p>
            <w:pPr>
              <w:jc w:val="right"/>
              <w:ind w:right="4159"/>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9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Principal Repayment</w:t>
            </w:r>
          </w:p>
        </w:tc>
      </w:tr>
      <w:tr>
        <w:trPr>
          <w:trHeight w:val="23"/>
        </w:trPr>
        <w:tc>
          <w:tcPr>
            <w:tcW w:w="2560" w:type="dxa"/>
            <w:vAlign w:val="bottom"/>
            <w:tcBorders>
              <w:bottom w:val="single" w:sz="8" w:color="auto"/>
            </w:tcBorders>
          </w:tcPr>
          <w:p>
            <w:pPr>
              <w:spacing w:after="0"/>
              <w:rPr>
                <w:sz w:val="2"/>
                <w:szCs w:val="2"/>
                <w:color w:val="auto"/>
              </w:rPr>
            </w:pPr>
          </w:p>
        </w:tc>
        <w:tc>
          <w:tcPr>
            <w:tcW w:w="6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89"/>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6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23"/>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2024</w:t>
            </w:r>
          </w:p>
        </w:tc>
        <w:tc>
          <w:tcPr>
            <w:tcW w:w="6720" w:type="dxa"/>
            <w:vAlign w:val="bottom"/>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9,688</w:t>
            </w: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6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33,906</w:t>
            </w: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6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38,750</w:t>
            </w: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6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53,281</w:t>
            </w: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6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634,531</w:t>
            </w:r>
          </w:p>
        </w:tc>
      </w:tr>
      <w:tr>
        <w:trPr>
          <w:trHeight w:val="207"/>
        </w:trPr>
        <w:tc>
          <w:tcPr>
            <w:tcW w:w="256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770,156</w:t>
            </w:r>
          </w:p>
        </w:tc>
      </w:tr>
      <w:tr>
        <w:trPr>
          <w:trHeight w:val="23"/>
        </w:trPr>
        <w:tc>
          <w:tcPr>
            <w:tcW w:w="25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interest payments on the term loan component of the Senior Credit Facility based on current interest rates are expected to approximate $26.2 million for the remainder of 2024, $50.9 million in 2025, $48.2 million in 2026, $45.1 million in 2027, and $10.0 million thereafter. Interest is calculated on the term loan portion of the Senior Credit Facility based on SOFR plus the certain amounts set forth in the Credit Agreement. As the revolving credit facility and Securitization Facility (defined below) can be repaid at any time, no interest has been included in the calculation.</w:t>
      </w:r>
    </w:p>
    <w:p>
      <w:pPr>
        <w:spacing w:after="0" w:line="72" w:lineRule="exact"/>
        <w:rPr>
          <w:sz w:val="20"/>
          <w:szCs w:val="20"/>
          <w:color w:val="auto"/>
        </w:rPr>
      </w:pPr>
    </w:p>
    <w:p>
      <w:pPr>
        <w:ind w:right="2000"/>
        <w:spacing w:after="0" w:line="375" w:lineRule="auto"/>
        <w:rPr>
          <w:sz w:val="20"/>
          <w:szCs w:val="20"/>
          <w:color w:val="auto"/>
        </w:rPr>
      </w:pPr>
      <w:r>
        <w:rPr>
          <w:rFonts w:ascii="Times New Roman" w:cs="Times New Roman" w:eastAsia="Times New Roman" w:hAnsi="Times New Roman"/>
          <w:sz w:val="18"/>
          <w:szCs w:val="18"/>
          <w:color w:val="auto"/>
        </w:rPr>
        <w:t xml:space="preserve">Any outstanding borrowings on the revolving credit facility component of the Senior Credit Facility are due on March 24, 2028. </w:t>
      </w:r>
      <w:r>
        <w:rPr>
          <w:rFonts w:ascii="Times New Roman" w:cs="Times New Roman" w:eastAsia="Times New Roman" w:hAnsi="Times New Roman"/>
          <w:sz w:val="18"/>
          <w:szCs w:val="18"/>
          <w:b w:val="1"/>
          <w:bCs w:val="1"/>
          <w:i w:val="1"/>
          <w:iCs w:val="1"/>
          <w:color w:val="auto"/>
        </w:rPr>
        <w:t>Convertible Senior Notes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4, 2020, the Company issued $575.0 million aggregate principal amount of its 0.5% Convertible Senior Notes due 2025 (the “2025 Notes”) pursuant to an indenture, dated as of February 4, 2020 (the “Original Indenture”), between the Company and Citibank, N.A., as trustee. The 2025 Notes will mature on August 15, 2025 and bear interest at a rate of 0.5% per annum payable semi-annually in arrears, unless earlier converted, repurchased or redeemed in accordance with the terms of the 2025 Notes. In connection with this offering, the Company capitalized $13.2 million of financing fees.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2025 Notes are senior, unsecured obligations of the Company, and are convertible into cash and shares of its common stock based on an initial conversion rate, subject to adjustment of 13.5739 shares per $1,000 principal amounts of the 2025 Notes (which represents an initial conversion price of $73.67 per share). The 2025 Notes convert only in the following circumstances: (1) if the closing price of the Company’s common stock has been at least 130% of the conversion price during the period; (2) if the average trading price per $1,000 principal amount of the 2025 Notes is less than or equal to 98% of the average conversion value of the 2025 Notes during a period specified in the Original Indenture; (3) if the Company calls the notes for optional redemption as described in the Original Indenture; or (4) if specified corporate transactions occur. As of June 30, 2024, none of these conditions existed and the 2025 Notes are classified as long term obligations.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9, 2020, the Company entered into the first supplemental indenture to the Original Indenture (the “First Supplemental Indenture” and, together with Original Indenture, the “Indenture”), pursuant to which the Company irrevocably elected (1) to eliminate the Company’s option to choose physical settlement on any conversion of the 2025 Notes that occurs on or after the date of the First Supplemental Indenture and (2) with respect to any Combination Settlement (as defined in the First Supplemental Indenture) for a conversion of the 2025 Notes, the Specified Dollar Amount (as defined in the First Supplemental Indenture) that will be settled in cash per $1,000 principal amount of the 2025 Notes shall be no lower than $1,000.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the 2025 Notes will have the right to require the Company to repurchase for cash all or a portion of their 2025 Notes at 100% of their principal amount, plus any accrued and unpaid interest, upon the occurrence of a fundamental change (as defined in the Indenture). The Company will also be required to increase the conversion rate for holders who convert their 2025 Notes in connection with certain Fundamental Changes occurring prior to the maturity date or following delivery by the Company of a notice of redemption.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2024, the carrying amount of the liability of the 2025 Notes was $575.0 million. The fair value of the 2025 Notes at June 30, 2024 was $539.6 million. Factors that the Company considered when estimating the fair value of the 2025 Notes included recent quoted market prices or dealer quotes. The 2025 Notes are valued based on Level 1 measurements in the fair value hierarchy. Level 1 inputs represent quoted prices in active markets for identical assets or liabilities.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Securitization Facility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June 30, 2024, the Company was in compliance with the covenants and none of the termination events had occurred.</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15, 2023, the Company entered into an amendment (the “December 2023 Amendment”) of the Securitization Facility which extended the maturity date from May 28, 2024 to December 15, 2026. The Company incurred approximately $0.3 million of new issuance costs associated with the December Amendment which will be amortized over 3 years, the length of the Securitization Agreement as amended by the December 2023 Amendment. Due to the increase in borrowing capacity, the remaining $0.1 million of unamortized costs from the previous agreement will also be amortized over the length of the amended agreement, 3 years. In addition, on April 17, 2023 the Company entered into an amendment (the “April 2023 Amendment”) of the Securitization Facility and amended the interest rate from LIBOR to SOFR-indexed rate. The December 2023 Amendment and April 2023 Amendment did not increase the Company’s total indebtedness.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June 30, 2024 and December 31, 2023, the Company had $77.7 million and $89.2 million, respectively, of outstanding borrowings under its Securitization Facility at a weighted average interest rate of 6.8% and 5.9%, respectively. The fair value of the outstanding borrowing of the Securitization Facility at June 30, 2024 was $76.1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Hedging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SOFR-indexed borrowings. In March 2023, the Company entered into a basis swap where the Company receives Term SOFR and pays daily compounded SOFR to convert the portfolio of swaps from daily compounded SOFR to term SOFR.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the following interest rate swaps as of June 30, 2024 and December 31, 2023 (dollar amounts in thousands):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09"/>
        </w:trPr>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86"/>
        </w:trPr>
        <w:tc>
          <w:tcPr>
            <w:tcW w:w="11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5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820" w:type="dxa"/>
            <w:vAlign w:val="bottom"/>
            <w:gridSpan w:val="4"/>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Designation Date</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9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Fixed Interest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09"/>
        </w:trPr>
        <w:tc>
          <w:tcPr>
            <w:tcW w:w="1520" w:type="dxa"/>
            <w:vAlign w:val="bottom"/>
            <w:gridSpan w:val="3"/>
            <w:vMerge w:val="continue"/>
          </w:tcPr>
          <w:p>
            <w:pPr>
              <w:spacing w:after="0"/>
              <w:rPr>
                <w:sz w:val="9"/>
                <w:szCs w:val="9"/>
                <w:color w:val="auto"/>
              </w:rPr>
            </w:pPr>
          </w:p>
        </w:tc>
        <w:tc>
          <w:tcPr>
            <w:tcW w:w="18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260" w:type="dxa"/>
            <w:vAlign w:val="bottom"/>
            <w:gridSpan w:val="3"/>
            <w:vMerge w:val="restart"/>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2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180" w:type="dxa"/>
            <w:vAlign w:val="bottom"/>
            <w:tcBorders>
              <w:top w:val="single" w:sz="8" w:color="auto"/>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CCEEFF"/>
            </w:tcBorders>
          </w:tcPr>
          <w:p>
            <w:pPr>
              <w:spacing w:after="0"/>
              <w:rPr>
                <w:sz w:val="16"/>
                <w:szCs w:val="16"/>
                <w:color w:val="auto"/>
              </w:rPr>
            </w:pPr>
          </w:p>
        </w:tc>
        <w:tc>
          <w:tcPr>
            <w:tcW w:w="76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CCEEFF"/>
            </w:tcBorders>
          </w:tcPr>
          <w:p>
            <w:pPr>
              <w:spacing w:after="0"/>
              <w:rPr>
                <w:sz w:val="16"/>
                <w:szCs w:val="16"/>
                <w:color w:val="auto"/>
              </w:rPr>
            </w:pPr>
          </w:p>
        </w:tc>
        <w:tc>
          <w:tcPr>
            <w:tcW w:w="76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840" w:type="dxa"/>
            <w:vAlign w:val="bottom"/>
            <w:tcBorders>
              <w:top w:val="single" w:sz="8" w:color="auto"/>
              <w:bottom w:val="single" w:sz="8" w:color="auto"/>
            </w:tcBorders>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0" w:type="dxa"/>
            <w:vAlign w:val="bottom"/>
          </w:tcPr>
          <w:p>
            <w:pPr>
              <w:spacing w:after="0"/>
              <w:rPr>
                <w:sz w:val="1"/>
                <w:szCs w:val="1"/>
                <w:color w:val="auto"/>
              </w:rPr>
            </w:pPr>
          </w:p>
        </w:tc>
      </w:tr>
      <w:tr>
        <w:trPr>
          <w:trHeight w:val="125"/>
        </w:trPr>
        <w:tc>
          <w:tcPr>
            <w:tcW w:w="1520" w:type="dxa"/>
            <w:vAlign w:val="bottom"/>
            <w:gridSpan w:val="3"/>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1-month Term</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shd w:val="clear" w:color="auto" w:fill="CCEEFF"/>
          </w:tcPr>
          <w:p>
            <w:pPr>
              <w:spacing w:after="0"/>
              <w:rPr>
                <w:sz w:val="10"/>
                <w:szCs w:val="10"/>
                <w:color w:val="auto"/>
              </w:rPr>
            </w:pPr>
          </w:p>
        </w:tc>
        <w:tc>
          <w:tcPr>
            <w:tcW w:w="14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December 13, 2017</w:t>
            </w:r>
          </w:p>
        </w:tc>
        <w:tc>
          <w:tcPr>
            <w:tcW w:w="15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July 1, 2019</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June 30, 2024</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2.423 %</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0" w:type="dxa"/>
            <w:vAlign w:val="bottom"/>
          </w:tcPr>
          <w:p>
            <w:pPr>
              <w:spacing w:after="0"/>
              <w:rPr>
                <w:sz w:val="1"/>
                <w:szCs w:val="1"/>
                <w:color w:val="auto"/>
              </w:rPr>
            </w:pPr>
          </w:p>
        </w:tc>
      </w:tr>
      <w:tr>
        <w:trPr>
          <w:trHeight w:val="107"/>
        </w:trPr>
        <w:tc>
          <w:tcPr>
            <w:tcW w:w="152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860" w:type="dxa"/>
            <w:vAlign w:val="bottom"/>
            <w:gridSpan w:val="2"/>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gridSpan w:val="2"/>
            <w:vMerge w:val="continue"/>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520" w:type="dxa"/>
            <w:vAlign w:val="bottom"/>
            <w:gridSpan w:val="3"/>
            <w:vMerge w:val="continue"/>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52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1-month Term</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2"/>
                <w:szCs w:val="12"/>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December 13, 2017</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January 1, 2018</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2024</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2.313 %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3,063</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4,978</w:t>
            </w:r>
          </w:p>
        </w:tc>
        <w:tc>
          <w:tcPr>
            <w:tcW w:w="0" w:type="dxa"/>
            <w:vAlign w:val="bottom"/>
          </w:tcPr>
          <w:p>
            <w:pPr>
              <w:spacing w:after="0"/>
              <w:rPr>
                <w:sz w:val="1"/>
                <w:szCs w:val="1"/>
                <w:color w:val="auto"/>
              </w:rPr>
            </w:pPr>
          </w:p>
        </w:tc>
      </w:tr>
      <w:tr>
        <w:trPr>
          <w:trHeight w:val="107"/>
        </w:trPr>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52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52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1-month Term</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October 10, 2018</w:t>
            </w:r>
          </w:p>
        </w:tc>
        <w:tc>
          <w:tcPr>
            <w:tcW w:w="15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July 1, 2020</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June 30, 2025</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1,367</w:t>
            </w: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0" w:type="dxa"/>
            <w:vAlign w:val="bottom"/>
          </w:tcPr>
          <w:p>
            <w:pPr>
              <w:spacing w:after="0"/>
              <w:rPr>
                <w:sz w:val="1"/>
                <w:szCs w:val="1"/>
                <w:color w:val="auto"/>
              </w:rPr>
            </w:pPr>
          </w:p>
        </w:tc>
      </w:tr>
      <w:tr>
        <w:trPr>
          <w:trHeight w:val="107"/>
        </w:trPr>
        <w:tc>
          <w:tcPr>
            <w:tcW w:w="152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gridSpan w:val="2"/>
            <w:vMerge w:val="continue"/>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520" w:type="dxa"/>
            <w:vAlign w:val="bottom"/>
            <w:gridSpan w:val="3"/>
            <w:vMerge w:val="continue"/>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52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1-month Term</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2"/>
                <w:szCs w:val="12"/>
                <w:color w:val="auto"/>
              </w:rPr>
            </w:pPr>
          </w:p>
        </w:tc>
        <w:tc>
          <w:tcPr>
            <w:tcW w:w="1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October 10, 2018</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July 1, 2020</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June 30, 2025</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3.199 %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1,356</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0" w:type="dxa"/>
            <w:vAlign w:val="bottom"/>
          </w:tcPr>
          <w:p>
            <w:pPr>
              <w:spacing w:after="0"/>
              <w:rPr>
                <w:sz w:val="1"/>
                <w:szCs w:val="1"/>
                <w:color w:val="auto"/>
              </w:rPr>
            </w:pPr>
          </w:p>
        </w:tc>
      </w:tr>
      <w:tr>
        <w:trPr>
          <w:trHeight w:val="107"/>
        </w:trPr>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52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52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1-month Term</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October 10, 2018</w:t>
            </w:r>
          </w:p>
        </w:tc>
        <w:tc>
          <w:tcPr>
            <w:tcW w:w="15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July 1, 2020</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June 30, 2025</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1,339</w:t>
            </w: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0" w:type="dxa"/>
            <w:vAlign w:val="bottom"/>
          </w:tcPr>
          <w:p>
            <w:pPr>
              <w:spacing w:after="0"/>
              <w:rPr>
                <w:sz w:val="1"/>
                <w:szCs w:val="1"/>
                <w:color w:val="auto"/>
              </w:rPr>
            </w:pPr>
          </w:p>
        </w:tc>
      </w:tr>
      <w:tr>
        <w:trPr>
          <w:trHeight w:val="107"/>
        </w:trPr>
        <w:tc>
          <w:tcPr>
            <w:tcW w:w="152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gridSpan w:val="2"/>
            <w:vMerge w:val="continue"/>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520" w:type="dxa"/>
            <w:vAlign w:val="bottom"/>
            <w:gridSpan w:val="3"/>
            <w:vMerge w:val="continue"/>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52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1-month Term</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2"/>
                <w:szCs w:val="12"/>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December 18, 2018</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December 30, 2022</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2027</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2.885 %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4,366</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3,015</w:t>
            </w:r>
          </w:p>
        </w:tc>
        <w:tc>
          <w:tcPr>
            <w:tcW w:w="0" w:type="dxa"/>
            <w:vAlign w:val="bottom"/>
          </w:tcPr>
          <w:p>
            <w:pPr>
              <w:spacing w:after="0"/>
              <w:rPr>
                <w:sz w:val="1"/>
                <w:szCs w:val="1"/>
                <w:color w:val="auto"/>
              </w:rPr>
            </w:pPr>
          </w:p>
        </w:tc>
      </w:tr>
      <w:tr>
        <w:trPr>
          <w:trHeight w:val="107"/>
        </w:trPr>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52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52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1-month Term</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December 18, 2018</w:t>
            </w:r>
          </w:p>
        </w:tc>
        <w:tc>
          <w:tcPr>
            <w:tcW w:w="15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December 30, 2022</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2027</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4,572</w:t>
            </w: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3,052</w:t>
            </w:r>
          </w:p>
        </w:tc>
        <w:tc>
          <w:tcPr>
            <w:tcW w:w="0" w:type="dxa"/>
            <w:vAlign w:val="bottom"/>
          </w:tcPr>
          <w:p>
            <w:pPr>
              <w:spacing w:after="0"/>
              <w:rPr>
                <w:sz w:val="1"/>
                <w:szCs w:val="1"/>
                <w:color w:val="auto"/>
              </w:rPr>
            </w:pPr>
          </w:p>
        </w:tc>
      </w:tr>
      <w:tr>
        <w:trPr>
          <w:trHeight w:val="107"/>
        </w:trPr>
        <w:tc>
          <w:tcPr>
            <w:tcW w:w="152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gridSpan w:val="2"/>
            <w:vMerge w:val="continue"/>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520" w:type="dxa"/>
            <w:vAlign w:val="bottom"/>
            <w:gridSpan w:val="3"/>
            <w:vMerge w:val="continue"/>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52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1-month Term</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100" w:type="dxa"/>
            <w:vAlign w:val="bottom"/>
          </w:tcPr>
          <w:p>
            <w:pPr>
              <w:spacing w:after="0"/>
              <w:rPr>
                <w:sz w:val="12"/>
                <w:szCs w:val="12"/>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December 15, 2020</w:t>
            </w: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July 31, 2025</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2027</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1.415 %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31,747</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22,965</w:t>
            </w:r>
          </w:p>
        </w:tc>
        <w:tc>
          <w:tcPr>
            <w:tcW w:w="0" w:type="dxa"/>
            <w:vAlign w:val="bottom"/>
          </w:tcPr>
          <w:p>
            <w:pPr>
              <w:spacing w:after="0"/>
              <w:rPr>
                <w:sz w:val="1"/>
                <w:szCs w:val="1"/>
                <w:color w:val="auto"/>
              </w:rPr>
            </w:pPr>
          </w:p>
        </w:tc>
      </w:tr>
      <w:tr>
        <w:trPr>
          <w:trHeight w:val="107"/>
        </w:trPr>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52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52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1-month Term</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December 15, 2020</w:t>
            </w:r>
          </w:p>
        </w:tc>
        <w:tc>
          <w:tcPr>
            <w:tcW w:w="15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July 1, 2025</w:t>
            </w: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2027</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7,240</w:t>
            </w: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0" w:type="dxa"/>
            <w:vAlign w:val="bottom"/>
          </w:tcPr>
          <w:p>
            <w:pPr>
              <w:spacing w:after="0"/>
              <w:rPr>
                <w:sz w:val="1"/>
                <w:szCs w:val="1"/>
                <w:color w:val="auto"/>
              </w:rPr>
            </w:pPr>
          </w:p>
        </w:tc>
      </w:tr>
      <w:tr>
        <w:trPr>
          <w:trHeight w:val="107"/>
        </w:trPr>
        <w:tc>
          <w:tcPr>
            <w:tcW w:w="152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gridSpan w:val="2"/>
            <w:vMerge w:val="continue"/>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520" w:type="dxa"/>
            <w:vAlign w:val="bottom"/>
            <w:gridSpan w:val="3"/>
            <w:vMerge w:val="continue"/>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5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Basis Swap </w:t>
            </w:r>
            <w:r>
              <w:rPr>
                <w:rFonts w:ascii="Times New Roman" w:cs="Times New Roman" w:eastAsia="Times New Roman" w:hAnsi="Times New Roman"/>
                <w:sz w:val="18"/>
                <w:szCs w:val="18"/>
                <w:color w:val="auto"/>
                <w:vertAlign w:val="superscript"/>
              </w:rPr>
              <w:t>(1)</w:t>
            </w: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March 31, 2023</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March 24, 2023</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December 31, 2027</w:t>
            </w:r>
          </w:p>
        </w:tc>
        <w:tc>
          <w:tcPr>
            <w:tcW w:w="1260" w:type="dxa"/>
            <w:vAlign w:val="bottom"/>
            <w:gridSpan w:val="3"/>
          </w:tcPr>
          <w:p>
            <w:pPr>
              <w:jc w:val="center"/>
              <w:ind w:right="268"/>
              <w:spacing w:after="0"/>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 0</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w:t>
            </w: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1,325,000</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1,475,000</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53,115</w:t>
            </w: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01230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2305" cy="154305"/>
                    </a:xfrm>
                    <a:prstGeom prst="rect">
                      <a:avLst/>
                    </a:prstGeom>
                    <a:noFill/>
                  </pic:spPr>
                </pic:pic>
              </a:graphicData>
            </a:graphic>
          </wp:anchor>
        </w:drawing>
      </w:r>
    </w:p>
    <w:p>
      <w:pPr>
        <w:spacing w:after="0" w:line="5" w:lineRule="exact"/>
        <w:rPr>
          <w:sz w:val="20"/>
          <w:szCs w:val="20"/>
          <w:color w:val="auto"/>
        </w:rPr>
      </w:pPr>
    </w:p>
    <w:p>
      <w:pPr>
        <w:ind w:left="340" w:hanging="139"/>
        <w:spacing w:after="0"/>
        <w:tabs>
          <w:tab w:leader="none" w:pos="34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notional of the basis swap amortizes to match the total notional of the interest rate swap portfolio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-104775</wp:posOffset>
            </wp:positionV>
            <wp:extent cx="13201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20165" cy="889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-104775</wp:posOffset>
            </wp:positionV>
            <wp:extent cx="12941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2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interest rate swaps were carried on the consolidated balance sheet at fair value and changes in the fair values were recorded as unrealized gains or losses in accumulated other comprehensive income (“AOCI”). For the three and six months ended June 30, 2024, the Company recorded a gain of $5.1 million and $19.8 million, respectively, in AOCI related to the change in fair value of the interest rate swaps. For the three and six months ended June 30, 2023 the Company recorded a gain of $18.7 million and $8.2 million, respectively, in AOCI related to the change in fair value of the interest rate swaps.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recorded gains of $5.0 million and $10.3 million, respectively, in the consolidated statements of operations related to the interest rate differential of the interest rate swaps. For the three and six months ended June 30, 2023 the Company recorded gains of $4.5 million and $8.0 million, respectively, in the consolidated statements of operations related to the interest rate differential of the interest rate swaps. The estimated gain that is expected to be reclassified to interest income from AOCI as of June 30, 2024 within the next twelve months is $11.0 million.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AOCI,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AOCI to interest expense at that time.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Hedging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AOCI, net of tax. Those amounts are subsequently reclassified to earnings from AOCI as impacted by the hedged item when the hedged item affects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net in the consolidated statements of operation, along with the offsetting foreign currency gain or loss on the underlying assets or liabilities.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the Company’s hedging 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Cross-Currency Rate Swaps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(“CHFs”) and receive interest in U.S. dollars. Upon the maturity of these contracts, the Company will pay the principal amount of the loans in CHFs and receive U.S. dollars from the counterparties.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22, 2023, the Company amended the Swiss franc denominated intercompany loan to partially settle CHF 20.0 million and extend the termination date to September 2024 and as a result, the Company terminated the cross-currency swap designated as cash flow hedge of an intercompany loan with aggregate notional amount of $48.5 million. Simultaneously, the Company entered into a cross-currency swap agreement to hedge a notional amount of CHF 28.5 million equivalent to $31.5 million of this amended intercompany loan into U.S. dollars. The loss recorded by the Company upon the settlement of the swap was not material for the period.</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21, 2020, the Company entered into cross-currency swap agreements to convert a notional amount of $471.6 million equivalent to 420.1 million of a CHF-denominated intercompany loan into U.S. dollars. The CHF-denominated intercompany loan was the result of an intra-entity transfer of certain intellectual property rights to a subsidiary in Switzerland completed during the fourth quarter of 2020. The intercompany loan requires quarterly payments of CHF 5.8 million plus accrued interest. As a result, the aggregate notional amount of the related cross-currency swaps will decrease by a corresponding amount.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the following cross-currency rate swaps as of June 30, 2024 and December 31, 2023 (dollar amounts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80" w:type="dxa"/>
            <w:vAlign w:val="bottom"/>
            <w:gridSpan w:val="3"/>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2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80" w:type="dxa"/>
            <w:vAlign w:val="bottom"/>
          </w:tcPr>
          <w:p>
            <w:pPr>
              <w:spacing w:after="0"/>
              <w:rPr>
                <w:sz w:val="11"/>
                <w:szCs w:val="11"/>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660" w:type="dxa"/>
            <w:vAlign w:val="bottom"/>
          </w:tcPr>
          <w:p>
            <w:pPr>
              <w:spacing w:after="0"/>
              <w:rPr>
                <w:sz w:val="11"/>
                <w:szCs w:val="11"/>
                <w:color w:val="auto"/>
              </w:rPr>
            </w:pPr>
          </w:p>
        </w:tc>
        <w:tc>
          <w:tcPr>
            <w:tcW w:w="2720" w:type="dxa"/>
            <w:vAlign w:val="bottom"/>
            <w:gridSpan w:val="4"/>
            <w:vMerge w:val="restart"/>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Aggregate Notional Amount</w:t>
            </w:r>
          </w:p>
        </w:tc>
        <w:tc>
          <w:tcPr>
            <w:tcW w:w="1740" w:type="dxa"/>
            <w:vAlign w:val="bottom"/>
            <w:gridSpan w:val="2"/>
          </w:tcPr>
          <w:p>
            <w:pPr>
              <w:jc w:val="center"/>
              <w:ind w:left="444"/>
              <w:spacing w:after="0" w:line="131"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720" w:type="dxa"/>
            <w:vAlign w:val="bottom"/>
            <w:gridSpan w:val="4"/>
            <w:vMerge w:val="continue"/>
          </w:tcPr>
          <w:p>
            <w:pPr>
              <w:spacing w:after="0"/>
              <w:rPr>
                <w:sz w:val="9"/>
                <w:szCs w:val="9"/>
                <w:color w:val="auto"/>
              </w:rPr>
            </w:pPr>
          </w:p>
        </w:tc>
        <w:tc>
          <w:tcPr>
            <w:tcW w:w="1740" w:type="dxa"/>
            <w:vAlign w:val="bottom"/>
            <w:gridSpan w:val="2"/>
            <w:vMerge w:val="restart"/>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gridSpan w:val="2"/>
            <w:vMerge w:val="continue"/>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18"/>
                <w:szCs w:val="18"/>
                <w:color w:val="auto"/>
              </w:rPr>
            </w:pPr>
          </w:p>
        </w:tc>
        <w:tc>
          <w:tcPr>
            <w:tcW w:w="15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December 21, 2020</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22, 2025</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CHF</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CHF 339,637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(12,894)</w:t>
            </w:r>
          </w:p>
        </w:tc>
        <w:tc>
          <w:tcPr>
            <w:tcW w:w="6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(38,324)</w:t>
            </w:r>
          </w:p>
        </w:tc>
        <w:tc>
          <w:tcPr>
            <w:tcW w:w="0" w:type="dxa"/>
            <w:vAlign w:val="bottom"/>
          </w:tcPr>
          <w:p>
            <w:pPr>
              <w:spacing w:after="0"/>
              <w:rPr>
                <w:sz w:val="1"/>
                <w:szCs w:val="1"/>
                <w:color w:val="auto"/>
              </w:rPr>
            </w:pPr>
          </w:p>
        </w:tc>
      </w:tr>
      <w:tr>
        <w:trPr>
          <w:trHeight w:val="108"/>
        </w:trPr>
        <w:tc>
          <w:tcPr>
            <w:tcW w:w="1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381,272</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394,183</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440" w:type="dxa"/>
            <w:vAlign w:val="bottom"/>
            <w:gridSpan w:val="2"/>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18"/>
                <w:szCs w:val="18"/>
                <w:color w:val="auto"/>
              </w:rPr>
            </w:pPr>
          </w:p>
        </w:tc>
        <w:tc>
          <w:tcPr>
            <w:tcW w:w="15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September 22, 2023</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29, 2024</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CHF</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CHF 28,500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6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0" w:type="dxa"/>
            <w:vAlign w:val="bottom"/>
          </w:tcPr>
          <w:p>
            <w:pPr>
              <w:spacing w:after="0"/>
              <w:rPr>
                <w:sz w:val="1"/>
                <w:szCs w:val="1"/>
                <w:color w:val="auto"/>
              </w:rPr>
            </w:pPr>
          </w:p>
        </w:tc>
      </w:tr>
      <w:tr>
        <w:trPr>
          <w:trHeight w:val="108"/>
        </w:trPr>
        <w:tc>
          <w:tcPr>
            <w:tcW w:w="1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50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31,457</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31,457</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(13,177)</w:t>
            </w:r>
          </w:p>
        </w:tc>
        <w:tc>
          <w:tcPr>
            <w:tcW w:w="620" w:type="dxa"/>
            <w:vAlign w:val="bottom"/>
            <w:tcBorders>
              <w:top w:val="single" w:sz="8" w:color="auto"/>
              <w:bottom w:val="single" w:sz="8" w:color="auto"/>
            </w:tcBorders>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(40,672)</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cross-currency swaps are carried on the consolidated balance sheet at fair value, and changes in the fair values are recorded as unrealized gains or losses in AOCI. For the three and six months ended June 30, 2024, the Company recorded a gain of $0.6 million and $30.1 million, respectively, in AOCI related to change in fair value of the cross-currency swaps. For the three and six months ended June 30, 2023, the Company recorded a loss of $12.9 million and $10.7 million in AOCI related to change in fair value of the cross-currency swaps.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recorded a loss of $1.5 million and a gain of $28.6 million, respectively, in other income, net related to change in fair value related to the foreign currency rate translation to offset the losses recognized on the intercompany loans. For the three and six months ended June 30, 2023, the Company recorded a loss of $10.0 million and $14.9 million, respectively, in other income, net related to change in fair value related to the foreign currency rate translation to offset the losses recognized on the intercompany loans.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recorded a gain of $1.3 million and $2.6 million, respectively, in other income, net included in the consolidated statements of operations related to the interest rate differential of the cross-currency swaps. For the three and six months ended June 30, 2023, the Company recorded a gain of $1.4 million and $2.9 million, respectively, in other income, net included in the consolidated statements of operations related to the interest rate differential of the cross-currency swaps.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loss that is expected to be reclassified to other income (expense), net from AOCI as of June 30, 2024 within the next twelve months is $2.7 million. As of June 30, 2024, the Company does not expect any gains or losses will be reclassified into earnings because the original forecasted transactions will not occur.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2, 2024, the Company entered into a cross-currency swap agreement with a notional amount of CHF 68.5 million, equivalent to $75.0 million, where the Company agreed with third-parties to sell Swiss francs in exchange for U.S. dollars at a specified rate at the maturity of the contract. The new cross-currency swap agreement was designated as a net investment hedge to partially offset the effects of foreign currency on foreign subsidiaries.</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 2018 May 24, 2022, and November 17, 2023, the Company entered into cross-currency swap agreements designated as net investment hedges to partially offset the effects of foreign currency on foreign subsidiaries.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held the following cross-currency rate swaps designated as net investment hedges as of June 30, 2024 and December 31, 2023, respectively (dollar amounts in thousands):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8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12"/>
        </w:trPr>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8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85"/>
        </w:trPr>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0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296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Aggregate Notional Amount</w:t>
            </w:r>
          </w:p>
        </w:tc>
        <w:tc>
          <w:tcPr>
            <w:tcW w:w="2260" w:type="dxa"/>
            <w:vAlign w:val="bottom"/>
            <w:gridSpan w:val="2"/>
          </w:tcPr>
          <w:p>
            <w:pPr>
              <w:jc w:val="right"/>
              <w:ind w:right="742"/>
              <w:spacing w:after="0" w:line="13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12"/>
        </w:trPr>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960" w:type="dxa"/>
            <w:vAlign w:val="bottom"/>
            <w:gridSpan w:val="4"/>
            <w:vMerge w:val="continue"/>
          </w:tcPr>
          <w:p>
            <w:pPr>
              <w:spacing w:after="0"/>
              <w:rPr>
                <w:sz w:val="9"/>
                <w:szCs w:val="9"/>
                <w:color w:val="auto"/>
              </w:rPr>
            </w:pPr>
          </w:p>
        </w:tc>
        <w:tc>
          <w:tcPr>
            <w:tcW w:w="2260" w:type="dxa"/>
            <w:vAlign w:val="bottom"/>
            <w:gridSpan w:val="2"/>
            <w:vMerge w:val="restart"/>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0" w:type="dxa"/>
            <w:vAlign w:val="bottom"/>
          </w:tcPr>
          <w:p>
            <w:pPr>
              <w:spacing w:after="0"/>
              <w:rPr>
                <w:sz w:val="1"/>
                <w:szCs w:val="1"/>
                <w:color w:val="auto"/>
              </w:rPr>
            </w:pPr>
          </w:p>
        </w:tc>
      </w:tr>
      <w:tr>
        <w:trPr>
          <w:trHeight w:val="85"/>
        </w:trPr>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6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EUR</w:t>
            </w:r>
          </w:p>
        </w:tc>
        <w:tc>
          <w:tcPr>
            <w:tcW w:w="100" w:type="dxa"/>
            <w:vAlign w:val="bottom"/>
            <w:shd w:val="clear" w:color="auto" w:fill="CCEEFF"/>
          </w:tcPr>
          <w:p>
            <w:pPr>
              <w:spacing w:after="0"/>
              <w:rPr>
                <w:sz w:val="18"/>
                <w:szCs w:val="18"/>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October 3, 2018</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30, 2025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EUR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€ 38,820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38,820</w:t>
            </w:r>
          </w:p>
        </w:tc>
        <w:tc>
          <w:tcPr>
            <w:tcW w:w="10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3,566</w:t>
            </w:r>
          </w:p>
        </w:tc>
        <w:tc>
          <w:tcPr>
            <w:tcW w:w="10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2,475</w:t>
            </w:r>
          </w:p>
        </w:tc>
        <w:tc>
          <w:tcPr>
            <w:tcW w:w="0" w:type="dxa"/>
            <w:vAlign w:val="bottom"/>
          </w:tcPr>
          <w:p>
            <w:pPr>
              <w:spacing w:after="0"/>
              <w:rPr>
                <w:sz w:val="1"/>
                <w:szCs w:val="1"/>
                <w:color w:val="auto"/>
              </w:rPr>
            </w:pPr>
          </w:p>
        </w:tc>
      </w:tr>
      <w:tr>
        <w:trPr>
          <w:trHeight w:val="108"/>
        </w:trPr>
        <w:tc>
          <w:tcPr>
            <w:tcW w:w="1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42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45,000</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00" w:type="dxa"/>
            <w:vAlign w:val="bottom"/>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18"/>
                <w:szCs w:val="18"/>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May 26, 2022</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16, 2028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CHF</w:t>
            </w:r>
          </w:p>
        </w:tc>
        <w:tc>
          <w:tcPr>
            <w:tcW w:w="11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288,210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288,210</w:t>
            </w:r>
          </w:p>
        </w:tc>
        <w:tc>
          <w:tcPr>
            <w:tcW w:w="10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(32,105)</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(48,047)</w:t>
            </w:r>
          </w:p>
        </w:tc>
        <w:tc>
          <w:tcPr>
            <w:tcW w:w="0" w:type="dxa"/>
            <w:vAlign w:val="bottom"/>
          </w:tcPr>
          <w:p>
            <w:pPr>
              <w:spacing w:after="0"/>
              <w:rPr>
                <w:sz w:val="1"/>
                <w:szCs w:val="1"/>
                <w:color w:val="auto"/>
              </w:rPr>
            </w:pPr>
          </w:p>
        </w:tc>
      </w:tr>
      <w:tr>
        <w:trPr>
          <w:trHeight w:val="108"/>
        </w:trPr>
        <w:tc>
          <w:tcPr>
            <w:tcW w:w="1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42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300,000</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November 21,</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17, 2029</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CHF</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CHF 66,525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66,525</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11"/>
                <w:szCs w:val="11"/>
                <w:color w:val="auto"/>
              </w:rPr>
            </w:pPr>
          </w:p>
        </w:tc>
        <w:tc>
          <w:tcPr>
            <w:tcW w:w="15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75,000</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(1,960)</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(4,037)</w:t>
            </w:r>
          </w:p>
        </w:tc>
        <w:tc>
          <w:tcPr>
            <w:tcW w:w="0" w:type="dxa"/>
            <w:vAlign w:val="bottom"/>
          </w:tcPr>
          <w:p>
            <w:pPr>
              <w:spacing w:after="0"/>
              <w:rPr>
                <w:sz w:val="1"/>
                <w:szCs w:val="1"/>
                <w:color w:val="auto"/>
              </w:rPr>
            </w:pPr>
          </w:p>
        </w:tc>
      </w:tr>
      <w:tr>
        <w:trPr>
          <w:trHeight w:val="114"/>
        </w:trPr>
        <w:tc>
          <w:tcPr>
            <w:tcW w:w="16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18"/>
                <w:szCs w:val="18"/>
                <w:color w:val="auto"/>
              </w:rPr>
            </w:pPr>
          </w:p>
        </w:tc>
        <w:tc>
          <w:tcPr>
            <w:tcW w:w="14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May 6, 2024</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18, 2030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CHF</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CHF 68,483</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420" w:type="dxa"/>
            <w:vAlign w:val="bottom"/>
            <w:gridSpan w:val="2"/>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75,000</w:t>
            </w: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(3,078)</w:t>
            </w:r>
          </w:p>
        </w:tc>
        <w:tc>
          <w:tcPr>
            <w:tcW w:w="10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4"/>
        </w:trPr>
        <w:tc>
          <w:tcPr>
            <w:tcW w:w="16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760" w:type="dxa"/>
            <w:vAlign w:val="bottom"/>
            <w:tcBorders>
              <w:bottom w:val="single" w:sz="8" w:color="CCEEFF"/>
            </w:tcBorders>
            <w:gridSpan w:val="2"/>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5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(33,577)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(49,609)</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cross-currency swaps were carried on the consolidated balance sheet at fair value and changes in the fair values were recorded as unrealized gains or losses in AOCI. For the three and six months ended June 30, 2024, the Company recorded a loss of $4.2 million and a gain of $20.7 million, respectively, in AOCI related to the change in fair value of the cross-currency swaps. For the three and six months ended June 30, 2023, the Company recorded a loss of $11.1 million and $10.1 million, respectively, in AOCI related to change in fair value of the cross-currency swaps.</w:t>
      </w:r>
    </w:p>
    <w:p>
      <w:pPr>
        <w:spacing w:after="0" w:line="7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recorded a gain of $2.5 million and $4.7 million, respectively, in interest income included in the consolidated statements of operations related to the interest rate differential of the cross-currency swaps. For the three and six months ended June 30, 2023, the Company recorded a gain of $2.1 million and $4.2 million in interest income included in the consolidated statements of operations related to the interest rate differential of the cross-currency swaps.</w:t>
      </w:r>
    </w:p>
    <w:p>
      <w:pPr>
        <w:spacing w:after="0" w:line="72" w:lineRule="exact"/>
        <w:rPr>
          <w:sz w:val="20"/>
          <w:szCs w:val="20"/>
          <w:color w:val="auto"/>
        </w:rPr>
      </w:pPr>
    </w:p>
    <w:p>
      <w:pPr>
        <w:ind w:right="420"/>
        <w:spacing w:after="0" w:line="375" w:lineRule="auto"/>
        <w:rPr>
          <w:sz w:val="20"/>
          <w:szCs w:val="20"/>
          <w:color w:val="auto"/>
        </w:rPr>
      </w:pPr>
      <w:r>
        <w:rPr>
          <w:rFonts w:ascii="Times New Roman" w:cs="Times New Roman" w:eastAsia="Times New Roman" w:hAnsi="Times New Roman"/>
          <w:sz w:val="18"/>
          <w:szCs w:val="18"/>
          <w:color w:val="auto"/>
        </w:rPr>
        <w:t xml:space="preserve">The estimated gain that is expected to be reclassified to interest income from AOCI as of June 30, 2024 within the next twelve months is $9.7 million. </w:t>
      </w:r>
      <w:r>
        <w:rPr>
          <w:rFonts w:ascii="Times New Roman" w:cs="Times New Roman" w:eastAsia="Times New Roman" w:hAnsi="Times New Roman"/>
          <w:sz w:val="18"/>
          <w:szCs w:val="18"/>
          <w:b w:val="1"/>
          <w:bCs w:val="1"/>
          <w:i w:val="1"/>
          <w:iCs w:val="1"/>
          <w:color w:val="auto"/>
        </w:rPr>
        <w:t>Foreign Currency Forward Contracts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a hedge for forecasted intercompany purchases denominated in foreign currencies through the use of forward contracts designated as cash flow hedges. To the extent these forward contracts meet hedge accounting criteria, changes in their fair value are not included in accumulated comprehensive loss. These changes in fair value will be recognized into earnings as a component of cost of sales when the forecasted-transaction occurs.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quarter of 2024, the Company entered into foreign currency forwards to mitigate the exchange rate risk of Swiss franc denominated intercompany purchases. These contracts typically settle at various dates within twelve months of execution. As of June 30, 2024 the notional amount of foreign currency forward contracts was 6.5 million CHF. For the three and six months ended June 30, 2024 the Company recorded an immaterial loss and a loss of $0.6 million, respectively, in AOCI related to the change in fair value of the foreign currency forward contracts and a loss of $0.1 million and $0.2 million, respectively in cost of goods sold included in the consolidated statements of operations.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2023 the Company recorded a gain of $0.3 million and $0.2 million, respectively, in AOCI related to the change in fair value of the foreign currency forward contracts and a gain of $0.4 million and $0.4 million, respectively, in cost of goods sold included in the consolidated statements of operations.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3, 2024, the Company entered into forward currency forwards with a notional amount of 5.2 million CHF to mitigate the exchange rate risk of Swiss franc denominated intercompany purchases. These contracts settle at various dates within twelve months of execution.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for derivatives designated as hedging instruments in the condensed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December 31, 2023:</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Location on Balance Sheet </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8006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hedges —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09803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u w:val="single" w:color="auto"/>
          <w:color w:val="auto"/>
        </w:rPr>
        <w:t>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Interest rate swap</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9803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6"/>
          <w:szCs w:val="16"/>
          <w:color w:val="auto"/>
        </w:rPr>
        <w:t>Cross-currency swap</w:t>
      </w:r>
    </w:p>
    <w:p>
      <w:pPr>
        <w:spacing w:after="0" w:line="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u w:val="single" w:color="auto"/>
          <w:color w:val="auto"/>
        </w:rPr>
        <w:t>Net Investment Hedges</w:t>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Cross-currency swap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assets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u w:val="single" w:color="auto"/>
          <w:color w:val="auto"/>
        </w:rPr>
        <w:t>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5" w:lineRule="exact"/>
        <w:rPr>
          <w:sz w:val="20"/>
          <w:szCs w:val="20"/>
          <w:color w:val="auto"/>
        </w:rPr>
      </w:pPr>
    </w:p>
    <w:p>
      <w:pPr>
        <w:jc w:val="center"/>
        <w:ind w:right="4980"/>
        <w:spacing w:after="0"/>
        <w:rPr>
          <w:sz w:val="20"/>
          <w:szCs w:val="20"/>
          <w:color w:val="auto"/>
        </w:rPr>
      </w:pPr>
      <w:r>
        <w:rPr>
          <w:rFonts w:ascii="Times New Roman" w:cs="Times New Roman" w:eastAsia="Times New Roman" w:hAnsi="Times New Roman"/>
          <w:sz w:val="16"/>
          <w:szCs w:val="16"/>
          <w:color w:val="auto"/>
        </w:rPr>
        <w:t>Interest rate swap</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9803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jc w:val="center"/>
        <w:ind w:right="4960"/>
        <w:spacing w:after="0"/>
        <w:rPr>
          <w:sz w:val="20"/>
          <w:szCs w:val="20"/>
          <w:color w:val="auto"/>
        </w:rPr>
      </w:pPr>
      <w:r>
        <w:rPr>
          <w:rFonts w:ascii="Times New Roman" w:cs="Times New Roman" w:eastAsia="Times New Roman" w:hAnsi="Times New Roman"/>
          <w:sz w:val="16"/>
          <w:szCs w:val="16"/>
          <w:u w:val="single" w:color="auto"/>
          <w:color w:val="auto"/>
        </w:rPr>
        <w:t>Net Investment Hedges</w:t>
      </w:r>
    </w:p>
    <w:p>
      <w:pPr>
        <w:spacing w:after="0" w:line="14" w:lineRule="exact"/>
        <w:rPr>
          <w:sz w:val="20"/>
          <w:szCs w:val="20"/>
          <w:color w:val="auto"/>
        </w:rPr>
      </w:pPr>
    </w:p>
    <w:p>
      <w:pPr>
        <w:jc w:val="center"/>
        <w:ind w:right="4880"/>
        <w:spacing w:after="0"/>
        <w:rPr>
          <w:sz w:val="20"/>
          <w:szCs w:val="20"/>
          <w:color w:val="auto"/>
        </w:rPr>
      </w:pPr>
      <w:r>
        <w:rPr>
          <w:rFonts w:ascii="Times New Roman" w:cs="Times New Roman" w:eastAsia="Times New Roman" w:hAnsi="Times New Roman"/>
          <w:sz w:val="16"/>
          <w:szCs w:val="16"/>
          <w:color w:val="auto"/>
        </w:rPr>
        <w:t>Cross-currency swap</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derivatives designated as hedges —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09803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hedges —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09803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u w:val="single" w:color="auto"/>
          <w:color w:val="auto"/>
        </w:rPr>
        <w:t>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Interest rate swap</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9803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6"/>
          <w:szCs w:val="16"/>
          <w:color w:val="auto"/>
        </w:rPr>
        <w:t>Cross-currency swap</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Foreign currency forward contracts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u w:val="single" w:color="auto"/>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Cross-currency swap</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u w:val="single" w:color="auto"/>
          <w:color w:val="auto"/>
        </w:rPr>
        <w:t>Cash Flow Hedges</w:t>
      </w:r>
    </w:p>
    <w:p>
      <w:pPr>
        <w:spacing w:after="0" w:line="25" w:lineRule="exact"/>
        <w:rPr>
          <w:sz w:val="20"/>
          <w:szCs w:val="20"/>
          <w:color w:val="auto"/>
        </w:rPr>
      </w:pPr>
    </w:p>
    <w:p>
      <w:pPr>
        <w:jc w:val="center"/>
        <w:ind w:right="4980"/>
        <w:spacing w:after="0"/>
        <w:rPr>
          <w:sz w:val="20"/>
          <w:szCs w:val="20"/>
          <w:color w:val="auto"/>
        </w:rPr>
      </w:pPr>
      <w:r>
        <w:rPr>
          <w:rFonts w:ascii="Times New Roman" w:cs="Times New Roman" w:eastAsia="Times New Roman" w:hAnsi="Times New Roman"/>
          <w:sz w:val="16"/>
          <w:szCs w:val="16"/>
          <w:color w:val="auto"/>
        </w:rPr>
        <w:t>Interest rate swap</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09803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jc w:val="center"/>
        <w:ind w:right="4880"/>
        <w:spacing w:after="0"/>
        <w:rPr>
          <w:sz w:val="20"/>
          <w:szCs w:val="20"/>
          <w:color w:val="auto"/>
        </w:rPr>
      </w:pPr>
      <w:r>
        <w:rPr>
          <w:rFonts w:ascii="Times New Roman" w:cs="Times New Roman" w:eastAsia="Times New Roman" w:hAnsi="Times New Roman"/>
          <w:sz w:val="16"/>
          <w:szCs w:val="16"/>
          <w:color w:val="auto"/>
        </w:rPr>
        <w:t>Cross-currency swap</w:t>
      </w:r>
    </w:p>
    <w:p>
      <w:pPr>
        <w:spacing w:after="0" w:line="14"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16"/>
          <w:szCs w:val="16"/>
          <w:u w:val="single" w:color="auto"/>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9803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2" w:lineRule="exact"/>
        <w:rPr>
          <w:sz w:val="20"/>
          <w:szCs w:val="20"/>
          <w:color w:val="auto"/>
        </w:rPr>
      </w:pPr>
    </w:p>
    <w:p>
      <w:pPr>
        <w:jc w:val="center"/>
        <w:ind w:right="4880"/>
        <w:spacing w:after="0"/>
        <w:rPr>
          <w:sz w:val="20"/>
          <w:szCs w:val="20"/>
          <w:color w:val="auto"/>
        </w:rPr>
      </w:pPr>
      <w:r>
        <w:rPr>
          <w:rFonts w:ascii="Times New Roman" w:cs="Times New Roman" w:eastAsia="Times New Roman" w:hAnsi="Times New Roman"/>
          <w:sz w:val="16"/>
          <w:szCs w:val="16"/>
          <w:color w:val="auto"/>
        </w:rPr>
        <w:t>Cross-currency swap</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derivatives designated as hedges —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09803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803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Fair Value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22371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5" w:lineRule="exact"/>
        <w:rPr>
          <w:sz w:val="20"/>
          <w:szCs w:val="20"/>
          <w:color w:val="auto"/>
        </w:rPr>
      </w:pPr>
    </w:p>
    <w:p>
      <w:pPr>
        <w:ind w:left="440"/>
        <w:spacing w:after="0"/>
        <w:tabs>
          <w:tab w:leader="none" w:pos="2060" w:val="left"/>
        </w:tabs>
        <w:rPr>
          <w:sz w:val="20"/>
          <w:szCs w:val="20"/>
          <w:color w:val="auto"/>
        </w:rPr>
      </w:pPr>
      <w:r>
        <w:rPr>
          <w:rFonts w:ascii="Times New Roman" w:cs="Times New Roman" w:eastAsia="Times New Roman" w:hAnsi="Times New Roman"/>
          <w:sz w:val="14"/>
          <w:szCs w:val="14"/>
          <w:b w:val="1"/>
          <w:bCs w:val="1"/>
          <w:color w:val="auto"/>
        </w:rPr>
        <w:t>June 30, 2024</w:t>
      </w:r>
      <w:r>
        <w:rPr>
          <w:sz w:val="20"/>
          <w:szCs w:val="20"/>
          <w:color w:val="auto"/>
        </w:rPr>
        <w:tab/>
      </w:r>
      <w:r>
        <w:rPr>
          <w:rFonts w:ascii="Times New Roman" w:cs="Times New Roman" w:eastAsia="Times New Roman" w:hAnsi="Times New Roman"/>
          <w:sz w:val="14"/>
          <w:szCs w:val="14"/>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22371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11,602</w:t>
            </w:r>
          </w:p>
        </w:tc>
        <w:tc>
          <w:tcPr>
            <w:tcW w:w="7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14,675</w:t>
            </w:r>
          </w:p>
        </w:tc>
      </w:tr>
      <w:tr>
        <w:trPr>
          <w:trHeight w:val="216"/>
        </w:trPr>
        <w:tc>
          <w:tcPr>
            <w:tcW w:w="6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2,950</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432"/>
        </w:trPr>
        <w:tc>
          <w:tcPr>
            <w:tcW w:w="6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5,946</w:t>
            </w:r>
          </w:p>
        </w:tc>
        <w:tc>
          <w:tcPr>
            <w:tcW w:w="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2,938</w:t>
            </w:r>
          </w:p>
        </w:tc>
      </w:tr>
      <w:tr>
        <w:trPr>
          <w:trHeight w:val="648"/>
        </w:trPr>
        <w:tc>
          <w:tcPr>
            <w:tcW w:w="6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43,448</w:t>
            </w:r>
          </w:p>
        </w:tc>
        <w:tc>
          <w:tcPr>
            <w:tcW w:w="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30,710</w:t>
            </w:r>
          </w:p>
        </w:tc>
      </w:tr>
      <w:tr>
        <w:trPr>
          <w:trHeight w:val="435"/>
        </w:trPr>
        <w:tc>
          <w:tcPr>
            <w:tcW w:w="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2,563</w:t>
            </w:r>
          </w:p>
        </w:tc>
        <w:tc>
          <w:tcPr>
            <w:tcW w:w="7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1,470</w:t>
            </w:r>
          </w:p>
        </w:tc>
      </w:tr>
      <w:tr>
        <w:trPr>
          <w:trHeight w:val="210"/>
        </w:trPr>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66,509</w:t>
            </w:r>
          </w:p>
        </w:tc>
        <w:tc>
          <w:tcPr>
            <w:tcW w:w="7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50,330</w:t>
            </w:r>
          </w:p>
        </w:tc>
      </w:tr>
      <w:tr>
        <w:trPr>
          <w:trHeight w:val="23"/>
        </w:trPr>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612</w:t>
            </w:r>
          </w:p>
        </w:tc>
        <w:tc>
          <w:tcPr>
            <w:tcW w:w="7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r>
      <w:tr>
        <w:trPr>
          <w:trHeight w:val="216"/>
        </w:trPr>
        <w:tc>
          <w:tcPr>
            <w:tcW w:w="6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283</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4,813</w:t>
            </w:r>
          </w:p>
        </w:tc>
      </w:tr>
      <w:tr>
        <w:trPr>
          <w:trHeight w:val="216"/>
        </w:trPr>
        <w:tc>
          <w:tcPr>
            <w:tcW w:w="6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247</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32"/>
        </w:trPr>
        <w:tc>
          <w:tcPr>
            <w:tcW w:w="6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w:t>
            </w:r>
          </w:p>
        </w:tc>
      </w:tr>
      <w:tr>
        <w:trPr>
          <w:trHeight w:val="648"/>
        </w:trPr>
        <w:tc>
          <w:tcPr>
            <w:tcW w:w="6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1,323</w:t>
            </w:r>
          </w:p>
        </w:tc>
        <w:tc>
          <w:tcPr>
            <w:tcW w:w="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216"/>
        </w:trPr>
        <w:tc>
          <w:tcPr>
            <w:tcW w:w="6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15,843</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36,396</w:t>
            </w:r>
          </w:p>
        </w:tc>
      </w:tr>
      <w:tr>
        <w:trPr>
          <w:trHeight w:val="435"/>
        </w:trPr>
        <w:tc>
          <w:tcPr>
            <w:tcW w:w="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42,086</w:t>
            </w:r>
          </w:p>
        </w:tc>
        <w:tc>
          <w:tcPr>
            <w:tcW w:w="7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51,114</w:t>
            </w:r>
          </w:p>
        </w:tc>
      </w:tr>
      <w:tr>
        <w:trPr>
          <w:trHeight w:val="210"/>
        </w:trPr>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60,394</w:t>
            </w:r>
          </w:p>
        </w:tc>
        <w:tc>
          <w:tcPr>
            <w:tcW w:w="7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97,055</w:t>
            </w:r>
          </w:p>
        </w:tc>
      </w:tr>
      <w:tr>
        <w:trPr>
          <w:trHeight w:val="23"/>
        </w:trPr>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27" w:lineRule="exact"/>
        <w:rPr>
          <w:sz w:val="20"/>
          <w:szCs w:val="20"/>
          <w:color w:val="auto"/>
        </w:rPr>
      </w:pPr>
    </w:p>
    <w:p>
      <w:pPr>
        <w:sectPr>
          <w:pgSz w:w="11900" w:h="16838" w:orient="portrait"/>
          <w:cols w:equalWidth="0" w:num="2">
            <w:col w:w="6940" w:space="720"/>
            <w:col w:w="3580"/>
          </w:cols>
          <w:pgMar w:left="320" w:top="117" w:right="339" w:bottom="1440" w:gutter="0" w:footer="0" w:header="0"/>
          <w:type w:val="continuous"/>
        </w:sect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 classifies derivative assets and liabilities as current based on the cash flows expected to be incurred within the following 12 months.</w:t>
      </w:r>
    </w:p>
    <w:p>
      <w:pPr>
        <w:spacing w:after="0" w:line="10" w:lineRule="exact"/>
        <w:rPr>
          <w:rFonts w:ascii="Times New Roman" w:cs="Times New Roman" w:eastAsia="Times New Roman" w:hAnsi="Times New Roman"/>
          <w:sz w:val="19"/>
          <w:szCs w:val="19"/>
          <w:color w:val="auto"/>
          <w:vertAlign w:val="superscript"/>
        </w:rPr>
      </w:pPr>
    </w:p>
    <w:p>
      <w:pPr>
        <w:ind w:left="180" w:hanging="172"/>
        <w:spacing w:after="0" w:line="197" w:lineRule="auto"/>
        <w:tabs>
          <w:tab w:leader="none" w:pos="1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At June 30, 2024 and December 31, 2023, the total notional amounts related to the Company’s interest rate swaps were $1.3 billion, and $1.5 billion</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presents the effect of derivative instruments designated as cash flow hedges and net investment hedges on the accompanying condensed consolidated statement of operations during the three and six months ended June 30, 2024 and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in AOCI</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in</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160" w:type="dxa"/>
            <w:vAlign w:val="bottom"/>
          </w:tcPr>
          <w:p>
            <w:pPr>
              <w:spacing w:after="0"/>
              <w:rPr>
                <w:sz w:val="5"/>
                <w:szCs w:val="5"/>
                <w:color w:val="auto"/>
              </w:rPr>
            </w:pPr>
          </w:p>
        </w:tc>
        <w:tc>
          <w:tcPr>
            <w:tcW w:w="14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08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Balance in AOCI</w:t>
            </w:r>
          </w:p>
        </w:tc>
        <w:tc>
          <w:tcPr>
            <w:tcW w:w="1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Statements of</w:t>
            </w:r>
          </w:p>
        </w:tc>
        <w:tc>
          <w:tcPr>
            <w:tcW w:w="0" w:type="dxa"/>
            <w:vAlign w:val="bottom"/>
          </w:tcPr>
          <w:p>
            <w:pPr>
              <w:spacing w:after="0"/>
              <w:rPr>
                <w:sz w:val="1"/>
                <w:szCs w:val="1"/>
                <w:color w:val="auto"/>
              </w:rPr>
            </w:pPr>
          </w:p>
        </w:tc>
      </w:tr>
      <w:tr>
        <w:trPr>
          <w:trHeight w:val="56"/>
        </w:trPr>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gridSpan w:val="2"/>
            <w:vMerge w:val="restart"/>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60" w:type="dxa"/>
            <w:vAlign w:val="bottom"/>
          </w:tcPr>
          <w:p>
            <w:pPr>
              <w:spacing w:after="0"/>
              <w:rPr>
                <w:sz w:val="4"/>
                <w:szCs w:val="4"/>
                <w:color w:val="auto"/>
              </w:rPr>
            </w:pPr>
          </w:p>
        </w:tc>
        <w:tc>
          <w:tcPr>
            <w:tcW w:w="142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AOCI into</w:t>
            </w:r>
          </w:p>
        </w:tc>
        <w:tc>
          <w:tcPr>
            <w:tcW w:w="1080" w:type="dxa"/>
            <w:vAlign w:val="bottom"/>
            <w:gridSpan w:val="2"/>
            <w:vMerge w:val="restart"/>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End of Quarter</w:t>
            </w:r>
          </w:p>
        </w:tc>
        <w:tc>
          <w:tcPr>
            <w:tcW w:w="10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09"/>
        </w:trPr>
        <w:tc>
          <w:tcPr>
            <w:tcW w:w="35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160" w:type="dxa"/>
            <w:vAlign w:val="bottom"/>
          </w:tcPr>
          <w:p>
            <w:pPr>
              <w:spacing w:after="0"/>
              <w:rPr>
                <w:sz w:val="9"/>
                <w:szCs w:val="9"/>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50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0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color w:val="auto"/>
              </w:rPr>
              <w:t>Cash Flow Hedges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rate swap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53,116</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3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(16,867)</w:t>
            </w:r>
          </w:p>
        </w:tc>
        <w:tc>
          <w:tcPr>
            <w:tcW w:w="100" w:type="dxa"/>
            <w:vAlign w:val="bottom"/>
          </w:tcPr>
          <w:p>
            <w:pPr>
              <w:spacing w:after="0"/>
              <w:rPr>
                <w:sz w:val="18"/>
                <w:szCs w:val="18"/>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0" w:type="dxa"/>
            <w:vAlign w:val="bottom"/>
          </w:tcPr>
          <w:p>
            <w:pPr>
              <w:spacing w:after="0"/>
              <w:rPr>
                <w:sz w:val="1"/>
                <w:szCs w:val="1"/>
                <w:color w:val="auto"/>
              </w:rPr>
            </w:pPr>
          </w:p>
        </w:tc>
      </w:tr>
      <w:tr>
        <w:trPr>
          <w:trHeight w:val="232"/>
        </w:trPr>
        <w:tc>
          <w:tcPr>
            <w:tcW w:w="140" w:type="dxa"/>
            <w:vAlign w:val="bottom"/>
            <w:shd w:val="clear" w:color="auto" w:fill="CCEEFF"/>
          </w:tcPr>
          <w:p>
            <w:pPr>
              <w:spacing w:after="0"/>
              <w:rPr>
                <w:sz w:val="20"/>
                <w:szCs w:val="20"/>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Foreign Currency Forward Contract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0" w:type="dxa"/>
            <w:vAlign w:val="bottom"/>
          </w:tcPr>
          <w:p>
            <w:pPr>
              <w:spacing w:after="0"/>
              <w:rPr>
                <w:sz w:val="1"/>
                <w:szCs w:val="1"/>
                <w:color w:val="auto"/>
              </w:rPr>
            </w:pPr>
          </w:p>
        </w:tc>
      </w:tr>
      <w:tr>
        <w:trPr>
          <w:trHeight w:val="176"/>
        </w:trPr>
        <w:tc>
          <w:tcPr>
            <w:tcW w:w="350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color w:val="auto"/>
              </w:rPr>
              <w:t>Net Investment Hedges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(29,466)</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1,449</w:t>
            </w:r>
          </w:p>
        </w:tc>
        <w:tc>
          <w:tcPr>
            <w:tcW w:w="8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7,153</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6,353</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2023</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0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color w:val="auto"/>
              </w:rPr>
              <w:t>Cash Flow Hedges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rate swap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18,694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56,901</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3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(18,925)</w:t>
            </w:r>
          </w:p>
        </w:tc>
        <w:tc>
          <w:tcPr>
            <w:tcW w:w="100" w:type="dxa"/>
            <w:vAlign w:val="bottom"/>
          </w:tcPr>
          <w:p>
            <w:pPr>
              <w:spacing w:after="0"/>
              <w:rPr>
                <w:sz w:val="18"/>
                <w:szCs w:val="18"/>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Foreign Currency Forward Contract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0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color w:val="auto"/>
              </w:rPr>
              <w:t>Net Investment Hedges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(11,067)</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(21,239)</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(4,942)</w:t>
            </w:r>
          </w:p>
        </w:tc>
        <w:tc>
          <w:tcPr>
            <w:tcW w:w="8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16,614</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in AOCI</w:t>
            </w:r>
          </w:p>
        </w:tc>
        <w:tc>
          <w:tcPr>
            <w:tcW w:w="18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in</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160" w:type="dxa"/>
            <w:vAlign w:val="bottom"/>
          </w:tcPr>
          <w:p>
            <w:pPr>
              <w:spacing w:after="0"/>
              <w:rPr>
                <w:sz w:val="5"/>
                <w:szCs w:val="5"/>
                <w:color w:val="auto"/>
              </w:rPr>
            </w:pPr>
          </w:p>
        </w:tc>
        <w:tc>
          <w:tcPr>
            <w:tcW w:w="14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08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Balance in AOCI</w:t>
            </w:r>
          </w:p>
        </w:tc>
        <w:tc>
          <w:tcPr>
            <w:tcW w:w="1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Statements of</w:t>
            </w:r>
          </w:p>
        </w:tc>
        <w:tc>
          <w:tcPr>
            <w:tcW w:w="0" w:type="dxa"/>
            <w:vAlign w:val="bottom"/>
          </w:tcPr>
          <w:p>
            <w:pPr>
              <w:spacing w:after="0"/>
              <w:rPr>
                <w:sz w:val="1"/>
                <w:szCs w:val="1"/>
                <w:color w:val="auto"/>
              </w:rPr>
            </w:pPr>
          </w:p>
        </w:tc>
      </w:tr>
      <w:tr>
        <w:trPr>
          <w:trHeight w:val="56"/>
        </w:trPr>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gridSpan w:val="2"/>
            <w:vMerge w:val="restart"/>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60" w:type="dxa"/>
            <w:vAlign w:val="bottom"/>
          </w:tcPr>
          <w:p>
            <w:pPr>
              <w:spacing w:after="0"/>
              <w:rPr>
                <w:sz w:val="4"/>
                <w:szCs w:val="4"/>
                <w:color w:val="auto"/>
              </w:rPr>
            </w:pPr>
          </w:p>
        </w:tc>
        <w:tc>
          <w:tcPr>
            <w:tcW w:w="142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AOCI into</w:t>
            </w:r>
          </w:p>
        </w:tc>
        <w:tc>
          <w:tcPr>
            <w:tcW w:w="1080" w:type="dxa"/>
            <w:vAlign w:val="bottom"/>
            <w:gridSpan w:val="2"/>
            <w:vMerge w:val="restart"/>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End of Quarter</w:t>
            </w:r>
          </w:p>
        </w:tc>
        <w:tc>
          <w:tcPr>
            <w:tcW w:w="10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09"/>
        </w:trPr>
        <w:tc>
          <w:tcPr>
            <w:tcW w:w="35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160" w:type="dxa"/>
            <w:vAlign w:val="bottom"/>
          </w:tcPr>
          <w:p>
            <w:pPr>
              <w:spacing w:after="0"/>
              <w:rPr>
                <w:sz w:val="9"/>
                <w:szCs w:val="9"/>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50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0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color w:val="auto"/>
              </w:rPr>
              <w:t>Cash Flow Hedges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rate swap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19,811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53,116</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3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30,130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(16,867)</w:t>
            </w:r>
          </w:p>
        </w:tc>
        <w:tc>
          <w:tcPr>
            <w:tcW w:w="100" w:type="dxa"/>
            <w:vAlign w:val="bottom"/>
          </w:tcPr>
          <w:p>
            <w:pPr>
              <w:spacing w:after="0"/>
              <w:rPr>
                <w:sz w:val="18"/>
                <w:szCs w:val="18"/>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Foreign currency forward contract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0" w:type="dxa"/>
            <w:vAlign w:val="bottom"/>
          </w:tcPr>
          <w:p>
            <w:pPr>
              <w:spacing w:after="0"/>
              <w:rPr>
                <w:sz w:val="1"/>
                <w:szCs w:val="1"/>
                <w:color w:val="auto"/>
              </w:rPr>
            </w:pPr>
          </w:p>
        </w:tc>
      </w:tr>
      <w:tr>
        <w:trPr>
          <w:trHeight w:val="175"/>
        </w:trPr>
        <w:tc>
          <w:tcPr>
            <w:tcW w:w="350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color w:val="auto"/>
              </w:rPr>
              <w:t>Net Investment Hedges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20,687</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(29,466)</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69,995</w:t>
            </w:r>
          </w:p>
        </w:tc>
        <w:tc>
          <w:tcPr>
            <w:tcW w:w="8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45,937</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6,353</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2023</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0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color w:val="auto"/>
              </w:rPr>
              <w:t>Cash Flow Hedges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rate swap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56,901</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33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(18,925)</w:t>
            </w:r>
          </w:p>
        </w:tc>
        <w:tc>
          <w:tcPr>
            <w:tcW w:w="100" w:type="dxa"/>
            <w:vAlign w:val="bottom"/>
          </w:tcPr>
          <w:p>
            <w:pPr>
              <w:spacing w:after="0"/>
              <w:rPr>
                <w:sz w:val="18"/>
                <w:szCs w:val="18"/>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0" w:type="dxa"/>
            <w:vAlign w:val="bottom"/>
          </w:tcPr>
          <w:p>
            <w:pPr>
              <w:spacing w:after="0"/>
              <w:rPr>
                <w:sz w:val="1"/>
                <w:szCs w:val="1"/>
                <w:color w:val="auto"/>
              </w:rPr>
            </w:pPr>
          </w:p>
        </w:tc>
      </w:tr>
      <w:tr>
        <w:trPr>
          <w:trHeight w:val="219"/>
        </w:trPr>
        <w:tc>
          <w:tcPr>
            <w:tcW w:w="140" w:type="dxa"/>
            <w:vAlign w:val="bottom"/>
            <w:shd w:val="clear" w:color="auto" w:fill="CCEEFF"/>
          </w:tcPr>
          <w:p>
            <w:pPr>
              <w:spacing w:after="0"/>
              <w:rPr>
                <w:sz w:val="19"/>
                <w:szCs w:val="19"/>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Foreign currency forward contract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0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color w:val="auto"/>
              </w:rPr>
              <w:t>Net Investment Hedges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(10,117)</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(21,239)</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29,527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(12,404)</w:t>
            </w:r>
          </w:p>
        </w:tc>
        <w:tc>
          <w:tcPr>
            <w:tcW w:w="8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16,614</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not Designated Hedges: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second quarter of 2021, the Company entered into a foreign currency swap, with a notional amount of $7.3 million to mitigate the risk from fluctuations in foreign currency exchange rates associated with an intercompany loan denominated in Japanese yen. In a foreign currency swap transaction, the Company agrees with another party to exchange, at specified intervals, the difference between one currency and another currency at a fixed exchange rate, generally set at inception, calculated by reference to an agreed upon notional amount. The notional amount of each currency is exchanged at the inception and termination of the currency swap by each party. The Company subsequently paid down a portion of this swap, bringing the notional amount down to $4.6 million as of June 30, 2024.</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foreign currency swaps not designated as hedges was $1.5 million and $1.2 million as of June 30, 2024 and December 31, 2023, respectively. The following table summarizes the gains on derivative instruments not designated as hedges on the condensed consolidated statements of income, which was included in other income: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00" w:type="dxa"/>
            <w:vAlign w:val="bottom"/>
          </w:tcPr>
          <w:p>
            <w:pPr>
              <w:spacing w:after="0"/>
              <w:rPr>
                <w:sz w:val="18"/>
                <w:szCs w:val="18"/>
                <w:color w:val="auto"/>
              </w:rPr>
            </w:pPr>
          </w:p>
        </w:tc>
        <w:tc>
          <w:tcPr>
            <w:tcW w:w="324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8"/>
                <w:szCs w:val="18"/>
                <w:color w:val="auto"/>
              </w:rPr>
            </w:pPr>
          </w:p>
        </w:tc>
        <w:tc>
          <w:tcPr>
            <w:tcW w:w="3120" w:type="dxa"/>
            <w:vAlign w:val="bottom"/>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0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swaps</w:t>
            </w: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12"/>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0"/>
        </w:trPr>
        <w:tc>
          <w:tcPr>
            <w:tcW w:w="4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stock options, restricted stock awards, performance stock awards, contract stock awards and restricted stock unit awards outstanding under the Integra LifeSciences Holdings Corporation Fifth Amended and Restated 2003 Equity Incentive Plan (the “2003 Plan”).</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 options issued under the 2003 Plan become exercisable over specified periods, generally within four years from the date of grant for officers and employees, within one year from date of grant for directors which generally expire eight years from the grant date for employees, and from six to ten years for directors and certain executive officers, except in certain instances that result in accelerated vesting due to death, disability, retirement age or change in-control provisions within their grant agreements. The Company values stock option grants using the binomial distribution model. Restricted stock issued under the 2003 Plan vests over specified periods, generally three years after the date of grant. The vesting of performance stock issued under the 2003 Plan is subject to service and performance conditions.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there were approximately $4.1 million of total unrecognized compensation costs related to unvested stock options. These costs are expected to be recognized over a weighted-average period of approximately three years. There were 243,964 stock options granted during the six months ended June 30, 2024. For the six months ended June 30, 2024, the weighted average grant date fair value for stock options granted was $15.68 per option.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 of Restricted Stock and Performance Stock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Performance stock and restricted stock awards generally have requisite service periods of three years, except in certain instances that result in accelerated vesting due to death, disability, retirement age provision or change in-control provisions in their grant agreements. Performance stock units are subject to graded vesting conditions based on revenue goals of the Company. The Company expenses the fair value of restricted stock awards on a straight-line basis over the requisite service period. As of June 30, 2024, there was approximately $43.5 million of total unrecognized compensation costs related to these unvested awards. The Company expects to recognize these costs over a weighted-average period of approximately two years. The Company granted 702,687 restricted stock awards and 308,467 performance stock awards during the six months ended June 30, 2024. For the six months ended June 30, 2024, the weighted average grant date fair value for restricted stock awards and performance stock units granted was $34.90 and $36.22 per award, respectively.</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Separation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27, 2024, the Company announced that Mr. De Witte would retire from his position as President and Chief Executive Officer and director of the Company following the completion of a succession process and entered into a letter agreement with Mr. De Witte to modify his current employment agreement and put forth the form of a post-employment consulting agreement. The Company applied modification accounting to the outstanding equity-based awards granted to Mr. De Witte as of that date, which revalued and accelerated stock-based compensation associated with equity-based awards granted to him over his expected service period to the Company. Pursuant to this letter agreement, Mr. De Witte’s unvested equity-based awards will continue to vest during his continued service period to the Company and vested stock options were modified such that they will remain exercisable until the lesser of (a) the stated term of the stock options and (b) six months following his cessation of continued service to the Company. As a result of the modifications, the Company recorded incremental stock-based compensation expense of $0.8 million during the six months ended June 30, 2024. The Company will record a total of $1.9 million in accelerated stock-based compensation expenses for the twelve months ended 2024 that would not have been recognized if Mr. De Witte had not announced his retirement from Integra.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RETIREMENT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defined benefit pension plans that cover certain employees in France, Japan, Germany and Switzerland.</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periodic benefit costs for the Company’s defined benefit pension plans for the three and six months ended June 30, 2024 were $0.4 million and $0.9 million. The components of the net periodic benefit costs other than the service cost component of $0.8 million and $1.6 million for the three and six months ended June 30, 2024 are included in other income, net in the consolidated statements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benefit costs for the Company’s defined benefit pension plans for the three and six months June 30, 2023 were $0.3 million and $0.6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periodic benefit costs other than the service cost component of $0.5 million and $1.1 million for the three and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 are included in other income, net in the consolidated statements of operations.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fair values of plan assets were $41.7 million and $45.7 million as of June 30, 2024 and December 31, 2023, respectively. The net plan assets of the pension plans are invested in common trusts as of June 30, 2024 and December 31, 2023.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a Deferred Compensation Plan in which certain employees of the Company may defer the payment and taxation of up to 75% of their base salary and up to 100% of bonus amounts and other eligible cash compensation.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deferred compensation is invested in funds offered under this plan and is valued based on Level 1 measurements in the fair value hierarchy. Assets of the Company’s deferred compensation plan are included in other current assets and recorded at fair value based on their quoted market prices. The fair value of these assets were $6.0 million and $6.1 million as of June 30, 2024 and December 31, 2023, respectively. Offsetting liabilities relating to the deferred compensation plan are included in other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 AND RELATED PARTY LEASES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administrative, manufacturing, research and distribution facilities, and vehicles through operating lease agreements. The Company has no finance leases as of June 30, 2024. Many of the Company’s leases include both lease (e.g., fixed payments including rent) and non-lease components (e.g., common-area or other maintenance costs). For vehicles, the Company has elected the practical expedient to group lease and non-lease components.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facility leases include one or more options to renew. The exercise of lease renewal options is typically at the Company’s sole discretion, therefore, the majority of renewals to extend the lease terms are not included in the Right of Use (“ROU”) assets and lease liabilities as they are not reasonably certain of exercise. The Company regularly evaluates renewal options and when they are reasonably certain of exercise, the renewal period is included in the lease term.</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uses a collateralized incremental borrowing rate based on the information available at the lease commencement date in determining the present value of the lease payments.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operating lease expense for the six months ended June 30, 2024 and June 30, 2023 was $12.8 million and $11.8 million, respectively, which includes $0.1 million, in related party operating lease expense.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were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 except lease term and discount rate</w:t>
            </w:r>
          </w:p>
        </w:tc>
        <w:tc>
          <w:tcPr>
            <w:tcW w:w="420" w:type="dxa"/>
            <w:vAlign w:val="bottom"/>
          </w:tcPr>
          <w:p>
            <w:pPr>
              <w:spacing w:after="0"/>
              <w:rPr>
                <w:sz w:val="16"/>
                <w:szCs w:val="16"/>
                <w:color w:val="auto"/>
              </w:rPr>
            </w:pPr>
          </w:p>
        </w:tc>
        <w:tc>
          <w:tcPr>
            <w:tcW w:w="19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20" w:type="dxa"/>
            <w:vAlign w:val="bottom"/>
          </w:tcPr>
          <w:p>
            <w:pPr>
              <w:spacing w:after="0"/>
              <w:rPr>
                <w:sz w:val="16"/>
                <w:szCs w:val="16"/>
                <w:color w:val="auto"/>
              </w:rPr>
            </w:pPr>
          </w:p>
        </w:tc>
        <w:tc>
          <w:tcPr>
            <w:tcW w:w="194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 assets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147,472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156,184</w:t>
            </w:r>
          </w:p>
        </w:tc>
      </w:tr>
      <w:tr>
        <w:trPr>
          <w:trHeight w:val="270"/>
        </w:trPr>
        <w:tc>
          <w:tcPr>
            <w:tcW w:w="6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lease liabilities</w:t>
            </w:r>
          </w:p>
        </w:tc>
        <w:tc>
          <w:tcPr>
            <w:tcW w:w="42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14,613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15,284</w:t>
            </w:r>
          </w:p>
        </w:tc>
      </w:tr>
      <w:tr>
        <w:trPr>
          <w:trHeight w:val="21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lease liabilities</w:t>
            </w:r>
          </w:p>
        </w:tc>
        <w:tc>
          <w:tcPr>
            <w:tcW w:w="4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169,561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166,849</w:t>
            </w:r>
          </w:p>
        </w:tc>
      </w:tr>
      <w:tr>
        <w:trPr>
          <w:trHeight w:val="23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lease liabilities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184,174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182,133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4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Leased facilities</w:t>
            </w:r>
          </w:p>
        </w:tc>
        <w:tc>
          <w:tcPr>
            <w:tcW w:w="42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16.4 years</w:t>
            </w: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 years</w:t>
            </w:r>
          </w:p>
        </w:tc>
      </w:tr>
      <w:tr>
        <w:trPr>
          <w:trHeight w:val="21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Leased vehicles</w:t>
            </w:r>
          </w:p>
        </w:tc>
        <w:tc>
          <w:tcPr>
            <w:tcW w:w="4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 years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years</w:t>
            </w:r>
          </w:p>
        </w:tc>
      </w:tr>
      <w:tr>
        <w:trPr>
          <w:trHeight w:val="270"/>
        </w:trPr>
        <w:tc>
          <w:tcPr>
            <w:tcW w:w="6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4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Leased facilities</w:t>
            </w:r>
          </w:p>
        </w:tc>
        <w:tc>
          <w:tcPr>
            <w:tcW w:w="4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21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Leased vehicles</w:t>
            </w:r>
          </w:p>
        </w:tc>
        <w:tc>
          <w:tcPr>
            <w:tcW w:w="4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six months ended June 30, 2024 and 2023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6"/>
                <w:szCs w:val="16"/>
                <w:color w:val="auto"/>
              </w:rPr>
            </w:pPr>
          </w:p>
        </w:tc>
        <w:tc>
          <w:tcPr>
            <w:tcW w:w="140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54"/>
        </w:trPr>
        <w:tc>
          <w:tcPr>
            <w:tcW w:w="78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9,505</w:t>
            </w:r>
          </w:p>
        </w:tc>
        <w:tc>
          <w:tcPr>
            <w:tcW w:w="0" w:type="dxa"/>
            <w:vAlign w:val="bottom"/>
          </w:tcPr>
          <w:p>
            <w:pPr>
              <w:spacing w:after="0"/>
              <w:rPr>
                <w:sz w:val="1"/>
                <w:szCs w:val="1"/>
                <w:color w:val="auto"/>
              </w:rPr>
            </w:pPr>
          </w:p>
        </w:tc>
      </w:tr>
      <w:tr>
        <w:trPr>
          <w:trHeight w:val="273"/>
        </w:trPr>
        <w:tc>
          <w:tcPr>
            <w:tcW w:w="78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ROU assets obtained in exchange for lease liabilities, net of modifications: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7,582</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operating leases at June 30, 2024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22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Third Parties</w:t>
            </w:r>
          </w:p>
        </w:tc>
        <w:tc>
          <w:tcPr>
            <w:tcW w:w="360" w:type="dxa"/>
            <w:vAlign w:val="bottom"/>
          </w:tcPr>
          <w:p>
            <w:pPr>
              <w:spacing w:after="0"/>
              <w:rPr>
                <w:sz w:val="16"/>
                <w:szCs w:val="16"/>
                <w:color w:val="auto"/>
              </w:rPr>
            </w:pPr>
          </w:p>
        </w:tc>
        <w:tc>
          <w:tcPr>
            <w:tcW w:w="118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2024</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11,884</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22,768</w:t>
            </w:r>
          </w:p>
        </w:tc>
      </w:tr>
      <w:tr>
        <w:trPr>
          <w:trHeight w:val="21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20,693</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19,386</w:t>
            </w:r>
          </w:p>
        </w:tc>
      </w:tr>
      <w:tr>
        <w:trPr>
          <w:trHeight w:val="21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17,267</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16,414</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164,718</w:t>
            </w:r>
          </w:p>
        </w:tc>
      </w:tr>
      <w:tr>
        <w:trPr>
          <w:trHeight w:val="212"/>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271,552</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273,130</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88,956</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184,174</w:t>
            </w:r>
          </w:p>
        </w:tc>
      </w:tr>
      <w:tr>
        <w:trPr>
          <w:trHeight w:val="21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lease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14,613</w:t>
            </w:r>
          </w:p>
        </w:tc>
      </w:tr>
      <w:tr>
        <w:trPr>
          <w:trHeight w:val="210"/>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future minimum lease payments under finance leases at June 30,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one of its manufacturing facilities in Plainsboro, New Jersey, from a general partnership that is 50% owned by a principal stockholder of the Company. The term of the current lease agreement is through October 31, 2029 at an annual rate of approximately $0.3 million.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Impairment Charge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June 30, 2024, the Company approved a plan to transition the commercial distribution of PriMatrix® and SurgiMend® from the Boston facility to the Company’s manufacturing facility in Braintree, Massachusetts and permanently cease use of the Boston facility. As a result, the Company recorded a $4.6 million impairment charge for the three months ended June 30, 2024 as the carrying amounts of the operating lease right-of-use asset and fixed assets related to the Boston facility exceeded their fair values based on the Company’s estimates of future discounted cash flows through the end of the lease term and the end of their remaining useful lives, respectively. The $4.6 million impairment charge was comprised of a $1.7 million impairment of an operating lease right-of-use asset and a $2.9 million write-off of fixed assets, which was recorded as a component of cost of goods sold in the condensed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TREASURY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there were 14.0 million and 12.8 million shares of treasury stock outstanding with a cost of $680.8 million and $647.3 million, at a weighted average cost per share of $48.60 and $50.76, respectively.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16, 2024, the Company entered into a $50 million accelerated share repurchase (“May 2024 ASR”) and received 1.3 million shares of common stock at inception of the May 2024 ASR, which represented approximately 70% of the expected total shares under the May 2024 ASR. The remaining repurchase transactions are expected to be completed in the third quarter of 2024.</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15, 2023, the Company entered into a $125 million accelerated share repurchase (“August 2023 ASR”) and received 2.3 million shares of common stock at inception of the August 2023 ASR, which represented approximately 80% of the expected total shares under the August 2023 ASR. On October 18, 2023 the early exercise provision was exercised by the August 2023 ASR counterparty. The Company received an additional 0.9 million shares determined using the volume-weighted average price of the Company’s common stock during the term of the August 2023 ASR.</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26, 2023, the Company entered into a $150 million accelerated share repurchase (“January 2023 ASR”) and received 2.1 million shares of common stock at inception of the January 2023 ASR, which represented approximately 80% of the expected total shares under the January 2023 ASR. The settlement of the January 2023 ASR agreement was completed in the second quarter of 2023, where the Company received 0.6 million shares, determined using the volume-weighted average price of the Company’s common stock during the term of the January 2023 ASR.</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“Inflation Act”) was signed into law. The Inflation Act implements a new excise tax of 1% on the net share repurchases made by the Company effective for share repurchases performed January 1, 2023, or after.</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18, 2023, the Board of Directors authorized a new $225 million share repurchase program, replacing the existing $225 million program authorized in April 2022, under which $75 million remained authorized at the time of its replacement. As of June 30, 2024, $50 million remained authorized. The program authorized in July 2023 allows the Company to repurchase its shares opportunistically from time to time. The Company may utilize various methods to effect any repurchases, including open market transactions, privately negotiated transactions, transactions structured through investment banking institutions, including accelerated share repurchases, or a combination of the foregoing, some of which may be effected through Rule 10b5-1 plans.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 and such repurchases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effective tax rate: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40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560" w:type="dxa"/>
            <w:vAlign w:val="bottom"/>
            <w:gridSpan w:val="3"/>
          </w:tcPr>
          <w:p>
            <w:pPr>
              <w:jc w:val="right"/>
              <w:ind w:right="86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2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90"/>
        </w:trPr>
        <w:tc>
          <w:tcPr>
            <w:tcW w:w="428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tax rate</w:t>
            </w:r>
          </w:p>
        </w:tc>
        <w:tc>
          <w:tcPr>
            <w:tcW w:w="1600" w:type="dxa"/>
            <w:vAlign w:val="bottom"/>
            <w:tcBorders>
              <w:bottom w:val="single" w:sz="8" w:color="auto"/>
            </w:tcBorders>
            <w:shd w:val="clear" w:color="auto" w:fill="CCEEFF"/>
          </w:tcPr>
          <w:p>
            <w:pPr>
              <w:jc w:val="right"/>
              <w:ind w:right="525"/>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504"/>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23.2 %</w:t>
            </w: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rates for the three months ended June 30, 2024 and 2023 were 18.3% and (9.4)%, respectively. For the three months ended June 30, 2024, the higher tax rate is primarily driven by lower three month book income as compared to the previous year. For the three months ended June 30, 2023, the lower rate was partially driven by a $1.1 million benefit associated with the Federal R&amp;D credit.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rates for the six months ended June 30, 2024 and 2023 were 23.2% and 15.5%, respectively. For the six months ended June 30, 2024, the higher tax rate is primarily driven by lower book income and a $1.7 million shortfall from stock-based compensation, as compared to the prior year. For the six months ended June 30, 2023, the lower tax rate was primarily due to a $1.1 million benefit associated with the Federal R&amp;D credit, offset by $0.3 million shortfall from stock-based compensation.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to income tax laws and regulations, in any of the tax jurisdictions in which the Company operates, could impact the effective tax rate. Various governments, both U.S. and non-U.S., are increasingly focused on tax reform and revenue-raising legislation. On August 16, 2022, the Inflation Act was signed into law. The Company did not experience a material impact on the Company’s effective tax rate under the Inflation Act. Further, legislation in foreign jurisdictions may be enacted, in continued response to the base erosion and profit-sharing (“BEPS”) project begun by the Organization for Economic Cooperation and Development (“OECD”).</w:t>
      </w:r>
    </w:p>
    <w:p>
      <w:pPr>
        <w:spacing w:after="0" w:line="7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OECD released model rules related to a new 15% global minimum tax regime (“Pillar 2”). Several of the jurisdictions that the Company operates in have already adopted some form of the model rules, which could impact the amount of taxes that the Company pays after 2023. However, the rules are complex and provide for delays for implementing the tax during the early transition years, if certain conditions are met. At this time, the Company is projecting an immaterial amount related to Pillar 2 tax liability for the 2024 year. Such changes in U.S. and Non-U.S. jurisdictions could have an adverse effect on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income per share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600" w:type="dxa"/>
            <w:vAlign w:val="bottom"/>
            <w:gridSpan w:val="4"/>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5240" w:type="dxa"/>
            <w:vAlign w:val="bottom"/>
            <w:tcBorders>
              <w:bottom w:val="single" w:sz="8" w:color="CCEEFF"/>
            </w:tcBorders>
            <w:gridSpan w:val="3"/>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2320" w:type="dxa"/>
            <w:vAlign w:val="bottom"/>
            <w:tcBorders>
              <w:bottom w:val="single" w:sz="8" w:color="auto"/>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Basic net (loss) income per share:</w:t>
            </w:r>
          </w:p>
        </w:tc>
        <w:tc>
          <w:tcPr>
            <w:tcW w:w="2920" w:type="dxa"/>
            <w:vAlign w:val="bottom"/>
            <w:tcBorders>
              <w:bottom w:val="single" w:sz="8" w:color="CCEEFF"/>
            </w:tcBorders>
            <w:gridSpan w:val="2"/>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(12,402)</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4,184</w:t>
            </w:r>
          </w:p>
        </w:tc>
        <w:tc>
          <w:tcPr>
            <w:tcW w:w="1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77,409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80,966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net (loss) income per common share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Diluted net (loss) income per share:</w:t>
            </w:r>
          </w:p>
        </w:tc>
        <w:tc>
          <w:tcPr>
            <w:tcW w:w="27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4,184</w:t>
            </w:r>
          </w:p>
        </w:tc>
        <w:tc>
          <w:tcPr>
            <w:tcW w:w="1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(15,683)</w:t>
            </w:r>
          </w:p>
        </w:tc>
        <w:tc>
          <w:tcPr>
            <w:tcW w:w="1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28,410</w:t>
            </w:r>
          </w:p>
        </w:tc>
        <w:tc>
          <w:tcPr>
            <w:tcW w:w="0" w:type="dxa"/>
            <w:vAlign w:val="bottom"/>
          </w:tcPr>
          <w:p>
            <w:pPr>
              <w:spacing w:after="0"/>
              <w:rPr>
                <w:sz w:val="1"/>
                <w:szCs w:val="1"/>
                <w:color w:val="auto"/>
              </w:rPr>
            </w:pPr>
          </w:p>
        </w:tc>
      </w:tr>
      <w:tr>
        <w:trPr>
          <w:trHeight w:val="259"/>
        </w:trPr>
        <w:tc>
          <w:tcPr>
            <w:tcW w:w="2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7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3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77,409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80,966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81,418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Stock options and restricted stock</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52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shares for diluted earnings per share</w:t>
            </w: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77,409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81,151</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77,572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81,739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(loss) income per common share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common shares outstanding during the period. Diluted earnings per share is computed based on the weighted-average common shares outstanding plus the effect of dilutive potential common shares outstanding during the period calculated using the treasury stock method. Dilutive potential common shares include employee equity share options, non-vested shares, and similar equity instruments granted by the Company. Potential common share equivalents have been excluded where their inclusion would be anti-dilutive.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Common stock of approximately 1.3 million and 0.6 million shares at June 30, 2024, and 2023, respectively, were not included in the computation of diluted net (loss) income per share because their effect would have been anti-dilutive.</w:t>
      </w:r>
    </w:p>
    <w:p>
      <w:pPr>
        <w:spacing w:after="0" w:line="158" w:lineRule="exact"/>
        <w:rPr>
          <w:sz w:val="20"/>
          <w:szCs w:val="20"/>
          <w:color w:val="auto"/>
        </w:rPr>
      </w:pPr>
    </w:p>
    <w:p>
      <w:pPr>
        <w:ind w:right="47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14. ACCUMULATED OTHER COMPREHENSIVE (LOSS) INCOME </w:t>
      </w:r>
      <w:r>
        <w:rPr>
          <w:rFonts w:ascii="Times New Roman" w:cs="Times New Roman" w:eastAsia="Times New Roman" w:hAnsi="Times New Roman"/>
          <w:sz w:val="18"/>
          <w:szCs w:val="18"/>
          <w:color w:val="auto"/>
        </w:rPr>
        <w:t>Comprehensive (loss) income for the three and six months ended June 30, 2024 and 2023:</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6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9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28,410</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(10,029)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(6,838)</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unrealized loss/(gain) on derivatives, net of tax</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Pension liability adjustment, net of tax</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3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income, net</w:t>
            </w: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(20,482)</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(loss) income by component between December 31, 2023 and June 30, 2024 are presented in the table below, net of tax:</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Gains and Losses</w:t>
            </w:r>
          </w:p>
        </w:tc>
        <w:tc>
          <w:tcPr>
            <w:tcW w:w="12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8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80" w:type="dxa"/>
            <w:vAlign w:val="bottom"/>
          </w:tcPr>
          <w:p>
            <w:pPr>
              <w:spacing w:after="0"/>
              <w:rPr>
                <w:sz w:val="13"/>
                <w:szCs w:val="13"/>
                <w:color w:val="auto"/>
              </w:rPr>
            </w:pPr>
          </w:p>
        </w:tc>
        <w:tc>
          <w:tcPr>
            <w:tcW w:w="90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6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120" w:type="dxa"/>
            <w:vAlign w:val="bottom"/>
          </w:tcPr>
          <w:p>
            <w:pPr>
              <w:spacing w:after="0"/>
              <w:rPr>
                <w:sz w:val="9"/>
                <w:szCs w:val="9"/>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Pension Items</w:t>
            </w:r>
          </w:p>
        </w:tc>
        <w:tc>
          <w:tcPr>
            <w:tcW w:w="11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Currency Items</w:t>
            </w:r>
          </w:p>
        </w:tc>
        <w:tc>
          <w:tcPr>
            <w:tcW w:w="2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6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21,489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(39,307)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(15,106)</w:t>
            </w:r>
          </w:p>
        </w:tc>
        <w:tc>
          <w:tcPr>
            <w:tcW w:w="0" w:type="dxa"/>
            <w:vAlign w:val="bottom"/>
          </w:tcPr>
          <w:p>
            <w:pPr>
              <w:spacing w:after="0"/>
              <w:rPr>
                <w:sz w:val="1"/>
                <w:szCs w:val="1"/>
                <w:color w:val="auto"/>
              </w:rPr>
            </w:pPr>
          </w:p>
        </w:tc>
      </w:tr>
      <w:tr>
        <w:trPr>
          <w:trHeight w:val="213"/>
        </w:trPr>
        <w:tc>
          <w:tcPr>
            <w:tcW w:w="6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gain (loss)</w:t>
            </w:r>
          </w:p>
        </w:tc>
        <w:tc>
          <w:tcPr>
            <w:tcW w:w="1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39,109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34,743</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Less: Amounts reclassified from accumulated other comprehensive income, net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34,779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38,363</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Net current-period other comprehensive gain (loss)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4,330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25,819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(47,252)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(18,726)</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the Company reclassified a gain of $26.9 million and $11.5 million from accumulated other comprehensive income to other income, net and interest income,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AND GEOGRAPHIC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internally manages two global reportable segments and reports the results of its businesses to its chief operating decision maker.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two reportable segments and their activities are described below.</w:t>
      </w:r>
    </w:p>
    <w:p>
      <w:pPr>
        <w:spacing w:after="0" w:line="99" w:lineRule="exact"/>
        <w:rPr>
          <w:sz w:val="20"/>
          <w:szCs w:val="20"/>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(ii) the Instruments business, which sells more than 40,000 instrument patterns and surgical and lighting products to hospitals, surgery centers, dental, podiatry, and veterinary offices; and (iii) the ENT business, which includes instrumentation, balloon technologies for sinus dilation and eustachian tube dilation, as well as surgical navigation systems.</w:t>
      </w:r>
    </w:p>
    <w:p>
      <w:pPr>
        <w:spacing w:after="0" w:line="7" w:lineRule="exact"/>
        <w:rPr>
          <w:rFonts w:ascii="Times New Roman" w:cs="Times New Roman" w:eastAsia="Times New Roman" w:hAnsi="Times New Roman"/>
          <w:sz w:val="18"/>
          <w:szCs w:val="18"/>
          <w:color w:val="auto"/>
        </w:rPr>
      </w:pPr>
    </w:p>
    <w:p>
      <w:pPr>
        <w:ind w:left="660" w:right="40" w:hanging="328"/>
        <w:spacing w:after="0" w:line="238" w:lineRule="auto"/>
        <w:tabs>
          <w:tab w:leader="none" w:pos="653" w:val="left"/>
        </w:tabs>
        <w:numPr>
          <w:ilvl w:val="0"/>
          <w:numId w:val="7"/>
        </w:numPr>
        <w:rPr>
          <w:rFonts w:ascii="Calibri" w:cs="Calibri" w:eastAsia="Calibri" w:hAnsi="Calibri"/>
          <w:sz w:val="20"/>
          <w:szCs w:val="20"/>
          <w:color w:val="auto"/>
        </w:rPr>
      </w:pPr>
      <w:r>
        <w:rPr>
          <w:rFonts w:ascii="Times New Roman" w:cs="Times New Roman" w:eastAsia="Times New Roman" w:hAnsi="Times New Roman"/>
          <w:sz w:val="18"/>
          <w:szCs w:val="18"/>
          <w:color w:val="auto"/>
        </w:rPr>
        <w:t>The Tissue Technologies segment consists of the Wound Reconstruction and Care business, which includes offerings such as skin and wound repair products, plastics and surgical reconstruction products, bone grafts, and nerve and tendon repair products. The Tissue Technologies segment includes the Company’s private label business.</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Corporate and other category includes (i) various executive, finance, human resource, information systems and legal functions, (ii) brand management, and (iii) share-based compensation costs.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each reportable segment for the three and six months ended June 30, 2024 and 2023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3280" w:type="dxa"/>
            <w:vAlign w:val="bottom"/>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2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Net Sales</w:t>
            </w:r>
          </w:p>
        </w:tc>
        <w:tc>
          <w:tcPr>
            <w:tcW w:w="4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Codman Specialty Surgical</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301,761</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271,030</w:t>
            </w:r>
          </w:p>
        </w:tc>
        <w:tc>
          <w:tcPr>
            <w:tcW w:w="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558,195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519,166</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Tissue Technologies</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116,414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110,237</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228,852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242,947</w:t>
            </w:r>
          </w:p>
        </w:tc>
        <w:tc>
          <w:tcPr>
            <w:tcW w:w="0" w:type="dxa"/>
            <w:vAlign w:val="bottom"/>
          </w:tcPr>
          <w:p>
            <w:pPr>
              <w:spacing w:after="0"/>
              <w:rPr>
                <w:sz w:val="1"/>
                <w:szCs w:val="1"/>
                <w:color w:val="auto"/>
              </w:rPr>
            </w:pPr>
          </w:p>
        </w:tc>
      </w:tr>
      <w:tr>
        <w:trPr>
          <w:trHeight w:val="207"/>
        </w:trPr>
        <w:tc>
          <w:tcPr>
            <w:tcW w:w="3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418,175</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381,267</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787,047</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762,113</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Profit</w:t>
            </w:r>
          </w:p>
        </w:tc>
        <w:tc>
          <w:tcPr>
            <w:tcW w:w="4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Codman Specialty Surgical</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164,141</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116,341</w:t>
            </w:r>
          </w:p>
        </w:tc>
        <w:tc>
          <w:tcPr>
            <w:tcW w:w="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267,633</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227,274</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Tissue Technologies</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67,853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60,343</w:t>
            </w:r>
          </w:p>
        </w:tc>
        <w:tc>
          <w:tcPr>
            <w:tcW w:w="0" w:type="dxa"/>
            <w:vAlign w:val="bottom"/>
          </w:tcPr>
          <w:p>
            <w:pPr>
              <w:spacing w:after="0"/>
              <w:rPr>
                <w:sz w:val="1"/>
                <w:szCs w:val="1"/>
                <w:color w:val="auto"/>
              </w:rPr>
            </w:pPr>
          </w:p>
        </w:tc>
      </w:tr>
      <w:tr>
        <w:trPr>
          <w:trHeight w:val="207"/>
        </w:trPr>
        <w:tc>
          <w:tcPr>
            <w:tcW w:w="3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Segment profit</w:t>
            </w:r>
          </w:p>
        </w:tc>
        <w:tc>
          <w:tcPr>
            <w:tcW w:w="4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201,328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124,403</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335,486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287,617</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(6,134)</w:t>
            </w:r>
          </w:p>
        </w:tc>
        <w:tc>
          <w:tcPr>
            <w:tcW w:w="0" w:type="dxa"/>
            <w:vAlign w:val="bottom"/>
          </w:tcPr>
          <w:p>
            <w:pPr>
              <w:spacing w:after="0"/>
              <w:rPr>
                <w:sz w:val="1"/>
                <w:szCs w:val="1"/>
                <w:color w:val="auto"/>
              </w:rPr>
            </w:pPr>
          </w:p>
        </w:tc>
      </w:tr>
      <w:tr>
        <w:trPr>
          <w:trHeight w:val="213"/>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(200,650)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(108,873)</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(320,737)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(232,597)</w:t>
            </w:r>
          </w:p>
        </w:tc>
        <w:tc>
          <w:tcPr>
            <w:tcW w:w="0" w:type="dxa"/>
            <w:vAlign w:val="bottom"/>
          </w:tcPr>
          <w:p>
            <w:pPr>
              <w:spacing w:after="0"/>
              <w:rPr>
                <w:sz w:val="1"/>
                <w:szCs w:val="1"/>
                <w:color w:val="auto"/>
              </w:rPr>
            </w:pPr>
          </w:p>
        </w:tc>
      </w:tr>
      <w:tr>
        <w:trPr>
          <w:trHeight w:val="234"/>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12,504</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48,886</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allocate any assets to the reportable segments. No asset information is reported to the chief operating decision maker and disclosed in the financial information for each segment. The Company attributes revenues to geographic areas based on the location of the customer. Total revenue by major geographic area consisted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3060" w:type="dxa"/>
            <w:vAlign w:val="bottom"/>
            <w:gridSpan w:val="4"/>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00" w:type="dxa"/>
            <w:vAlign w:val="bottom"/>
            <w:gridSpan w:val="4"/>
          </w:tcPr>
          <w:p>
            <w:pPr>
              <w:jc w:val="right"/>
              <w:ind w:right="94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6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140" w:type="dxa"/>
            <w:vAlign w:val="bottom"/>
            <w:shd w:val="clear" w:color="auto" w:fill="CCEEFF"/>
          </w:tcPr>
          <w:p>
            <w:pPr>
              <w:jc w:val="right"/>
              <w:ind w:right="96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310,225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276,782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566,454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547,784</w:t>
            </w: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82,285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78,516</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98,179</w:t>
            </w:r>
          </w:p>
        </w:tc>
        <w:tc>
          <w:tcPr>
            <w:tcW w:w="0" w:type="dxa"/>
            <w:vAlign w:val="bottom"/>
          </w:tcPr>
          <w:p>
            <w:pPr>
              <w:spacing w:after="0"/>
              <w:rPr>
                <w:sz w:val="1"/>
                <w:szCs w:val="1"/>
                <w:color w:val="auto"/>
              </w:rPr>
            </w:pPr>
          </w:p>
        </w:tc>
      </w:tr>
      <w:tr>
        <w:trPr>
          <w:trHeight w:val="213"/>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1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21,310</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19,327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42,812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37,634</w:t>
            </w:r>
          </w:p>
        </w:tc>
        <w:tc>
          <w:tcPr>
            <w:tcW w:w="0" w:type="dxa"/>
            <w:vAlign w:val="bottom"/>
          </w:tcPr>
          <w:p>
            <w:pPr>
              <w:spacing w:after="0"/>
              <w:rPr>
                <w:sz w:val="1"/>
                <w:szCs w:val="1"/>
                <w:color w:val="auto"/>
              </w:rPr>
            </w:pPr>
          </w:p>
        </w:tc>
      </w:tr>
      <w:tr>
        <w:trPr>
          <w:trHeight w:val="234"/>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140" w:type="dxa"/>
            <w:vAlign w:val="bottom"/>
            <w:tcBorders>
              <w:bottom w:val="single" w:sz="8" w:color="auto"/>
            </w:tcBorders>
            <w:shd w:val="clear" w:color="auto" w:fill="CCEEFF"/>
          </w:tcPr>
          <w:p>
            <w:pPr>
              <w:jc w:val="right"/>
              <w:ind w:right="96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418,175</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381,267</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787,047</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762,113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its business, the Company is involved in, from time to time, various legal actions, including any matters described below, involving product liability, employment, intellectual property and commercial disputes, shareholder related matters, environmental proceedings, tax disputes, and governmental proceedings and investigations, some of which have been settled by the Company. In the opinion of management, such matters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accrues for loss contingencies when it is deemed probable that a loss has been incurred and that loss is estimable. If the reasonable estimate of a probable loss is a range, and no amount within the range is a better estimate than any other, the minimum amount of the range is recorded. In most cases, significant judgment is required to estimate the amount and timing of a loss to be recorded and actual results may differ from these estimates.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21, 2023, Fortis Advisors, LLC (representative of the security holders of ACell, Inc. (“ACell”)) filed for arbitration against Integra Life Sciences claiming breach of contract related to the earnout consideration from the 2021 acquisition of ACell. Refer below for additional information on the ACell contingent considerations. The Company believes that it has strong defenses to the allegations in the arbitration and intends to defend the matter vigorously.</w:t>
      </w:r>
    </w:p>
    <w:p>
      <w:pPr>
        <w:spacing w:after="0" w:line="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September 12, 2023, a securities class action complaint, captioned </w:t>
      </w:r>
      <w:r>
        <w:rPr>
          <w:rFonts w:ascii="Times New Roman" w:cs="Times New Roman" w:eastAsia="Times New Roman" w:hAnsi="Times New Roman"/>
          <w:sz w:val="18"/>
          <w:szCs w:val="18"/>
          <w:i w:val="1"/>
          <w:iCs w:val="1"/>
          <w:color w:val="auto"/>
        </w:rPr>
        <w:t>Pembroke Pines Firefighters &amp; Police Officers Pension Fund v. Integra LifeSciences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Corporation</w:t>
      </w:r>
      <w:r>
        <w:rPr>
          <w:rFonts w:ascii="Times New Roman" w:cs="Times New Roman" w:eastAsia="Times New Roman" w:hAnsi="Times New Roman"/>
          <w:sz w:val="18"/>
          <w:szCs w:val="18"/>
          <w:color w:val="auto"/>
        </w:rPr>
        <w:t>, No. 23-cv-20321 (D.N.J.), was filed by a purported stockholder of the Company in the United States District Court for the District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Jersey (the “Pembroke Litigation”) against the Company and certain of the Company’s current and former executive officers. The Pembroke Litigation, filed on behalf of a putative class of stockholders who purchased or acquired the Company’s common stock between March 11, 2019 and May 22, 2023, inclusive, alleges violations of Sections 10(b) and 20(a) of the Securities Exchange Act of 1934, as amended, and Rule 10b-5 promulgated thereunder, on the basis of purportedly materially false and misleading statements and omissions relating to certain quality systems issues identified by the U.S. Food and Drug Administration at the Company’s Boston, Massachusetts manufacturing facility, the Company’s efforts to remediate those issues, and the Company’s forecasts for certain products in its Tissue Technologies segment. The complaint seeks, among other things, compensatory damages, attorneys’ fees, expert fees, and other costs. The Company believes that it has strong defenses to the allegations in the Pembroke Litigation, and intends to defend the matter vigorously.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March 17, 2021, a complaint was filed against the Company in the Court of Common Pleas of Philadelphia County in Pennsylvania asserting product liability claims relating to a surgical procedure in which the Company’s CUSA® Clarity allegedly was used. The plaintiff seeks damages against the Company based upon plaintiff’s claim that the CUSA® Clarity did not function as intended. The plaintiff also asserts separate claims against the surgeon and the hospital. The outcome of this legal action is not within the Company’s control and may not be known for a prolonged period of time. The Company believes it has meritorious defenses and the plaintiff’s claims are adequately covered by insurance. Consequently, this matter is not expected to result in a material, adverse effect on the Company’s financial condition, results of operations and cash flows. Notwithstanding the foregoing, in the event damages exceed the aggregate coverage limits of the Company’s insurance policies, or if the Company’s insurance carriers disclaim coverage, it is possible that costs associated with these claims could have a material impact on the consolidated financial condition, results of operations and cash flows of the Company.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contingent consideration during the six month period ended June 30, 2024 and June 30, 2023 to reflect the change in estimate, additions, payments, transfers and the time value of money during the period.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opening balances to the closing balances of these Level 3 measurements for the six months ended June 30, 2024 and June 30, 2023 is as follows (in thousands):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20" w:type="dxa"/>
            <w:vAlign w:val="bottom"/>
            <w:gridSpan w:val="21"/>
          </w:tcPr>
          <w:p>
            <w:pPr>
              <w:ind w:left="580"/>
              <w:spacing w:after="0"/>
              <w:rPr>
                <w:sz w:val="20"/>
                <w:szCs w:val="20"/>
                <w:color w:val="auto"/>
              </w:rPr>
            </w:pPr>
            <w:r>
              <w:rPr>
                <w:rFonts w:ascii="Times New Roman" w:cs="Times New Roman" w:eastAsia="Times New Roman" w:hAnsi="Times New Roman"/>
                <w:sz w:val="16"/>
                <w:szCs w:val="16"/>
                <w:b w:val="1"/>
                <w:bCs w:val="1"/>
                <w:color w:val="auto"/>
              </w:rPr>
              <w:t>Contingent Consideration Liability Related to Acquisition of:</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7"/>
        </w:trPr>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 in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Surgical</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restart"/>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Derma</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Innovations</w:t>
            </w:r>
          </w:p>
        </w:tc>
        <w:tc>
          <w:tcPr>
            <w:tcW w:w="1640" w:type="dxa"/>
            <w:vAlign w:val="bottom"/>
            <w:vMerge w:val="restart"/>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Location in Financial</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restart"/>
          </w:tcPr>
          <w:p>
            <w:pPr>
              <w:ind w:left="140"/>
              <w:spacing w:after="0" w:line="162" w:lineRule="exact"/>
              <w:rPr>
                <w:sz w:val="20"/>
                <w:szCs w:val="20"/>
                <w:color w:val="auto"/>
              </w:rPr>
            </w:pPr>
            <w:r>
              <w:rPr>
                <w:rFonts w:ascii="Times New Roman" w:cs="Times New Roman" w:eastAsia="Times New Roman" w:hAnsi="Times New Roman"/>
                <w:sz w:val="16"/>
                <w:szCs w:val="16"/>
                <w:b w:val="1"/>
                <w:bCs w:val="1"/>
                <w:color w:val="auto"/>
              </w:rPr>
              <w:t>Arkis</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restart"/>
          </w:tcPr>
          <w:p>
            <w:pPr>
              <w:jc w:val="center"/>
              <w:ind w:lef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Financial</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ind w:left="180"/>
              <w:spacing w:after="0" w:line="162" w:lineRule="exact"/>
              <w:rPr>
                <w:sz w:val="20"/>
                <w:szCs w:val="20"/>
                <w:color w:val="auto"/>
              </w:rPr>
            </w:pPr>
            <w:r>
              <w:rPr>
                <w:rFonts w:ascii="Times New Roman" w:cs="Times New Roman" w:eastAsia="Times New Roman" w:hAnsi="Times New Roman"/>
                <w:sz w:val="16"/>
                <w:szCs w:val="16"/>
                <w:b w:val="1"/>
                <w:bCs w:val="1"/>
                <w:color w:val="auto"/>
              </w:rPr>
              <w:t>ACell</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restart"/>
          </w:tcPr>
          <w:p>
            <w:pPr>
              <w:jc w:val="right"/>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Sciences</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Associates</w:t>
            </w:r>
          </w:p>
        </w:tc>
        <w:tc>
          <w:tcPr>
            <w:tcW w:w="1640" w:type="dxa"/>
            <w:vAlign w:val="bottom"/>
            <w:vMerge w:val="restart"/>
          </w:tcPr>
          <w:p>
            <w:pPr>
              <w:ind w:left="440"/>
              <w:spacing w:after="0" w:line="162" w:lineRule="exact"/>
              <w:rPr>
                <w:sz w:val="20"/>
                <w:szCs w:val="20"/>
                <w:color w:val="auto"/>
              </w:rPr>
            </w:pPr>
            <w:r>
              <w:rPr>
                <w:rFonts w:ascii="Times New Roman" w:cs="Times New Roman" w:eastAsia="Times New Roman" w:hAnsi="Times New Roman"/>
                <w:sz w:val="16"/>
                <w:szCs w:val="16"/>
                <w:b w:val="1"/>
                <w:bCs w:val="1"/>
                <w:color w:val="auto"/>
              </w:rPr>
              <w:t>Statements</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Statements</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3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(SIA), Inc.</w:t>
            </w: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00" w:type="dxa"/>
            <w:vAlign w:val="bottom"/>
          </w:tcPr>
          <w:p>
            <w:pPr>
              <w:spacing w:after="0"/>
              <w:rPr>
                <w:sz w:val="7"/>
                <w:szCs w:val="7"/>
                <w:color w:val="auto"/>
              </w:rPr>
            </w:pPr>
          </w:p>
        </w:tc>
        <w:tc>
          <w:tcPr>
            <w:tcW w:w="35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35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15,755</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2,557</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68,700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5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Payment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52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(934)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Research and</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Selling, general and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administrative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35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14,821</w:t>
            </w:r>
          </w:p>
        </w:tc>
        <w:tc>
          <w:tcPr>
            <w:tcW w:w="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2,632</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00" w:type="dxa"/>
            <w:vAlign w:val="bottom"/>
          </w:tcPr>
          <w:p>
            <w:pPr>
              <w:spacing w:after="0"/>
              <w:rPr>
                <w:sz w:val="6"/>
                <w:szCs w:val="6"/>
                <w:color w:val="auto"/>
              </w:rPr>
            </w:pPr>
          </w:p>
        </w:tc>
        <w:tc>
          <w:tcPr>
            <w:tcW w:w="3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Short-Term</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8,244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19,200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Accrued expenses and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520" w:type="dxa"/>
            <w:vAlign w:val="bottom"/>
            <w:gridSpan w:val="3"/>
            <w:vMerge w:val="continue"/>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60" w:type="dxa"/>
            <w:vAlign w:val="bottom"/>
            <w:gridSpan w:val="3"/>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6,577</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2,632</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3520" w:type="dxa"/>
            <w:vAlign w:val="bottom"/>
            <w:gridSpan w:val="3"/>
          </w:tcPr>
          <w:p>
            <w:pPr>
              <w:ind w:left="3180"/>
              <w:spacing w:after="0"/>
              <w:rPr>
                <w:sz w:val="20"/>
                <w:szCs w:val="20"/>
                <w:color w:val="auto"/>
              </w:rPr>
            </w:pPr>
            <w:r>
              <w:rPr>
                <w:rFonts w:ascii="Times New Roman" w:cs="Times New Roman" w:eastAsia="Times New Roman" w:hAnsi="Times New Roman"/>
                <w:sz w:val="16"/>
                <w:szCs w:val="16"/>
                <w:color w:val="auto"/>
                <w:w w:val="94"/>
              </w:rPr>
              <w:t>Total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14,821</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2,632</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20" w:type="dxa"/>
            <w:vAlign w:val="bottom"/>
            <w:gridSpan w:val="21"/>
          </w:tcPr>
          <w:p>
            <w:pPr>
              <w:ind w:left="560"/>
              <w:spacing w:after="0"/>
              <w:rPr>
                <w:sz w:val="20"/>
                <w:szCs w:val="20"/>
                <w:color w:val="auto"/>
              </w:rPr>
            </w:pPr>
            <w:r>
              <w:rPr>
                <w:rFonts w:ascii="Times New Roman" w:cs="Times New Roman" w:eastAsia="Times New Roman" w:hAnsi="Times New Roman"/>
                <w:sz w:val="16"/>
                <w:szCs w:val="16"/>
                <w:b w:val="1"/>
                <w:bCs w:val="1"/>
                <w:color w:val="auto"/>
              </w:rPr>
              <w:t>Contingent Consideration Liability Related to Acquisition of:</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Location in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Surgical</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3"/>
            <w:vMerge w:val="restart"/>
          </w:tcPr>
          <w:p>
            <w:pPr>
              <w:jc w:val="right"/>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Derma</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Innovations</w:t>
            </w:r>
          </w:p>
        </w:tc>
        <w:tc>
          <w:tcPr>
            <w:tcW w:w="1640" w:type="dxa"/>
            <w:vAlign w:val="bottom"/>
            <w:vMerge w:val="restart"/>
          </w:tcPr>
          <w:p>
            <w:pPr>
              <w:ind w:left="120"/>
              <w:spacing w:after="0" w:line="162" w:lineRule="exact"/>
              <w:rPr>
                <w:sz w:val="20"/>
                <w:szCs w:val="20"/>
                <w:color w:val="auto"/>
              </w:rPr>
            </w:pPr>
            <w:r>
              <w:rPr>
                <w:rFonts w:ascii="Times New Roman" w:cs="Times New Roman" w:eastAsia="Times New Roman" w:hAnsi="Times New Roman"/>
                <w:sz w:val="16"/>
                <w:szCs w:val="16"/>
                <w:b w:val="1"/>
                <w:bCs w:val="1"/>
                <w:color w:val="auto"/>
              </w:rPr>
              <w:t>Location in Financial</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Arkis</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restart"/>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Financial</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right"/>
              <w:ind w:right="3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ACell</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4"/>
            <w:vMerge w:val="restart"/>
          </w:tcPr>
          <w:p>
            <w:pPr>
              <w:jc w:val="right"/>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Sciences</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320" w:type="dxa"/>
            <w:vAlign w:val="bottom"/>
            <w:gridSpan w:val="5"/>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Associates (SIA),</w:t>
            </w:r>
          </w:p>
        </w:tc>
        <w:tc>
          <w:tcPr>
            <w:tcW w:w="1640" w:type="dxa"/>
            <w:vAlign w:val="bottom"/>
            <w:vMerge w:val="restart"/>
          </w:tcPr>
          <w:p>
            <w:pPr>
              <w:ind w:left="480"/>
              <w:spacing w:after="0" w:line="162" w:lineRule="exact"/>
              <w:rPr>
                <w:sz w:val="20"/>
                <w:szCs w:val="20"/>
                <w:color w:val="auto"/>
              </w:rPr>
            </w:pPr>
            <w:r>
              <w:rPr>
                <w:rFonts w:ascii="Times New Roman" w:cs="Times New Roman" w:eastAsia="Times New Roman" w:hAnsi="Times New Roman"/>
                <w:sz w:val="16"/>
                <w:szCs w:val="16"/>
                <w:b w:val="1"/>
                <w:bCs w:val="1"/>
                <w:color w:val="auto"/>
              </w:rPr>
              <w:t>Statements</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Statements</w:t>
            </w:r>
          </w:p>
        </w:tc>
        <w:tc>
          <w:tcPr>
            <w:tcW w:w="100" w:type="dxa"/>
            <w:vAlign w:val="bottom"/>
          </w:tcPr>
          <w:p>
            <w:pPr>
              <w:spacing w:after="0"/>
              <w:rPr>
                <w:sz w:val="7"/>
                <w:szCs w:val="7"/>
                <w:color w:val="auto"/>
              </w:rPr>
            </w:pPr>
          </w:p>
        </w:tc>
        <w:tc>
          <w:tcPr>
            <w:tcW w:w="94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gridSpan w:val="5"/>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6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62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34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2023</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12,895</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57,607</w:t>
            </w:r>
          </w:p>
        </w:tc>
        <w:tc>
          <w:tcPr>
            <w:tcW w:w="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2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3,081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Research and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(2,200)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5,200</w:t>
            </w:r>
          </w:p>
        </w:tc>
        <w:tc>
          <w:tcPr>
            <w:tcW w:w="20" w:type="dxa"/>
            <w:vAlign w:val="bottom"/>
          </w:tcPr>
          <w:p>
            <w:pPr>
              <w:spacing w:after="0"/>
              <w:rPr>
                <w:sz w:val="14"/>
                <w:szCs w:val="14"/>
                <w:color w:val="auto"/>
              </w:rPr>
            </w:pPr>
          </w:p>
        </w:tc>
        <w:tc>
          <w:tcPr>
            <w:tcW w:w="16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Selling, general and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development</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administrative</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6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15,976</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62,807</w:t>
            </w:r>
          </w:p>
        </w:tc>
        <w:tc>
          <w:tcPr>
            <w:tcW w:w="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62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w:t>
            </w:r>
          </w:p>
        </w:tc>
        <w:tc>
          <w:tcPr>
            <w:tcW w:w="1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12,700</w:t>
            </w:r>
          </w:p>
        </w:tc>
        <w:tc>
          <w:tcPr>
            <w:tcW w:w="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Accrued expenses and</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20" w:type="dxa"/>
            <w:vAlign w:val="bottom"/>
            <w:gridSpan w:val="4"/>
            <w:vMerge w:val="continue"/>
            <w:shd w:val="clear" w:color="auto" w:fill="CCEEFF"/>
          </w:tcPr>
          <w:p>
            <w:pPr>
              <w:spacing w:after="0"/>
              <w:rPr>
                <w:sz w:val="18"/>
                <w:szCs w:val="18"/>
                <w:color w:val="auto"/>
              </w:rPr>
            </w:pPr>
          </w:p>
        </w:tc>
        <w:tc>
          <w:tcPr>
            <w:tcW w:w="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11,587</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50,107</w:t>
            </w:r>
          </w:p>
        </w:tc>
        <w:tc>
          <w:tcPr>
            <w:tcW w:w="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00" w:type="dxa"/>
            <w:vAlign w:val="bottom"/>
            <w:shd w:val="clear" w:color="auto" w:fill="CCEEFF"/>
          </w:tcPr>
          <w:p>
            <w:pPr>
              <w:spacing w:after="0"/>
              <w:rPr>
                <w:sz w:val="20"/>
                <w:szCs w:val="20"/>
                <w:color w:val="auto"/>
              </w:rPr>
            </w:pPr>
          </w:p>
        </w:tc>
        <w:tc>
          <w:tcPr>
            <w:tcW w:w="3520" w:type="dxa"/>
            <w:vAlign w:val="bottom"/>
            <w:gridSpan w:val="3"/>
            <w:shd w:val="clear" w:color="auto" w:fill="CCEEFF"/>
          </w:tcPr>
          <w:p>
            <w:pPr>
              <w:ind w:left="302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15,976</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62,807</w:t>
            </w:r>
          </w:p>
        </w:tc>
        <w:tc>
          <w:tcPr>
            <w:tcW w:w="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Arkis BioSciences Inc.</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acquisition of Arkis BioSciences Inc. (“Arkis”), the Company is required to pay the former shareholders of Arkis up to $25.5 million based on the timing of certain development milestones of $10.0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Derma Sciences, Inc.</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assumed contingent consideration incurred by Derma Sciences, Inc. (“Derma Sciences”) related to its acquisitions of BioD, LLC and the intellectual property related to Medihoney® products. The Company accounted for the contingent liabilities by recording the fair value on the date of the acquisition based on a probability weighted income approach. The Company has already paid $33.3 million related to the aforementioned contingent liabilities. One contingent milestone remains which relates to net sales of Medihoney®™ products exceeding certain amounts defined in the agreement between the Company and Derma Sciences. The potential maximum undiscounted payment amounts to $3.0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ACell, Inc.</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acquisition of ACell, the Company is required to make payments to the former shareholders of ACell up to $100 million in total for years 2022, 2023, and 2025 based on the achievement by the Company of certain revenue-based performance milestones. The 2022 and 2023 milestones were not achieved, leaving only one contingent milestone remaining. The Company used iterations of the Monte Carlo simulation to calculate the fair value of the contingent consideration that considered the possible outcomes of scenarios related to each specific milestone. The Company estimated the fair value of the contingent consideration to be $23.9 million at the acquisition date.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Surgical Innovations Associates, Inc.</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acquisition of Surgical Innovations Associates, Inc. (“SIA”), the Company is required to pay to the former shareholders of SIA up to $90.0 million for two separate payments, which are dependent on 1) achieving certain revenue-based performance milestones in 2023, 2024, and 2025 (up to $50.0 million in additional payments), as well as 2) the approval by the FDA of the PMA for DuraSorb for certain uses by certain timing targets (up to $40.0 million in additional payments). In the second quarter of 2024, The Company paid out $12.4 million related to the 2023 performance year. The Company used iterations of the Monte Carlo simulation to calculate the fair value of the contingent consideration for the revenue-based milestone that considered the possible outcomes of scenarios related to each specific milestone for the revenue based performance milestone. The Company used probabilities of achieving the conditions to calculate the fair value of the contingent consideration for the PMA approval milestone. The Company estimated the fair value of the contingent consideration for the revenue based milestone to be $32.6 million at the acquisition date and $25.0 million for the PMA approval milestone at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the Company’s financial condition and results of operations should be read in conjunction with our unaudited condensed consolidated financial statements and the related notes thereto appearing elsewhere in this Quarterly Report on Form 10-Q (this “Quarterly Report”) and our consolidated financial statements included in our Annual Report on Form 10-K for the year ended December 31, 2023.</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made statements in this Quarterly Report that constitute forward-looking statements within the meaning of Section 27A of the Securities Act of 1933, as amended and Section 21E of the Securities Exchange Act of 1934 (the “Exchange Act”). All statements other than statements of historical fact contained in this Quarterly Report, including, but not limited to, statements regarding our business strategy and plans, growth and growth strategies, developments in the markets for our products and services, financial results, development launches and effectiveness, research and development strategy, regulatory approvals, competitive strengths, objectives of management for future operations and current expectations or forecasts of future results, our expectations regarding the Boston facility and the Company’s plans to operationalize its Braintree facility, transition the manufacture of SurgiMend® and PriMatrix® to the Braintree facility, and to obtain pre-market approval of SurgiMend® PRS in implant-based breast reconstruction; restructuring and cost-saving initiatives, intellectual property rights, litigation and tax matters, governmental proceedings and investigations, mergers and acquisitions, divestitures, market acceptance of our products and services, accounting estimates, financing activities, ongoing contractual obligations, working capital adequacy, value of our investments, our effective tax rate, our expected returns to shareholders, and sales efforts, are forward-looking statements. In some cases, these forward-looking statements may be identified by forward-looking words such as “believe,” “may,” “might,” “could,” “will,” “estimate,” “continue,” “anticipate,” “intend,” “seek,” “plan,” “expect,” “should,” “would” or the negative version of these words or other similar words and expressions in this Quarterly Report.</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about the Company and other matters that may cause our actual results, performance, or achievements to be materially different from any future results, performance, or achievements expressed or implied by the forward-looking statements. We believe these risks include but are not limited to those described under the headings “Risk Factors” and “Special Note Regarding Forward-Looking Statements” in our Annual Report on Form 10-K for the year ended December 31, 2023 and in this Quarterly Report, as such factors may be updated from time to time in our periodic filings with the Securities and Exchange Commission (the “SEC”), which are accessible on the SEC’s website at https://www.sec.gov. Such risks and uncertainties include, but are not limited, to the following: the ongoing and possible future effects of global challenges, including macroeconomic uncertainties, inflation, supply chain disruptions, trade regulation and tariffs, other economic disruptions and U.S. and global recession concerns, on the Company’s customers and on the Company’s business, financial condition, results of operations and cash flows; the Company's ability to execute its operating plan effectively; the Company’s ability to successfully integrate acquired businesses; the Company’s ability to achieve sales growth in a timely fashion; the Company’s ability to manufacture and ship sufficient quantities of its products to meet its customers’ demands; the ability of third-party suppliers to supply us with raw materials and finished products; global macroeconomic and political conditions, including the war in Ukraine and the conflict in Israel and Gaza; the Company’s ability to manage its direct sales channels effectively; the sales performance of third-party distributors on whom the Company relies to generate revenue for certain products and geographic regions; the Company’s ability to access and maintain relationships with customers of acquired entities and businesses; physicians’ willingness to adopt and third-party payors’ willingness to provide or maintain reimbursement for the Company’s recently launched, planned and existing products; initiatives launched by the Company's competitors; downward pricing pressures from customers; the Company's ability to secure regulatory approval for products in development; the Company’s ability to remediate quality systems violations; difficulties or delays in obtaining and maintaining required regulatory approvals related to the transition of the manufacturing to the Braintree facility and obtain pre-market approval of SurgiMend® PRS in implant-based breast reconstruction; the possibility that costs or difficulties related to building and the operationalization of the Braintree facility or the transition of manufacturing activities from the Company’s Boston facility to the Braintree facility will be greater than expected; fluctuations in hospitals’ spending for capital equipment; the Company’s ability to comply with regulations regarding products of human origin and products containing materials derived from animal source; difficulties in controlling expenses, including costs to procure and manufacture our products; the impact of changes in management or staff levels; the impact of goodwill and intangible asset impairment charges if future operating results of acquired businesses are significantly less than the results anticipated at the time of the acquisitions, the Company’s ability to leverage its existing selling organizations and administrative infrastructure; the Company’s ability to increase product sales and gross margins, and control non-product costs; the Company’s ability to achieve anticipated growth rates, margins and scale and execute its strategy generally; the amount and timing of divestiture, acquisition and integration-related costs; the geographic distribution of where the Company generates its taxable income; new U.S. and foreign government laws and regulations, and changes in existing laws, regulations and enforcement guidance, which affect areas of our operations including, but not limited to, those affecting the health care industry, including the EU Medical Devices Regulation; the scope, duration and effect of additional U.S. and international governmental, regulatory, fiscal, monetary and public health responses to public health crises; fluctuations in foreign currency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exchange rates; the amount of our bank borrowings outstanding and other factors influencing liquidity; potential negative impacts resulting from environmental, social and governance matters; and the potential impact of our compliance with governmental regulations and accounting guidance.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business, results of operations, financial condition, and/or cash flows. These forward-looking statements speak only as of the date of this Quarterly Report and we undertake no obligation to publicly update or revise any forward-looking statements, whether as a result of new information, future events or otherwise, except to the extent required by applicable law. You should carefully consider forward-looking statements and understand that such forward-looking statements are inherently subject to risks and uncertainties, some of which cannot be predicted or quantified, and involve a variety of risks and uncertainties.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leading global medical technology company innovating treatment pathways in surgical, neurologic and regenerative care to advance patient outcomes and set new standards of surgical, neurologic and regenerative care. Founded in 1989 with the acquisition of an engineered collagen technology platform used to repair and regenerate tissue, our common stock trades on the Nasdaq Global Select Market (“Nasdaq”) under the symbol “IART.” We have developed numerous product lines from this technology for applications ranging from burn and deep tissue wounds to the repair of dura mater in the brain, as well as nerves and tendons. We have expanded our base regenerative technology business to include surgical instruments, neurosurgical products and advanced wound care through global acquisitions and product development to meet the evolving needs of our customers and enhance patient care.</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are sold in more than 120 countries through a direct sales force as well as distributors and wholesalers. We manufacture and sell medical technologies and products in two reportable business segments: Codman Specialty Surgical (“CSS”) and Tissue Technologies (“TT”). The CSS segment, which represents approximately two-thirds of our total revenue, consists of market-leading technologies and instrumentation used for a wide range of specialties, such as neurosurgery, neurocritical care and otolaryngology. We are the world leader in neurosurgery and one of the top three providers in instruments used in precision, specialty, and general surgical procedures. Our TT segment generates about one-third of our overall revenue and focuses on three main areas: complex wound surgery, surgical reconstruction, and peripheral nerve repair.</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key manufacturing and research facilities located in California, Maryland, Massachusetts, New Jersey, Ohio, Puerto Rico, Tennessee, Utah, France, Germany, Ireland and Switzerland. We source most of our handheld surgical instruments and dural sealant products through specialized third-party vendors.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strategies are focused around five pillars. Of these five pillars, we have identified three core growth drivers: (1) innovating for outcomes, (2) growing internationally, and (3) broadening our impact on care pathways. Our execution of the core growth drivers is enabled by two key levers: (4) driving operational and customer excellence and (5) cultivating a high-performance culture. As outlined in greater detail below, we believe these five pillars will enable us to realize and advance our integrated growth strategy.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this end, our executive leadership team has established the following key priorities aligned to the following five pillars: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Innovating for Outcomes. </w:t>
      </w:r>
      <w:r>
        <w:rPr>
          <w:rFonts w:ascii="Times New Roman" w:cs="Times New Roman" w:eastAsia="Times New Roman" w:hAnsi="Times New Roman"/>
          <w:sz w:val="18"/>
          <w:szCs w:val="18"/>
          <w:color w:val="auto"/>
        </w:rPr>
        <w:t>An important part of Integra’s growth strategy is introducing new products to strengthen and expand our portfolio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evidence to support regulatory approval and strong reimbursement of our product portfolio around the world, including new indications for existing technologies. For example, in 2021, we filed a pre-market approval (“PMA”) application for a specific indication for Surgimend® in the use of post-mastectomy breast reconstruction. We cannot predict an approval date because of the timeline of restarting manufacturing at the Braintree facility, where Surgimend® will be manufactured. In the late 2022, we acquired SIA, which is also pursuing a PMA for DuraSorb for use in implant-based breast reconstruction (“IBBR”). We completed enrollment for the DuraSorb U.S. investigational device exemption clinical study for two-stage breast reconstruction in June 2023 and are conducting the primary follow-up one year after device implantation. We hope to secure approval for DuraSorb in 2025. In addition, in March 2024, we expanded our urinary bladder matrix platform with the U.S. launch of MicroMatrix® Flex, a dual-syringe system enabling the convenient mixing and precise delivery of MicroMatrix® paste to provide convenient access to hard-to-reach spaces and to help prepare an even wound surface in challenging wound areas.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continued to advance the development of pioneering neurosurgical technologies with the expansion of our product offerings. In 2023, we launched the CUSA® Clarity tips for use in surgical procedures requiring the controlled fragmentation, emulsification and aspiration of bone as well as in laparoscopic liver surgery.</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Growing Internationally: </w:t>
      </w:r>
      <w:r>
        <w:rPr>
          <w:rFonts w:ascii="Times New Roman" w:cs="Times New Roman" w:eastAsia="Times New Roman" w:hAnsi="Times New Roman"/>
          <w:sz w:val="18"/>
          <w:szCs w:val="18"/>
          <w:color w:val="auto"/>
        </w:rPr>
        <w:t>Over the years, we have been significantly expanding our global footprint through investments in our commercial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organizations, the expansion and development of international markets and new product introductions. As part of our In-China-For-China strategy, we continue the build out of our assembly capabilities in our new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facility in Suzhou, China. Several new products were introduced in select international markets in 2023 and 2024, including MicroMatrix® and Certas Plus® Programmable Valve, which were launched in Europe, and CUSA Clarity laparoscopic tip, which was launched in Australia, New Zealand, Japan, Canada, South Africa and Israel. In addition, DuraGen® Secure, received approval in Japan, while DuraGen Plus, an absorbable and sutureless collagen onlay indicated as a dura substitute for the repair of dura mater, was approved in China. CereLink, DuraSeal® and MediHoney® also continued their market uptake in international markets.</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Broadening Impact on Care Pathways. </w:t>
      </w:r>
      <w:r>
        <w:rPr>
          <w:rFonts w:ascii="Times New Roman" w:cs="Times New Roman" w:eastAsia="Times New Roman" w:hAnsi="Times New Roman"/>
          <w:sz w:val="18"/>
          <w:szCs w:val="18"/>
          <w:color w:val="auto"/>
        </w:rPr>
        <w:t>We seek ways to develop and acquire products and technologies that impact the lives of patients, starting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journey that a patient takes from diagnosis and treatment planning to surgery and postoperative care. We are well-established in acute care in the hospital setting and continue to leverage that strong position to grow in this segment and shape treatment pathways into preoperative care and additional sites of care. On April 1, 2024, the Company successfully completed the acquisition of Acclarent from Ethicon, Inc., a subsidiary of Johnson &amp; Johnson. Acclarent is an innovator and market leader in ear, nose and throat (“ENT”) procedures and the acquisition of Acclarent has positioned Integra as one of the leading providers of ENT products and technologies. Furthermore, we believe that, owing to the ENT business being an anatomical adjacency to neurosurgery, the acquisition will allow Integra to deliver future innovation both within the ENT business and across our other CSS technology platforms.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Driving Operations and Customer Excellence. </w:t>
      </w:r>
      <w:r>
        <w:rPr>
          <w:rFonts w:ascii="Times New Roman" w:cs="Times New Roman" w:eastAsia="Times New Roman" w:hAnsi="Times New Roman"/>
          <w:sz w:val="18"/>
          <w:szCs w:val="18"/>
          <w:color w:val="auto"/>
        </w:rPr>
        <w:t>We have been making investments to build more responsive and scalable processes, enhance the reliability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supply chain, and drive productivity initiatives to further supply and lower costs. Additionally, we continue to invest in technologies, systems and processes to enhance the customer experience. We continue to invest in our capacity expansion. This includes ongoing projects of transferring our Boston manufacturing to a new location in Braintree, Massachusetts, validating manufacturing processes in our manufacturing facility in Plainsboro, New Jersey and increasing capacity in our Memphis, Tennessee location.</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Cultivating a High-Performance Culture. </w:t>
      </w:r>
      <w:r>
        <w:rPr>
          <w:rFonts w:ascii="Times New Roman" w:cs="Times New Roman" w:eastAsia="Times New Roman" w:hAnsi="Times New Roman"/>
          <w:sz w:val="18"/>
          <w:szCs w:val="18"/>
          <w:color w:val="auto"/>
        </w:rPr>
        <w:t>In seeking to sustain a culture of excellence and accountability, we have focused on employee empowerment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agility and building a diverse and inclusive workplace. These efforts resulted in our being named in several best workplace lists globally in 2023. Additionally, we have been making further strides in advancing our environmental, social and governance (“ESG”) agenda to drive sustainability across the organization and recently published our second annual ESG report in the third quarter of 2023. For more information on our ESG strategy, goals, performance, and achievements, please visit “Our Company—ESG Report” at https://www.integralife.com/esg-report. Information on our website is not incorporated by reference herein and is not part of this Quarterly Report.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Product Introductions and Research and Development Updates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invest in collecting clinical evidence to support our existing products and new product launches, and to ensure that we obtain market access for broader and more cost-effective solutions.</w:t>
      </w:r>
    </w:p>
    <w:p>
      <w:pPr>
        <w:spacing w:after="0" w:line="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Electromechanical Technologies and Instrumentation. </w:t>
      </w:r>
      <w:r>
        <w:rPr>
          <w:rFonts w:ascii="Times New Roman" w:cs="Times New Roman" w:eastAsia="Times New Roman" w:hAnsi="Times New Roman"/>
          <w:sz w:val="18"/>
          <w:szCs w:val="18"/>
          <w:color w:val="auto"/>
        </w:rPr>
        <w:t>The CSS business consists of a broad portfolio of market-leading brands, such as Codman®,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DuraGen®, DuraSeal®, CUSA®, Mayfield®, Bactiseal®, and Certas® Plus, which are used for the management of multiple disease states, including brain tumors, traumatic brain injury, hydrocephalus and other neurological conditions. The growth in this business in recent years has been fueled by geographic expansion and new product registrations in markets, such as China, Japan, and Europe, which we expect to continue in the near-to-long term. Because our electromechanical products and instruments address significant needs in surgical procedures and limit uncertainty for surgeons, we continue to invest in registrations, clearances, and approvals for new indications and next generation improvements to our market-leading products. We have several active programs focused on life cycle management and innovation for capital and disposable products in our portfolio. Our product development efforts are focused on core clinical applications in cerebrospinal fluid (“CSF”) management, neuro-critical care monitoring, minimally invasive instruments and electrosurgery and ultrasonic medical technologies, as well as our ambition to transform the standard of care in neurosurgery with product advancements in minimally invasive surgery (“MIS”) and the surgical management of intracerebral hemorrhage (“ICH”). Our lighting franchise is among the most dynamic in the industry.</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focused on the development of core clinical applications in our electromechanical technologies portfolio. We continue to update our CUSA Clarity platform by incorporating new ultrasonic handpiece and integrated electrosurgical capabilities. We have made several enhancements to our CUSA Clarity Tissue Ablation System. The extended laparoscopic tip was launched in the U.S. to enhance laparoscopic liver procedures. In addition, a single-sided bone tip received 510(k) clearance from the FDA. Commercial launch was completed successfully in early 2023. In August 2023, we launched a modified 23 kHz CUSA Electrosurgery Module (“CEM”) for Clarity handpieces that can be used with additional electrosurgery generators. We continue to work with several instrument partners to bring new surgical instrument platforms to the market.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continued to advance the early-stage technology platforms we acquired in 2019. Through the acquisition of Arkis Biosciences, Inc. (“Arkis”) we added a platform technology, CerebroFlo® external ventricular drainage (“EVD”), a catheter with Endexo® technology, a permanent additive designed to reduce the potential for catheter obstruction due to thrombus formation. The CerebroFlo EVD catheter has demonstrated an average of 99% less thrombus accumulation onto its surface, in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vitro, compared to a market leading EVD catheter. Our work to combine our Bactiseal® antimicrobial technology with the Endexo anti-occlusive technology continues to progress for both a silicone-based hydrocephalus and EVD project.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continued to advance our innovation from the Rebound Therapeutics Corporation (“Rebound Therapeutics”), which was acquired in 2019. Rebound Therapeutics specializes in a single-use medical device, known as the Aurora Surgiscope, which is the only tubular retractor system designed for cranial surgery with an integrated access channel, camera and lighting. The 9mm Surgiscope received 510(k) clearance from the FDA in the fourth quarter of 2023.</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Regenerative Technologies. </w:t>
      </w:r>
      <w:r>
        <w:rPr>
          <w:rFonts w:ascii="Times New Roman" w:cs="Times New Roman" w:eastAsia="Times New Roman" w:hAnsi="Times New Roman"/>
          <w:sz w:val="18"/>
          <w:szCs w:val="18"/>
          <w:color w:val="auto"/>
        </w:rPr>
        <w:t>We were the first company to receive an FDA claim for regeneration of dermal tissue and are a world leader in regenerative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Our regenerative technology development program applies our expertise in bioengineering to a range of biomaterials including natural materials such as purified collagen, intact human or animal tissues, honey as well as resorbable synthetic polymers with our DuraSorb and DuraSeal® product lines. These unique product designs are used for neurosurgical and reconstructive surgical applications, as well as dermal regeneration, including the healing of chronic and acute wounds, tendon and nerve repair. Our regenerative technology platform includes our legacy Integra® Dermal Regeneration Template (“IDRT”) products and complementary technologies that we have acquired. Our collagen manufacturing capability, combined with our history of innovation, including our launch of NeuraGen 3D, provides us with strong platform technologies for multiple indications.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third quarter of 2021, we filed a PMA application for a specific indication for Surgimend® in the use of post-mastectomy breast reconstruction. In 2022, we acquired SIA, which has also submitted a PMA application for DuraSorb with IBBR, and in June 2023 we completed enrollment in the DuraSorb U.S. investigational device exemption clinical study for two-stage breast reconstruction; the primary follow-up period is one year after device implantation. By offering two distinct product solutions, we believe we have the opportunity to build a leading position in the IBBR market. We hope to secure approval for DuraSorb in 2025. For SurgiMend®, we cannot predict an approval date because of the timeline of restarting manufacturing at the Braintree facility.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in 2022, we launched NeuraGen 3D Nerve Guide Matrix, a resorbable implant for repair of peripheral nerve discontinuities and engineered to create an optimized environment for nerve regeneration. Following the completion of design control activities in 2022, we launched both Cytal and MicroMatrix in Europe in 2023. In 2023, the Company received 510(k) clearance from the FDA for MicroMatrix® Flex, which is now commercially available in the U.S. as of March 2024.</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ongoing efforts to remain compliant, the Company continues to work towards European Union Medical Device Regulation (“EU MDR”) certifications. In 2023, the Company received EU MDR certification in the CSS segment for Hakim Programmable Valves, Certas Plus without Bactiseal catheters, and DuraSeal Dural. Additionally, the Company received EU MDR certification in the TT segment for IDRT and BioPatch in 2023, and MicroMatrix and Cytal in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FDA Matters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7, 2019, TEI Biosciences, Inc. (“TEI”), one of our wholly-owned subsidiaries, received a Warning Letter (the “2019 Warning Letter”), dated March 6, 2019, from the FDA. The 2019 Warning Letter related to quality systems issues at TEI’s manufacturing facility located in Boston, Massachusetts (the “Boston facility”). The Boston facility manufactures extracellular bovine matrix products in our TT segment that are sold both in wound reconstruction and care and in private label channels. The letter resulted from an inspection held at that facility in October and November 2018 and did not identify any new observations that were not already provided in the Form 483 that followed the inspection. We submitted our initial response to the 2019 Warning Letter on March 28, 2019 and provide regular progress reports to the FDA as to its corrective actions. On October 28, 2021, the FDA initiated an inspection of the facility and at the conclusion of the inspection, issued an FDA Form 483 on November 12, 2021 (the “2021 Form 483”). We provided an initial response to the inspection observations. On March 1, 2023, the FDA commenced an inspection of the Boston facility and issued an FDA Form 483 at the conclusion of this inspection (the “2023 Form 483”). In May 2023, after consultation with the FDA, The Company initiated a voluntary global recall of all products manufactured at the Boston facility, including PriMatrix®, SurgiMend®, Revize™, and TissueMend™, distributed between March 1, 2018 and May 22, 2023. On July 19, 2023, TEI received a Warning Letter, dated July 17, 2023, from the FDA related to quality system issues at the Boston facility (the “2023 Warning Letter”). The 2023 Warning Letter did not identify any new observations that had not already been provided in the 2023 Form 483. The Company has submitted periodic responses to the FDA for both the 2023 Form 483 and the 2023 Warning Letter. We are committed to resolving the matters identified in the Warning Letters and Form 483s and are continuing our significant efforts to remediate the observations.</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the Warning Letters do not restrict the Company’s ability to seek FDA 510(k) clearance of products, PMAs for Class III devices to which the quality system regulation violations are reasonably related will not be approved until the violations have been addressed. We cannot give any assurances that the FDA will be satisfied with our response to the issues identified by the FDA or as to the expected date of the resolution of such issues. Until the issues cited by the FDA are resolved to the FDA’s satisfaction, the FDA may initiate additional regulatory action without further notice. Any adverse regulatory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action, depending on its magnitude, may restrict us from effectively manufacturing, marketing and selling our products and could have a material adverse effect on our business, financial condition and results of operations.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required by the 2023 Warning Letter, we retained an outside expert consultant to perform an audit of the Boston facility in March 2024. Since receiving the third-party audit findings for the Boston facility in March, the Company has reassessed its plans and timeline to resume the manufacture of PriMatrix® and SurgiMend®. In parallel, the Company has been furthering its plans to complete the construction and operationalization of its new tissue manufacturing facility in Braintree, Massachusetts (the “Braintree facility”). Based on these assessments, the Company no longer plans to restart the manufacture of PriMatrix® and SurgiMend® at its Boston facility and will, instead, restart manufacturing of these products at the Braintree facility. The Company expects to operationalize the Braintree facility in the first half of 2026. As a result of these decisions, during the three months ended June 30, 2024, the Company recorded a $4.6 million impairment charge, comprised of a $1.7 million impairment of an operating lease right-of-use asset and a $2.9 million write-off of fixed assets, which was recorded as a component of cost of goods sold in the condensed consolidated statements of operations. For further detail on the impairment, see </w:t>
      </w:r>
      <w:r>
        <w:rPr>
          <w:rFonts w:ascii="Times New Roman" w:cs="Times New Roman" w:eastAsia="Times New Roman" w:hAnsi="Times New Roman"/>
          <w:sz w:val="18"/>
          <w:szCs w:val="18"/>
          <w:i w:val="1"/>
          <w:iCs w:val="1"/>
          <w:color w:val="auto"/>
        </w:rPr>
        <w:t>Note 10. Leases and Related Party Leases</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Company elected to perform impairment testing on certain definite-lived intangibles and goodwill in the first quarter of 2024, which resulted in an intangible impairment of $7.1 million. For further detail on the impairment testing, see </w:t>
      </w:r>
      <w:r>
        <w:rPr>
          <w:rFonts w:ascii="Times New Roman" w:cs="Times New Roman" w:eastAsia="Times New Roman" w:hAnsi="Times New Roman"/>
          <w:sz w:val="18"/>
          <w:szCs w:val="18"/>
          <w:i w:val="1"/>
          <w:iCs w:val="1"/>
          <w:color w:val="auto"/>
        </w:rPr>
        <w:t>Note 5. Goodwill and Other Intangible Assets</w:t>
      </w:r>
      <w:r>
        <w:rPr>
          <w:rFonts w:ascii="Times New Roman" w:cs="Times New Roman" w:eastAsia="Times New Roman" w:hAnsi="Times New Roman"/>
          <w:sz w:val="18"/>
          <w:szCs w:val="18"/>
          <w:color w:val="auto"/>
        </w:rPr>
        <w:t>.</w:t>
      </w:r>
    </w:p>
    <w:p>
      <w:pPr>
        <w:spacing w:after="0" w:line="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continue to work with our customers in wound reconstruction and care as we move toward commercialization. Revenues of products manufactured in the Boston facility for the year ended December 31, 2022 were approximately 5.3% of consolidated revenues.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Optimization and Integration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our ongoing acquisition strategy and significant growth in recent years, we have undertaken cost-saving initiatives to consolidate manufacturing operations, distribution facilities and transfer activities, eliminate duplicative positions, realign various sales and marketing activities, and expand and upgrade production capacity for our regenerative technology products. These efforts are expected to continue and while we expect a positive impact from ongoing restructuring, integration, and manufacturing transfer and expansion activities, such results remain uncertain.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Q2 2024, we initiated the planning of a Compliance Master Plan (the “CMP”), a systematic and holistic approach to improving our quality system and Good Manufacturing Practice (“GMP”) compliance for the Boston/Braintree sites. While the initial planning has been implemented for the Boston/Braintree sites, the CMP will be expanded across our manufacturing and supply network in the coming months to ensure we can sustain compliance and enable our product supply to match our customer demand. We expect the CMP implementation and engagement to last through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loss for the three and six months ended June 30, 2024 was $(12.4) million and $(15.7) million, or $(0.16) and $(0.20) per diluted share, as compared to net income of $4.2 million and $28.4 million or $0.05 and $0.35 per diluted share for the three and six months ended June 30, 2023. The decrease in net income for the three and six months ended June 30, 2024, was driven by costs related to the Acclarent acquisition, as well as higher manufacturing costs.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Charges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taxes includes the following special charges</w:t>
      </w:r>
      <w:r>
        <w:rPr>
          <w:rFonts w:ascii="Times New Roman" w:cs="Times New Roman" w:eastAsia="Times New Roman" w:hAnsi="Times New Roman"/>
          <w:sz w:val="18"/>
          <w:szCs w:val="18"/>
          <w:b w:val="1"/>
          <w:bCs w:val="1"/>
          <w:color w:val="auto"/>
        </w:rPr>
        <w: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4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divestiture and integration-related charges</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18,667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23,390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12,224</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Structural optimization charges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5,095</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9,535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6,139</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 medical device regulation</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12,508</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24,531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20,682</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Boston recall / Braintree transition</w:t>
            </w:r>
            <w:r>
              <w:rPr>
                <w:rFonts w:ascii="Times New Roman" w:cs="Times New Roman" w:eastAsia="Times New Roman" w:hAnsi="Times New Roman"/>
                <w:sz w:val="21"/>
                <w:szCs w:val="21"/>
                <w:color w:val="auto"/>
                <w:vertAlign w:val="superscript"/>
              </w:rPr>
              <w:t>(1)</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14,698</w:t>
            </w: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29,691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23,742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31,041</w:t>
            </w:r>
          </w:p>
        </w:tc>
        <w:tc>
          <w:tcPr>
            <w:tcW w:w="0" w:type="dxa"/>
            <w:vAlign w:val="bottom"/>
          </w:tcPr>
          <w:p>
            <w:pPr>
              <w:spacing w:after="0"/>
              <w:rPr>
                <w:sz w:val="1"/>
                <w:szCs w:val="1"/>
                <w:color w:val="auto"/>
              </w:rPr>
            </w:pPr>
          </w:p>
        </w:tc>
      </w:tr>
      <w:tr>
        <w:trPr>
          <w:trHeight w:val="217"/>
        </w:trPr>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50,968</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45,571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81,198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70,086</w:t>
            </w:r>
          </w:p>
        </w:tc>
        <w:tc>
          <w:tcPr>
            <w:tcW w:w="0" w:type="dxa"/>
            <w:vAlign w:val="bottom"/>
          </w:tcPr>
          <w:p>
            <w:pPr>
              <w:spacing w:after="0"/>
              <w:rPr>
                <w:sz w:val="1"/>
                <w:szCs w:val="1"/>
                <w:color w:val="auto"/>
              </w:rPr>
            </w:pPr>
          </w:p>
        </w:tc>
      </w:tr>
    </w:tbl>
    <w:p>
      <w:pPr>
        <w:ind w:left="280" w:hanging="146"/>
        <w:spacing w:after="0" w:line="231" w:lineRule="auto"/>
        <w:tabs>
          <w:tab w:leader="none" w:pos="28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This primarily includes idle capacity charges, inventory write offs, site transfer costs, right of use and fixed asset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-117475</wp:posOffset>
            </wp:positionV>
            <wp:extent cx="37973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reported above are reflected in the condensed consolidated statements of operations as follows:</w:t>
      </w:r>
    </w:p>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24,865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33,148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39,214</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8,431</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20,554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23,069</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0" w:type="dxa"/>
            <w:vAlign w:val="bottom"/>
          </w:tcPr>
          <w:p>
            <w:pPr>
              <w:spacing w:after="0"/>
              <w:rPr>
                <w:sz w:val="1"/>
                <w:szCs w:val="1"/>
                <w:color w:val="auto"/>
              </w:rPr>
            </w:pPr>
          </w:p>
        </w:tc>
      </w:tr>
      <w:tr>
        <w:trPr>
          <w:trHeight w:val="232"/>
        </w:trPr>
        <w:tc>
          <w:tcPr>
            <w:tcW w:w="5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50,968</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45,571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81,198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70,086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define special charges as items for which the amounts and/or timing of such expenses may vary significantly from period to period, depending upon our acquisition, divestiture, integration and restructuring activities, and for which the amounts are non-cash in nature, and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the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Gross Margin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revenues and gross margin on product revenues were as follows: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310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Net Sales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Codman Specialty Surgical</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301,761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271,030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558,195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519,166</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Tissue Technologies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116,414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110,237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228,852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242,947</w:t>
            </w: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418,175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381,267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787,047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762,113</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192,258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174,241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354,296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322,216</w:t>
            </w:r>
          </w:p>
        </w:tc>
        <w:tc>
          <w:tcPr>
            <w:tcW w:w="0" w:type="dxa"/>
            <w:vAlign w:val="bottom"/>
          </w:tcPr>
          <w:p>
            <w:pPr>
              <w:spacing w:after="0"/>
              <w:rPr>
                <w:sz w:val="1"/>
                <w:szCs w:val="1"/>
                <w:color w:val="auto"/>
              </w:rPr>
            </w:pPr>
          </w:p>
        </w:tc>
      </w:tr>
      <w:tr>
        <w:trPr>
          <w:trHeight w:val="234"/>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margin on total revenues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225,917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207,026</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432,751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439,897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Gross margin as a percentage of total revenues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3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54.3 %</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57.7 %</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4480"/>
        <w:spacing w:after="0" w:line="378" w:lineRule="auto"/>
        <w:rPr>
          <w:sz w:val="20"/>
          <w:szCs w:val="20"/>
          <w:color w:val="auto"/>
        </w:rPr>
      </w:pPr>
      <w:r>
        <w:rPr>
          <w:rFonts w:ascii="Times New Roman" w:cs="Times New Roman" w:eastAsia="Times New Roman" w:hAnsi="Times New Roman"/>
          <w:sz w:val="18"/>
          <w:szCs w:val="18"/>
          <w:b w:val="1"/>
          <w:bCs w:val="1"/>
          <w:color w:val="auto"/>
        </w:rPr>
        <w:t>Three Months Ended June 30, 2024 as Compared to Three Months Ended June 30, 2023 Revenues</w:t>
      </w: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total revenues increased by $36.9 million to $418.2 million from $381.3 million for the same period in 2023. Excluding the impacts of the Acclarent acquisition, the Boston recall and foreign currency impact, revenues remained flat compared to the same period in the prior year.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CSS segment, revenues were $301.8 million which was an increase of $30.7 million, or 11.3% as compared to the prior-year period. This is inclusive of $31.3 million related to the Acclarent acquisition and $2.9 million unfavorable foreign currency impact on revenue. Excluding the impact of foreign exchange and the Acclarent acquisition, the Neurosurgery portfolio grew low-single digits primarily due to increased sales in Dural Access &amp; Repair and MicroFrance®.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TT segment, revenues were $116.4 million which was an increase of $6.2 million, or 5.6% from the prior-year period. Excluding the impact of the Boston recall, the TT segment showed a low single-digit decrease in sales as compared to the same period in the prior year. This is primarily attributable to a decline in Integra Skin due to supply constraints, partially offset by growth in DuraSorb and Gentrix.</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 was $225.9 million for the three months ended June 30, 2024, an increase of $18.9 million from $207.0 million for the same period in 2023. Gross margin as a percentage of revenues was 54.0% for the three months ended June 30, 2024 and 54.3% for the same period in 2023. For the three months ended June 30, 2024, gross margins were impacted by Boston impairment charges, Acclarent inventory step up, and higher manufacturing costs. For the three months ended June 30, 2023, gross margins were impacted by expenses associated with the Boston recall.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operating expenses as a percent of total revenues:</w:t>
      </w:r>
    </w:p>
    <w:p>
      <w:pPr>
        <w:spacing w:after="0" w:line="259"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r>
      <w:tr>
        <w:trPr>
          <w:trHeight w:val="21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43.3 %</w:t>
            </w:r>
          </w:p>
        </w:tc>
      </w:tr>
      <w:tr>
        <w:trPr>
          <w:trHeight w:val="21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07"/>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54.7 %</w:t>
            </w:r>
          </w:p>
        </w:tc>
        <w:tc>
          <w:tcPr>
            <w:tcW w:w="10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51.1 %</w:t>
            </w:r>
          </w:p>
        </w:tc>
      </w:tr>
      <w:tr>
        <w:trPr>
          <w:trHeight w:val="23"/>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operating expenses, which consist of research and development, selling, general and administrative, and amortization expenses, increased by $34.4 million, or 17.7%, to $228.9 million in the three months ended June 30, 2024, compared to $194.5 million in the same period in 2023.</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June 30, 2024 increased by $3.2 million as compared to the same period in the prior year primarily due to the Acclarent acquisition.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costs for the three months ended June 30, 2024 increased by $30.6 million as compared to the same period in the prior year due to the professional fees and costs associated with the Acclarent acquisition and higher spending in commercial selling activities for both legacy and Acclarent products.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(excluding amounts reported in cost of product revenues for technology-based intangible assets) for the three months ended June 30, 2024 was $3.7 million compared to $3.0 million for the same period in the prior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non-operating income and expenses: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60" w:type="dxa"/>
            <w:vAlign w:val="bottom"/>
            <w:gridSpan w:val="4"/>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23"/>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6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3,939</w:t>
            </w:r>
          </w:p>
        </w:tc>
        <w:tc>
          <w:tcPr>
            <w:tcW w:w="0" w:type="dxa"/>
            <w:vAlign w:val="bottom"/>
          </w:tcPr>
          <w:p>
            <w:pPr>
              <w:spacing w:after="0"/>
              <w:rPr>
                <w:sz w:val="1"/>
                <w:szCs w:val="1"/>
                <w:color w:val="auto"/>
              </w:rPr>
            </w:pP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(12,464)</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07"/>
        </w:trPr>
        <w:tc>
          <w:tcPr>
            <w:tcW w:w="7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non-operating income and expense</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(12,156)</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(8,680)</w:t>
            </w: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for the three months ended June 30, 2024 increased by $1.1 million as compared to the same period in the prior year primarily due to higher interest rates.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June 30, 2024 increased by $6.2 million as compared to the same period in the prior year primarily due to incremental borrowing to fund Acclarent acquisition and higher interest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for the three months ended June 30, 2024 increased by $1.6 million compared to the same period in the prior year, primarily driven by favorable foreign exchange impact.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40" w:type="dxa"/>
            <w:vAlign w:val="bottom"/>
            <w:gridSpan w:val="4"/>
          </w:tcPr>
          <w:p>
            <w:pPr>
              <w:jc w:val="right"/>
              <w:ind w:right="94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23"/>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6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(15,185)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3,824</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440" w:type="dxa"/>
            <w:vAlign w:val="bottom"/>
          </w:tcPr>
          <w:p>
            <w:pPr>
              <w:spacing w:after="0"/>
              <w:rPr>
                <w:sz w:val="18"/>
                <w:szCs w:val="18"/>
                <w:color w:val="auto"/>
              </w:rPr>
            </w:pPr>
          </w:p>
        </w:tc>
        <w:tc>
          <w:tcPr>
            <w:tcW w:w="146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(2,783)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income tax rates for the three months ended June 30, 2024 and 2023 were 18.3% and (9.4)%, respectively.</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the higher tax rate is primarily driven by lower book income, as compared to the previous year. For the three months ended June 30, 2023, the lower rate was partially driven by a $1.1 million benefit associated with the Federal R&amp;D credit.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changes to income tax laws and regulations, in any of the tax jurisdictions in which the Company operates, could impact the effective tax rate. Various governments, both U.S. and non-U.S., are increasingly focused on tax reform and revenue-raising legislation. The current U.S. administration has proposed tax reform which, if enacted, may increase the Company’s U.S. federal income tax liability. Further, legislation in foreign jurisdictions may be enacted, in response to the base erosion and profit-shifting project begun by the Organization for Economic Cooperation and Development (“OECD”). Such changes in the U.S. and non-U.S. jurisdictions could have an adverse effect on the Company's effective tax rate.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OECD released model rules related to a new 15% global minimum tax regime (“Pillar 2”). Several of the jurisdictions in which we operate have already adopted some form of the model rules, which could impact the amount of taxes that the Company pays during 2024 and future taxable periods. The rules are complex and provide for delays of implementing the tax during the early transition years, if certain conditions are met. At this time, the Company is projecting an immaterial amount related to Pillar 2 tax liability for the 2024 year. The Company will continue to analyze the new Pillar 2 laws and any related guidance to determine potential impacts. Such changes in U.S. and non-U.S. jurisdictions could have an adverse effect on the Company’s effective tax rate.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it is often difficult to predict the outcome or the timing of the resolution of a particular matter with the various federal, state, and foreign tax authorities, we believe that our reserves reflect the most probable outcome of known tax contingencies. Settlement of a particular issue would usually require the use of cash. A favorable resolution would be recognized as a reduction to our annual effective tax rate in the year of resolution. The Company’s tax reserves are presented in the balance sheet within other liabilities, except for amounts relating to items that we expect to pay in the coming year, which would be classified as current income taxes payable.</w:t>
      </w:r>
    </w:p>
    <w:p>
      <w:pPr>
        <w:spacing w:after="0" w:line="179" w:lineRule="exact"/>
        <w:rPr>
          <w:sz w:val="20"/>
          <w:szCs w:val="20"/>
          <w:color w:val="auto"/>
        </w:rPr>
      </w:pPr>
    </w:p>
    <w:p>
      <w:pPr>
        <w:ind w:right="4900"/>
        <w:spacing w:after="0" w:line="378" w:lineRule="auto"/>
        <w:rPr>
          <w:sz w:val="20"/>
          <w:szCs w:val="20"/>
          <w:color w:val="auto"/>
        </w:rPr>
      </w:pPr>
      <w:r>
        <w:rPr>
          <w:rFonts w:ascii="Times New Roman" w:cs="Times New Roman" w:eastAsia="Times New Roman" w:hAnsi="Times New Roman"/>
          <w:sz w:val="18"/>
          <w:szCs w:val="18"/>
          <w:b w:val="1"/>
          <w:bCs w:val="1"/>
          <w:color w:val="auto"/>
        </w:rPr>
        <w:t>Six Months Ended June 30, 2024 as Compared to Six Months Ended June 30, 2023 Revenues and Gross Margin</w:t>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total revenues increased by $24.9 million to $787.0 million from $762.1 million for the same period in 2023. Excluding the impacts of the Acclarent acquisition, the Boston recall and foreign currency impact, revenues remained flat compared to the same period in the prior year.</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CSS Segment, revenues were $558.2 million an increase of $39.0 million, or 7.5% from the prior period, inclusive of $31.3 million related to the Acclarent acquisition, and $5.4 million unfavorable foreign currency impact on revenue. Excluding these impacts, the Neurosurgery portfolio grew low single digits primarily due to increased sales in Dural Access and Neuro Monitoring.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TT segment, revenues were $228.9 million, a decrease of $14.1 million, or 5.8% from the prior-year period. Excluding the impact of the Boston recall, the TT segment decreased low single digits as compared to the same period in the prior year. This is primarily attributable to a decline in Integra Skin due to supply constraints, partially offset by growth in DuraSorb and Gentrix.</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 was $432.8 million for the six months ended June 30, 2024, a decrease of $7.1 million from $439.9 million for the same period in 2023. Gross margin as a percentage of total revenue decreased to 55.0% for the six months ended June 30, 2024 from 57.7% in the same period in 2023. For the six months ended June 30, 2024, gross margins were impacted by Boston impairment charges, Acclarent inventory step up, and higher manufacturing costs. For the six months ended June 30, 2023 gross margins were impacted by expenses associated with the Boston recall.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operating expenses as a percent of total revenues:</w:t>
      </w:r>
    </w:p>
    <w:p>
      <w:pPr>
        <w:spacing w:after="0" w:line="259"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r>
      <w:tr>
        <w:trPr>
          <w:trHeight w:val="21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43.5 %</w:t>
            </w:r>
          </w:p>
        </w:tc>
      </w:tr>
      <w:tr>
        <w:trPr>
          <w:trHeight w:val="21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07"/>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54.9 %</w:t>
            </w:r>
          </w:p>
        </w:tc>
        <w:tc>
          <w:tcPr>
            <w:tcW w:w="10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51.3 %</w:t>
            </w:r>
          </w:p>
        </w:tc>
      </w:tr>
      <w:tr>
        <w:trPr>
          <w:trHeight w:val="23"/>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expenses, which consist of selling, general and administrative expenses, research and development expenses, and amortization expenses, increased by $40.8 million, or 10.4% to $431.8 million in the six months ended June 30, 2024, compared to $391.0 million in the same period in 2023.</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six months ended June 30, 2024 increased by $3.4 million as compared to the same period in the prior year primarily due to the Acclarent acquisition.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costs increased by $29.7 million as compared to the same period in the prior year driven primarily due to the professional fees and costs associated with the Acclarent acquisition and higher spending in commercial selling activities for both legacy and Acclarent products.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(excluding amounts reported in cost of product revenues for technology-based intangible assets) for the six months ended June 30, 2024 was $13.8 million compared to $6.1 million for the same period in the prior year. The increase is driven by the impairment of customer relationship intangible related to our Boston facility of $7.1 million.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total annual amortization expense to be approximately $50.8 million for the remainder of 2024, $101.6 million in 2025, $101.4 million in 2026, $100.4 million in 2027, $96.9 million in 2028, $91.6 million in 2029 and $506.8 million thereafter.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non-operating income and expenses: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20" w:type="dxa"/>
            <w:vAlign w:val="bottom"/>
          </w:tcPr>
          <w:p>
            <w:pPr>
              <w:spacing w:after="0"/>
              <w:rPr>
                <w:sz w:val="18"/>
                <w:szCs w:val="18"/>
                <w:color w:val="auto"/>
              </w:rPr>
            </w:pPr>
          </w:p>
        </w:tc>
        <w:tc>
          <w:tcPr>
            <w:tcW w:w="136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8,046</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(24,564)</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w:t>
            </w:r>
          </w:p>
        </w:tc>
      </w:tr>
      <w:tr>
        <w:trPr>
          <w:trHeight w:val="207"/>
        </w:trPr>
        <w:tc>
          <w:tcPr>
            <w:tcW w:w="7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non-operating income and expense</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(21,350)</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(15,284)</w:t>
            </w:r>
          </w:p>
        </w:tc>
      </w:tr>
      <w:tr>
        <w:trPr>
          <w:trHeight w:val="23"/>
        </w:trPr>
        <w:tc>
          <w:tcPr>
            <w:tcW w:w="7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for the six months ended June 30, 2024 increased by $2.1 million as compared to the same period in the prior year due to higher interest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the six months ended June 30, 2024 increased by $7.7 million as compared to the same period in the prior year due to incremental borrowing and higher interest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for the six months ended June 30, 2024, decreased by $0.4 million as compared to the same period in the prior year.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40" w:type="dxa"/>
            <w:vAlign w:val="bottom"/>
            <w:tcBorders>
              <w:bottom w:val="single" w:sz="8" w:color="CCEEFF"/>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(20,415)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33,602</w:t>
            </w:r>
          </w:p>
        </w:tc>
        <w:tc>
          <w:tcPr>
            <w:tcW w:w="0" w:type="dxa"/>
            <w:vAlign w:val="bottom"/>
          </w:tcPr>
          <w:p>
            <w:pPr>
              <w:spacing w:after="0"/>
              <w:rPr>
                <w:sz w:val="1"/>
                <w:szCs w:val="1"/>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460" w:type="dxa"/>
            <w:vAlign w:val="bottom"/>
          </w:tcPr>
          <w:p>
            <w:pPr>
              <w:spacing w:after="0"/>
              <w:rPr>
                <w:sz w:val="18"/>
                <w:szCs w:val="18"/>
                <w:color w:val="auto"/>
              </w:rPr>
            </w:pPr>
          </w:p>
        </w:tc>
        <w:tc>
          <w:tcPr>
            <w:tcW w:w="14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(4,732)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5,192</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income tax rates for the six months ended June 30, 2024 and 2023 were 23.2% and 15.5%, respectively.</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six months ended June 30, 2024, the higher tax rate is primarily driven by lower book income and a $1.7 million shortfall from stock-based compensation, as compared to the prior year. The lower rate from the six months ended June 30, 2023 was primarily due to a $1.1 million benefit associated with the Federal research and development tax credit, offset by a $0.3 million shortfall from stock-based compensation.</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PRODUCT REVENUES AND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attribute revenues to geographic areas based on the location of the customer. Total revenue by major geographic area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740" w:type="dxa"/>
            <w:vAlign w:val="bottom"/>
            <w:gridSpan w:val="4"/>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4"/>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310,225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276,782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566,454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547,784</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78,516</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98,179</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21,310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19,327</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42,812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37,634</w:t>
            </w:r>
          </w:p>
        </w:tc>
        <w:tc>
          <w:tcPr>
            <w:tcW w:w="0" w:type="dxa"/>
            <w:vAlign w:val="bottom"/>
          </w:tcPr>
          <w:p>
            <w:pPr>
              <w:spacing w:after="0"/>
              <w:rPr>
                <w:sz w:val="1"/>
                <w:szCs w:val="1"/>
                <w:color w:val="auto"/>
              </w:rPr>
            </w:pPr>
          </w:p>
        </w:tc>
      </w:tr>
      <w:tr>
        <w:trPr>
          <w:trHeight w:val="235"/>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418,175</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381,267</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787,047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762,113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significant revenues outside the U.S., a portion of which are U.S. dollar-denominated transactions conducted with customers that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Domestic revenues increased by $33.4 million for the three months ended June 30, 2024 compared to the same period in the prior year. European sales increased by $3.2 million for the three months ended June 30, 2024 compared to the same period in the prior year. Sales to customers in Asia Pacific decreased by $1.8 million for the three months ended June 30, 2024. Sales to customers in the the Rest of World for the three months ended June 30, 2024 increased by $2.0 million compared to the same period in the prior year. The international revenues were impacted by $3.0 million of unfavorable foreign exchange impact. The increase in domestic revenues is primarily the result of the Acclarent acquisition.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Domestic revenues increased by $18.7 million for the six months ended June 30, 2024 compared to the same period in the prior year. European sales increased by $3.8 million for the six months ended June 30, 2024 compared to the same period in the prior year. Sales to customers in Asia Pacific decreased by $2.7 million for the six months ended June 30, 2024. Sales to customers in the Rest of World for the six months ended June 30, 2024 increased by $5.2 million compared to the same period in the prior year. The international revenues were impacted by $5.4 million of unfavorable foreign exchange impact. The increase in domestic revenues is primarily the result of the Acclarent acquisition, which is offset by decreases related to the Boston recall.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working capital as of June 30, 2024 and December 31, 2023 was $784.0 million and $751.1 million, respectively. Working capital consists of total current assets less total current liabilities as presented in the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cash and cash equivalents totaling approximately $215.2 million and $276.4 million at June 30, 2024 and December 31, 2023 respectively, which are valued based on Level 1 measurements in the fair value hierarchy. Level 1 inputs represent quoted prices in active markets for identical assets or liabilities. At June 30, 2024, our non-U.S. subsidiaries held approximately $191.9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Term Investments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short term investments, primarily consisting of time deposits, which are valued based on Level 1 measurements in the fair value hierarchy, totaling approximately $81.7 million at June 30, 2024 compared to $32.7 million at December 31, 2023.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60" w:type="dxa"/>
            <w:vAlign w:val="bottom"/>
            <w:gridSpan w:val="4"/>
          </w:tcPr>
          <w:p>
            <w:pPr>
              <w:jc w:val="right"/>
              <w:ind w:right="92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6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54,435</w:t>
            </w:r>
          </w:p>
        </w:tc>
        <w:tc>
          <w:tcPr>
            <w:tcW w:w="0" w:type="dxa"/>
            <w:vAlign w:val="bottom"/>
          </w:tcPr>
          <w:p>
            <w:pPr>
              <w:spacing w:after="0"/>
              <w:rPr>
                <w:sz w:val="1"/>
                <w:szCs w:val="1"/>
                <w:color w:val="auto"/>
              </w:rPr>
            </w:pP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(376,163)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(29,252)</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(173,376)</w:t>
            </w:r>
          </w:p>
        </w:tc>
        <w:tc>
          <w:tcPr>
            <w:tcW w:w="0" w:type="dxa"/>
            <w:vAlign w:val="bottom"/>
          </w:tcPr>
          <w:p>
            <w:pPr>
              <w:spacing w:after="0"/>
              <w:rPr>
                <w:sz w:val="1"/>
                <w:szCs w:val="1"/>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fluctuations on cash</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cash flows for the six months ended June 30, 2024 increased by $1.7 million compared to the same period in 2023. Within operating cash flows, net income less non-cash adjustments decreased for the six months ended June 30, 2024 by approximately $33.5 million as compared to the same period in 2023 primarily driven by costs related to the Acclarent acquisition, as well as higher manufacturing costs.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changes in assets and liabilities for the six months ended June 30, 2024, net of business acquisitions, decreased cash flows by $22.4 million, mainly attributable to increases in prepaid and other current assets, and inventory, and decreases in other non current liabilities.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changes in assets and liabilities for the six months ended June 30, 2023, net of business acquisitions, decreased cash flows by $57.6 million, mainly attributable to increases in inventory and other current assets, and decreases in accounts payable, accrued expenses and other current liabilities.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Uses of cash from investing activities for the six months ended June 30, 2024 were $282.0 million related to the Acclarent acquisition, $49.0 million related to short term investments, and $45.2 million paid for capital expenditures to support operations improvement initiatives at a number of our manufacturing facilities and other information technology investments.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sources of cash from investing activities during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Uses of cash from investing activities during the six months ended June 30, 2023 related to $29.3 million paid for capital expenditures to support operations improvement initiatives at a number of our manufacturing facilities and other information technology investments.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sources of cash from investing activities during the six months ended June 30,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or Used in Financing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Uses of cash from financing activities in the six months ended June 30, 2024 related to the repayments of $105.6 million under our Senior Credit Facility and Securitization Facility, $50.0 million related to the repurchase of treasury stock of under the share repurchase agreements, and $11.9 million related to payment of SIA contingent consideration. In addition, the Company had $3.2 million in cash taxes paid for net equity settlements.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Sources of cash from financing activities for the six months ended June 30, 2024 were $429.3 million proceeds from borrowings of long-term indebtedness and $6.4 million proceeds from the exercise of stock options.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Uses of cash from financing activities in the six months ended June 30, 2023 related to the repurchase of treasury stock of $150.0 million under the share repurchase agreements, repayments of $29.1 million under our Senior Credit Facility and Securitization Facility. In addition, we had $7.6 million attributable to debt issuance costs, as well as $5.3 million in cash taxes paid for net equity settlements.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Sources of cash from financing activities for the six months ended June 30, 2023 were $15.2 million borrowing under our Senior Credit Facility and Securitization Facility and $3.4 million proceeds from the exercise of stock options.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 Convertible Senior Notes, Securitization and Related Hedging Activities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color w:val="auto"/>
        </w:rPr>
        <w:t xml:space="preserve"> to the Notes to Unaudited Condensed Consolidated Financial Statements (Part I, Item 1 of this Quarterly Report) for a discussion of our Credit Agreement, the 2025 Notes and Securitization Facility and </w:t>
      </w:r>
      <w:r>
        <w:rPr>
          <w:rFonts w:ascii="Times New Roman" w:cs="Times New Roman" w:eastAsia="Times New Roman" w:hAnsi="Times New Roman"/>
          <w:sz w:val="18"/>
          <w:szCs w:val="18"/>
          <w:i w:val="1"/>
          <w:iCs w:val="1"/>
          <w:color w:val="auto"/>
        </w:rPr>
        <w:t>Note 7. Derivative Instruments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color w:val="auto"/>
        </w:rPr>
        <w:t xml:space="preserve"> to the Notes to Unaudited Condensed Consolidated Financial Statements (Part I, Item 1 of this Quarterly Report) for discussion of our hedging activities.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Credit Facility is subject to various financial and negative covenants and, at June 30, 2024, the Company was in compliance with all such covenants. Our Consolidated Total Leveraging Ratio was 3.8, with the covenant requirement at 4.5 at the end of June 30, 2024. Based on our current forecast for the next twelve months, we expect to remain in compliance with the financial and negative covenants.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Plan</w:t>
      </w:r>
    </w:p>
    <w:p>
      <w:pPr>
        <w:spacing w:after="0" w:line="1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11. Treasury Stock</w:t>
      </w:r>
      <w:r>
        <w:rPr>
          <w:rFonts w:ascii="Times New Roman" w:cs="Times New Roman" w:eastAsia="Times New Roman" w:hAnsi="Times New Roman"/>
          <w:sz w:val="18"/>
          <w:szCs w:val="18"/>
          <w:color w:val="auto"/>
        </w:rPr>
        <w:t>, to the Notes to Unaudited Condensed Consolidated Financial Statements (Part I, Item 1 of this Quarterly Report) for further details of our share repurchase programs.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the Board of Directors and will depend upon our financial condition, results of operations, cash flows and other factors deemed relevant by the Board of Directors.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cash and available borrowings under the Senior Credit Facility are sufficient to finance our operations and capital expenditures for the next 12 months and foreseeable future.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financing arrangements during the six months ended June 30, 2024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continue to have cash requirements to support seasonal working capital needs and capital expenditures, to pay interest, to service debt, and to fund acquisitions. As part of our ongoing operations, we enter into contractual arrangements that obligate us to make future cash payments.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Our primary obligations include principal and interest payments on the revolving credit facility and term loan component of the Senior Credit Facility, Securitization Facility and 2025 Notes. See </w:t>
      </w:r>
      <w:r>
        <w:rPr>
          <w:rFonts w:ascii="Times New Roman" w:cs="Times New Roman" w:eastAsia="Times New Roman" w:hAnsi="Times New Roman"/>
          <w:sz w:val="17"/>
          <w:szCs w:val="17"/>
          <w:i w:val="1"/>
          <w:iCs w:val="1"/>
          <w:color w:val="auto"/>
        </w:rPr>
        <w:t>Note 6. Debt</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7"/>
          <w:szCs w:val="17"/>
          <w:color w:val="auto"/>
        </w:rPr>
        <w:t xml:space="preserve"> to the Notes to Unaudited Condensed Consolidated Financial Statements (Part I, Item 1 of this Quarterly Report) for details. We also lease some of our manufacturing facilities and office buildings which have future minimum lease payments. See </w:t>
      </w:r>
      <w:r>
        <w:rPr>
          <w:rFonts w:ascii="Times New Roman" w:cs="Times New Roman" w:eastAsia="Times New Roman" w:hAnsi="Times New Roman"/>
          <w:sz w:val="17"/>
          <w:szCs w:val="17"/>
          <w:i w:val="1"/>
          <w:iCs w:val="1"/>
          <w:color w:val="auto"/>
        </w:rPr>
        <w:t>Note</w:t>
      </w:r>
    </w:p>
    <w:p>
      <w:pPr>
        <w:spacing w:after="0" w:line="2" w:lineRule="exact"/>
        <w:rPr>
          <w:sz w:val="20"/>
          <w:szCs w:val="20"/>
          <w:color w:val="auto"/>
        </w:rPr>
      </w:pPr>
    </w:p>
    <w:p>
      <w:pPr>
        <w:jc w:val="both"/>
        <w:ind w:right="20" w:firstLine="8"/>
        <w:spacing w:after="0" w:line="255" w:lineRule="auto"/>
        <w:tabs>
          <w:tab w:leader="none" w:pos="273"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Leases and Related Party Leases</w:t>
      </w:r>
      <w:r>
        <w:rPr>
          <w:rFonts w:ascii="Times New Roman" w:cs="Times New Roman" w:eastAsia="Times New Roman" w:hAnsi="Times New Roman"/>
          <w:sz w:val="18"/>
          <w:szCs w:val="18"/>
          <w:color w:val="auto"/>
        </w:rPr>
        <w:t>, to the Notes to Unaudited Condensed Consolidated Financial Statements (Part I, Item 1 of this Quarterly Report)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schedule of our future minimum lease payments. Amounts related to our other obligations, including employment agreements and purchase obligations were not material.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has contingent consideration obligations related to prior and current year acquisitions and future pension contribution obligations. See </w:t>
      </w:r>
      <w:r>
        <w:rPr>
          <w:rFonts w:ascii="Times New Roman" w:cs="Times New Roman" w:eastAsia="Times New Roman" w:hAnsi="Times New Roman"/>
          <w:sz w:val="18"/>
          <w:szCs w:val="18"/>
          <w:i w:val="1"/>
          <w:iCs w:val="1"/>
          <w:color w:val="auto"/>
        </w:rPr>
        <w:t>Note</w:t>
      </w:r>
    </w:p>
    <w:p>
      <w:pPr>
        <w:spacing w:after="0" w:line="29" w:lineRule="exact"/>
        <w:rPr>
          <w:sz w:val="20"/>
          <w:szCs w:val="20"/>
          <w:color w:val="auto"/>
        </w:rPr>
      </w:pPr>
    </w:p>
    <w:p>
      <w:pPr>
        <w:jc w:val="both"/>
        <w:ind w:firstLine="8"/>
        <w:spacing w:after="0" w:line="255" w:lineRule="auto"/>
        <w:tabs>
          <w:tab w:leader="none" w:pos="18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Retirement Plans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Note 16. Commitments and Contingencies</w:t>
      </w:r>
      <w:r>
        <w:rPr>
          <w:rFonts w:ascii="Times New Roman" w:cs="Times New Roman" w:eastAsia="Times New Roman" w:hAnsi="Times New Roman"/>
          <w:sz w:val="18"/>
          <w:szCs w:val="18"/>
          <w:color w:val="auto"/>
        </w:rPr>
        <w:t>, to the Notes to Unaudited Condensed Consolidated Financial Statements (Part I, Item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Quarterly Report) for details. The associated obligations are not fixed. We also have a liability for uncertain tax benefits including interest and penalties. We cannot make a reliable estimate of the period in which the uncertain tax benefits may be realized.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based the discussion and analysis of our financial condition and results of operations upon our consolidated financial statements, which have been prepared in conformity with GAAP. The preparation of these financial statements requires us to make estimates and assumptions that affect the reported amount of assets and liabilities, the disclosure of contingent liabilities, and the reported amounts of revenues and expenses. The critical accounting estimates discussed in our Annual Report on Form 10-K for the fiscal year ended December 31, 2023 did not materially change in the six months ended June 30,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9"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color w:val="auto"/>
        </w:rPr>
        <w:t xml:space="preserve">Information regarding new accounting pronouncements is included in </w:t>
      </w:r>
      <w:r>
        <w:rPr>
          <w:rFonts w:ascii="Times New Roman" w:cs="Times New Roman" w:eastAsia="Times New Roman" w:hAnsi="Times New Roman"/>
          <w:sz w:val="18"/>
          <w:szCs w:val="18"/>
          <w:i w:val="1"/>
          <w:iCs w:val="1"/>
          <w:color w:val="auto"/>
        </w:rPr>
        <w:t>Note 1. Basis of Presentation</w:t>
      </w:r>
      <w:r>
        <w:rPr>
          <w:rFonts w:ascii="Times New Roman" w:cs="Times New Roman" w:eastAsia="Times New Roman" w:hAnsi="Times New Roman"/>
          <w:sz w:val="18"/>
          <w:szCs w:val="18"/>
          <w:color w:val="auto"/>
        </w:rPr>
        <w:t>, to the Notes to Unaudited Condensed Consolidated Financial Statements (Part I, Item 1 of this Quarterly Report), and is applicable to the current period’s unaudited condensed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and Other Rate Risks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w:t>
      </w:r>
      <w:r>
        <w:rPr>
          <w:rFonts w:ascii="Times New Roman" w:cs="Times New Roman" w:eastAsia="Times New Roman" w:hAnsi="Times New Roman"/>
          <w:sz w:val="18"/>
          <w:szCs w:val="18"/>
          <w:i w:val="1"/>
          <w:iCs w:val="1"/>
          <w:color w:val="auto"/>
        </w:rPr>
        <w:t>Note 7. Derivative Instruments</w:t>
      </w:r>
      <w:r>
        <w:rPr>
          <w:rFonts w:ascii="Times New Roman" w:cs="Times New Roman" w:eastAsia="Times New Roman" w:hAnsi="Times New Roman"/>
          <w:sz w:val="18"/>
          <w:szCs w:val="18"/>
          <w:color w:val="auto"/>
        </w:rPr>
        <w:t>, to the Notes to Unaudited Condensed Consolidated Financial Statements (Part I, Item 1 of this Quarterly Report) for further information.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discussed herein have not been materially affected by inflation.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are exposed to the risk of interest rate fluctuations on the interest income earned on our cash and cash equivalents.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hypothetical 100 basis points movement in interest rates applicable to our cash and cash equivalents outstanding at June 30, 2024 would impact interest income by approximately $2.0 million on an annual basis. We are subject to foreign currency exchange risk with respect to cash balances maintained in foreign currencies.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interest rate risk relates primarily to U.S. dollar SOFR-indexed borrowings. We use interest rate swap derivative instruments to manage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earnings and cash flow exposure to changes in interest rates. These interest rate swaps fix the interest rate on a portion of our expected SOFR-indexed floating-rate borrowings. These interest rate swaps were designated as cash flow hedges as of June 30, 2024. The total notional amounts related to the Company's interest rate swaps were $1.3 billion with $625.0 million effective as of June 30, 2024. Based on our outstanding borrowings at June 30, 2024, a 100 basis points change in interest rates would have impacted interest expense on the unhedged portion of the debt by $6.4 million on an annualized basis. See </w:t>
      </w:r>
      <w:r>
        <w:rPr>
          <w:rFonts w:ascii="Times New Roman" w:cs="Times New Roman" w:eastAsia="Times New Roman" w:hAnsi="Times New Roman"/>
          <w:sz w:val="18"/>
          <w:szCs w:val="18"/>
          <w:i w:val="1"/>
          <w:iCs w:val="1"/>
          <w:color w:val="auto"/>
        </w:rPr>
        <w:t>Note 7. Derivative Instruments</w:t>
      </w:r>
      <w:r>
        <w:rPr>
          <w:rFonts w:ascii="Times New Roman" w:cs="Times New Roman" w:eastAsia="Times New Roman" w:hAnsi="Times New Roman"/>
          <w:sz w:val="18"/>
          <w:szCs w:val="18"/>
          <w:color w:val="auto"/>
        </w:rPr>
        <w:t>, to the Notes to Unaudited Condensed Consolidated Financial Statements (Part I, Item 1 of this Quarterly Report) for further information regarding interest rate swaps.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June 30, 2024. Based upon this evaluation, our principal executive officer and principal financial officer concluded that our disclosure controls and procedures were effective as of June 30, 2024 to provide such reasonable assurance.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that occurred during the quarter ended June 30, 2024 that have materially affected, or are reasonably likely to materially affect, our internal control over financial reporting.</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response to business integration activities, we have and will continue to further align and streamline the design and operation of the financial control environment to be responsive to the changing business model.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Note 16. Commitments and Contingencies,</w:t>
      </w:r>
      <w:r>
        <w:rPr>
          <w:rFonts w:ascii="Times New Roman" w:cs="Times New Roman" w:eastAsia="Times New Roman" w:hAnsi="Times New Roman"/>
          <w:sz w:val="18"/>
          <w:szCs w:val="18"/>
          <w:color w:val="auto"/>
        </w:rPr>
        <w:t xml:space="preserve"> to the Notes to Unaudited Condensed Consolidated Financial Statements (Part I, Item 1 of this Quarterly Report) for further details on current legal proceedings.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212529"/>
        </w:rPr>
        <w:t xml:space="preserve">There have been no material changes in our risk factors included in our Annual Report on Form 10-K for the fiscal year ended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12529"/>
        </w:rPr>
        <w:t xml:space="preserve"> and subsequent periodic reports filed with the SEC pursuant to the Exchange Act.</w:t>
      </w:r>
    </w:p>
    <w:p>
      <w:pPr>
        <w:spacing w:after="0" w:line="158" w:lineRule="exact"/>
        <w:rPr>
          <w:sz w:val="20"/>
          <w:szCs w:val="20"/>
          <w:color w:val="auto"/>
        </w:rPr>
      </w:pPr>
    </w:p>
    <w:p>
      <w:pPr>
        <w:ind w:right="4140"/>
        <w:spacing w:after="0" w:line="378"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Recent Sale of Unregistered Securities:</w:t>
      </w: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about purchases by the Company during the quarter ended June 30, 2024 of equity securities that are registered by us pursuant to Section 12 of the Exchange Act. Subject to applicable law, share repurchases may be made from time to time in open market transactions, privately negotiated transactions including accelerated share repurchase agreements, or pursuant to instruments and plans complying with Rule 10b5-1 under the Exchange Act, among other types of transactions and arrangements.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316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Total number of shares purchased as part of</w:t>
            </w:r>
          </w:p>
        </w:tc>
        <w:tc>
          <w:tcPr>
            <w:tcW w:w="80" w:type="dxa"/>
            <w:vAlign w:val="bottom"/>
          </w:tcPr>
          <w:p>
            <w:pPr>
              <w:spacing w:after="0"/>
              <w:rPr>
                <w:sz w:val="13"/>
                <w:szCs w:val="13"/>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 shares that</w:t>
            </w:r>
          </w:p>
        </w:tc>
        <w:tc>
          <w:tcPr>
            <w:tcW w:w="0" w:type="dxa"/>
            <w:vAlign w:val="bottom"/>
          </w:tcPr>
          <w:p>
            <w:pPr>
              <w:spacing w:after="0"/>
              <w:rPr>
                <w:sz w:val="1"/>
                <w:szCs w:val="1"/>
                <w:color w:val="auto"/>
              </w:rPr>
            </w:pPr>
          </w:p>
        </w:tc>
      </w:tr>
      <w:tr>
        <w:trPr>
          <w:trHeight w:val="81"/>
        </w:trPr>
        <w:tc>
          <w:tcPr>
            <w:tcW w:w="2100" w:type="dxa"/>
            <w:vAlign w:val="bottom"/>
            <w:gridSpan w:val="2"/>
            <w:vMerge w:val="restart"/>
          </w:tcPr>
          <w:p>
            <w:pPr>
              <w:ind w:left="800"/>
              <w:spacing w:after="0" w:line="146" w:lineRule="exact"/>
              <w:rPr>
                <w:sz w:val="20"/>
                <w:szCs w:val="20"/>
                <w:color w:val="auto"/>
              </w:rPr>
            </w:pPr>
            <w:r>
              <w:rPr>
                <w:rFonts w:ascii="Times New Roman" w:cs="Times New Roman" w:eastAsia="Times New Roman" w:hAnsi="Times New Roman"/>
                <w:sz w:val="14"/>
                <w:szCs w:val="14"/>
                <w:b w:val="1"/>
                <w:bCs w:val="1"/>
                <w:color w:val="auto"/>
              </w:rPr>
              <w:t>Period</w:t>
            </w:r>
          </w:p>
        </w:tc>
        <w:tc>
          <w:tcPr>
            <w:tcW w:w="1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68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may yet be purchased under the plans or</w:t>
            </w:r>
          </w:p>
        </w:tc>
        <w:tc>
          <w:tcPr>
            <w:tcW w:w="0" w:type="dxa"/>
            <w:vAlign w:val="bottom"/>
          </w:tcPr>
          <w:p>
            <w:pPr>
              <w:spacing w:after="0"/>
              <w:rPr>
                <w:sz w:val="1"/>
                <w:szCs w:val="1"/>
                <w:color w:val="auto"/>
              </w:rPr>
            </w:pPr>
          </w:p>
        </w:tc>
      </w:tr>
      <w:tr>
        <w:trPr>
          <w:trHeight w:val="65"/>
        </w:trPr>
        <w:tc>
          <w:tcPr>
            <w:tcW w:w="2100" w:type="dxa"/>
            <w:vAlign w:val="bottom"/>
            <w:gridSpan w:val="2"/>
            <w:vMerge w:val="continue"/>
          </w:tcPr>
          <w:p>
            <w:pPr>
              <w:spacing w:after="0"/>
              <w:rPr>
                <w:sz w:val="5"/>
                <w:szCs w:val="5"/>
                <w:color w:val="auto"/>
              </w:rPr>
            </w:pPr>
          </w:p>
        </w:tc>
        <w:tc>
          <w:tcPr>
            <w:tcW w:w="1780" w:type="dxa"/>
            <w:vAlign w:val="bottom"/>
            <w:vMerge w:val="restart"/>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160" w:type="dxa"/>
            <w:vAlign w:val="bottom"/>
            <w:vMerge w:val="restart"/>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publicly announced repurchase programs</w:t>
            </w:r>
          </w:p>
        </w:tc>
        <w:tc>
          <w:tcPr>
            <w:tcW w:w="80" w:type="dxa"/>
            <w:vAlign w:val="bottom"/>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0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04/01/2024 - 04/30/2024</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05/01/2024 - 05/31/2024</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1,273,190</w:t>
            </w: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39.27</w:t>
            </w:r>
          </w:p>
        </w:tc>
        <w:tc>
          <w:tcPr>
            <w:tcW w:w="80" w:type="dxa"/>
            <w:vAlign w:val="bottom"/>
          </w:tcPr>
          <w:p>
            <w:pPr>
              <w:spacing w:after="0"/>
              <w:rPr>
                <w:sz w:val="18"/>
                <w:szCs w:val="18"/>
                <w:color w:val="auto"/>
              </w:rPr>
            </w:pPr>
          </w:p>
        </w:tc>
        <w:tc>
          <w:tcPr>
            <w:tcW w:w="31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1,273,190</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06/01/2024 - 06/30/2024</w:t>
            </w:r>
          </w:p>
        </w:tc>
        <w:tc>
          <w:tcPr>
            <w:tcW w:w="10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1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1,273,190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1,273,190</w:t>
            </w:r>
          </w:p>
        </w:tc>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16, 2024, the Company entered into a $50 million accelerated share repurchase (“May 2024 ASR”) and received 1.3 million shares of common stock at inception of the May 2024 ASR, which represented approximately 70% of the expected total shares under the May 2024 ASR. The remaining repurchase transactions are expected to be completed in the third quarter of 2024.</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According to the terms of our Senior Credit Facility, our ability to declare or make any dividend payments is limited. See </w:t>
      </w:r>
      <w:r>
        <w:rPr>
          <w:rFonts w:ascii="Times New Roman" w:cs="Times New Roman" w:eastAsia="Times New Roman" w:hAnsi="Times New Roman"/>
          <w:sz w:val="18"/>
          <w:szCs w:val="18"/>
          <w:i w:val="1"/>
          <w:iCs w:val="1"/>
          <w:color w:val="auto"/>
        </w:rPr>
        <w:t>Note 6. Debt</w:t>
      </w:r>
      <w:r>
        <w:rPr>
          <w:rFonts w:ascii="Times New Roman" w:cs="Times New Roman" w:eastAsia="Times New Roman" w:hAnsi="Times New Roman"/>
          <w:sz w:val="18"/>
          <w:szCs w:val="18"/>
          <w:color w:val="auto"/>
        </w:rPr>
        <w:t>, to the Notes to Unaudited Condensed Consolidated Financial Statements (Part I, Item 1 of this Quarterly Report) for a description of working capital restrictions and limitation on the payment of dividends.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31"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During the quarter ended June 30, 2024, none of the Company’s directors or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Exhibits</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3.1(a)</w:t>
            </w:r>
          </w:p>
        </w:tc>
        <w:tc>
          <w:tcPr>
            <w:tcW w:w="9560" w:type="dxa"/>
            <w:vAlign w:val="bottom"/>
            <w:gridSpan w:val="15"/>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Amended and Restated Certificate of Incorporation of the Company dated February 16, 1993 (Incorporated by reference to Exhibit</w:t>
              </w:r>
            </w:hyperlink>
          </w:p>
        </w:tc>
      </w:tr>
      <w:tr>
        <w:trPr>
          <w:trHeight w:val="156"/>
        </w:trPr>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1(a)</w:t>
              </w:r>
              <w:r>
                <w:rPr>
                  <w:rFonts w:ascii="Times New Roman" w:cs="Times New Roman" w:eastAsia="Times New Roman" w:hAnsi="Times New Roman"/>
                  <w:sz w:val="18"/>
                  <w:szCs w:val="18"/>
                  <w:color w:val="0000FF"/>
                  <w:w w:val="99"/>
                </w:rPr>
                <w:t xml:space="preserve"> to the Company’s Annual Report on Form 10-K for the fiscal year ended December 31, 2005)</w:t>
              </w:r>
            </w:hyperlink>
          </w:p>
        </w:tc>
        <w:tc>
          <w:tcPr>
            <w:tcW w:w="2200" w:type="dxa"/>
            <w:vAlign w:val="bottom"/>
            <w:tcBorders>
              <w:top w:val="single" w:sz="8" w:color="0000FF"/>
            </w:tcBorders>
            <w:gridSpan w:val="10"/>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3.1(b)</w:t>
            </w:r>
          </w:p>
        </w:tc>
        <w:tc>
          <w:tcPr>
            <w:tcW w:w="9560" w:type="dxa"/>
            <w:vAlign w:val="bottom"/>
            <w:gridSpan w:val="15"/>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Certificate of Amendment to Amended and Restated Certificate of Incorporation of the Company dated May 22, 1998 (Incorporated</w:t>
              </w:r>
            </w:hyperlink>
          </w:p>
        </w:tc>
      </w:tr>
      <w:tr>
        <w:trPr>
          <w:trHeight w:val="155"/>
        </w:trPr>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by reference to Exhibit 3.1(b) to the Company’s Annual Report on Form 10-K for the fiscal year ended December 31, 1998)</w:t>
              </w:r>
            </w:hyperlink>
          </w:p>
        </w:tc>
        <w:tc>
          <w:tcPr>
            <w:tcW w:w="5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3.1(c)</w:t>
            </w:r>
          </w:p>
        </w:tc>
        <w:tc>
          <w:tcPr>
            <w:tcW w:w="9560" w:type="dxa"/>
            <w:vAlign w:val="bottom"/>
            <w:gridSpan w:val="15"/>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Certificate of Amendment to Amended and Restated Certificate of Incorporation of the Company dated May 17, 1999 (Incorporated</w:t>
              </w:r>
            </w:hyperlink>
          </w:p>
        </w:tc>
      </w:tr>
      <w:tr>
        <w:trPr>
          <w:trHeight w:val="156"/>
        </w:trPr>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by reference to Exhibit 3.1(c) to the Company’s Annual Report on Form 10-K for the fiscal year ended December 31, 2004)</w:t>
              </w:r>
            </w:hyperlink>
          </w:p>
        </w:tc>
        <w:tc>
          <w:tcPr>
            <w:tcW w:w="6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3.1(d)</w:t>
            </w:r>
          </w:p>
        </w:tc>
        <w:tc>
          <w:tcPr>
            <w:tcW w:w="9560" w:type="dxa"/>
            <w:vAlign w:val="bottom"/>
            <w:gridSpan w:val="15"/>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Certificate of Amendment to Amended and Restated Certificate of Incorporation of the Company dated December 21, 2016</w:t>
              </w:r>
            </w:hyperlink>
          </w:p>
        </w:tc>
      </w:tr>
      <w:tr>
        <w:trPr>
          <w:trHeight w:val="156"/>
        </w:trPr>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9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(Incorporated by reference to Exhibit 3.1 to the Company’s Current Report on Form 8-K filed on December 22, 2016)</w:t>
              </w:r>
            </w:hyperlink>
          </w:p>
        </w:tc>
        <w:tc>
          <w:tcPr>
            <w:tcW w:w="140" w:type="dxa"/>
            <w:vAlign w:val="bottom"/>
            <w:gridSpan w:val="3"/>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60" w:type="dxa"/>
            <w:vAlign w:val="bottom"/>
            <w:gridSpan w:val="15"/>
          </w:tcPr>
          <w:p>
            <w:pPr>
              <w:spacing w:after="0"/>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Third Amended and Restated Bylaws of Integra LifeSciences Holdings Corporation, effective as of February 21, 2023 (Incorporated</w:t>
              </w:r>
            </w:hyperlink>
          </w:p>
        </w:tc>
      </w:tr>
      <w:tr>
        <w:trPr>
          <w:trHeight w:val="155"/>
        </w:trPr>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by reference to Exhibit 3.3 to the Company’s Annual Report on Form 10-K for the fiscal year ended December 31, 2022 filed on</w:t>
              </w:r>
            </w:hyperlink>
          </w:p>
        </w:tc>
        <w:tc>
          <w:tcPr>
            <w:tcW w:w="20" w:type="dxa"/>
            <w:vAlign w:val="bottom"/>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95">
              <w:r>
                <w:rPr>
                  <w:rFonts w:ascii="Times New Roman" w:cs="Times New Roman" w:eastAsia="Times New Roman" w:hAnsi="Times New Roman"/>
                  <w:sz w:val="18"/>
                  <w:szCs w:val="18"/>
                  <w:color w:val="0000FF"/>
                  <w:w w:val="98"/>
                </w:rPr>
                <w:t>February 22, 2023)</w:t>
              </w:r>
            </w:hyperlink>
          </w:p>
        </w:tc>
        <w:tc>
          <w:tcPr>
            <w:tcW w:w="7880" w:type="dxa"/>
            <w:vAlign w:val="bottom"/>
            <w:tcBorders>
              <w:top w:val="single" w:sz="8" w:color="0000FF"/>
            </w:tcBorders>
            <w:gridSpan w:val="10"/>
          </w:tcPr>
          <w:p>
            <w:pPr>
              <w:spacing w:after="0"/>
              <w:rPr>
                <w:sz w:val="14"/>
                <w:szCs w:val="14"/>
                <w:color w:val="auto"/>
              </w:rPr>
            </w:pPr>
          </w:p>
        </w:tc>
        <w:tc>
          <w:tcPr>
            <w:tcW w:w="300" w:type="dxa"/>
            <w:vAlign w:val="bottom"/>
            <w:gridSpan w:val="4"/>
          </w:tcPr>
          <w:p>
            <w:pPr>
              <w:spacing w:after="0"/>
              <w:rPr>
                <w:sz w:val="14"/>
                <w:szCs w:val="14"/>
                <w:color w:val="auto"/>
              </w:rPr>
            </w:pPr>
          </w:p>
        </w:tc>
      </w:tr>
      <w:tr>
        <w:trPr>
          <w:trHeight w:val="31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8"/>
              </w:rPr>
              <w:t>10.1*</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60" w:type="dxa"/>
            <w:vAlign w:val="bottom"/>
            <w:gridSpan w:val="15"/>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Amendment No. 1 to the Integra LifeSciences Holdings Corporation Fifth Amended and Restated 2003 Equity Incentive Plan</w:t>
              </w:r>
            </w:hyperlink>
          </w:p>
        </w:tc>
      </w:tr>
      <w:tr>
        <w:trPr>
          <w:trHeight w:val="156"/>
        </w:trPr>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(Incorporated by reference to Exhibit 10.1 to the Company’s Current Report on Form 8-K filed on May 13, 2024)</w:t>
              </w:r>
            </w:hyperlink>
          </w:p>
        </w:tc>
        <w:tc>
          <w:tcPr>
            <w:tcW w:w="520" w:type="dxa"/>
            <w:vAlign w:val="bottom"/>
            <w:gridSpan w:val="5"/>
          </w:tcPr>
          <w:p>
            <w:pPr>
              <w:spacing w:after="0"/>
              <w:rPr>
                <w:sz w:val="13"/>
                <w:szCs w:val="13"/>
                <w:color w:val="auto"/>
              </w:rPr>
            </w:pPr>
          </w:p>
        </w:tc>
      </w:tr>
      <w:tr>
        <w:trPr>
          <w:trHeight w:val="81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5"/>
              </w:rPr>
              <w:t>31.1+</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Section 302 of the Sarbanes-Oxley Act of 2002</w:t>
            </w:r>
          </w:p>
        </w:tc>
        <w:tc>
          <w:tcPr>
            <w:tcW w:w="720" w:type="dxa"/>
            <w:vAlign w:val="bottom"/>
            <w:tcBorders>
              <w:top w:val="single" w:sz="8" w:color="0000FF"/>
            </w:tcBorders>
          </w:tcPr>
          <w:p>
            <w:pPr>
              <w:spacing w:after="0"/>
              <w:rPr>
                <w:sz w:val="24"/>
                <w:szCs w:val="24"/>
                <w:color w:val="auto"/>
              </w:rPr>
            </w:pPr>
          </w:p>
        </w:tc>
        <w:tc>
          <w:tcPr>
            <w:tcW w:w="1400" w:type="dxa"/>
            <w:vAlign w:val="bottom"/>
            <w:gridSpan w:val="10"/>
          </w:tcPr>
          <w:p>
            <w:pPr>
              <w:spacing w:after="0"/>
              <w:rPr>
                <w:sz w:val="24"/>
                <w:szCs w:val="24"/>
                <w:color w:val="auto"/>
              </w:rPr>
            </w:pPr>
          </w:p>
        </w:tc>
      </w:tr>
      <w:tr>
        <w:trPr>
          <w:trHeight w:val="31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5"/>
              </w:rPr>
              <w:t>31.2+</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 Sarbanes-Oxley Act of 2002</w:t>
            </w:r>
          </w:p>
        </w:tc>
      </w:tr>
      <w:tr>
        <w:trPr>
          <w:trHeight w:val="20"/>
        </w:trPr>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380" w:type="dxa"/>
            <w:vAlign w:val="bottom"/>
            <w:gridSpan w:val="3"/>
            <w:shd w:val="clear" w:color="auto" w:fill="0000FF"/>
          </w:tcPr>
          <w:p>
            <w:pPr>
              <w:spacing w:after="0" w:line="20" w:lineRule="exact"/>
              <w:rPr>
                <w:sz w:val="1"/>
                <w:szCs w:val="1"/>
                <w:color w:val="auto"/>
              </w:rPr>
            </w:pPr>
          </w:p>
        </w:tc>
        <w:tc>
          <w:tcPr>
            <w:tcW w:w="2180" w:type="dxa"/>
            <w:vAlign w:val="bottom"/>
            <w:gridSpan w:val="12"/>
          </w:tcPr>
          <w:p>
            <w:pPr>
              <w:spacing w:after="0" w:line="20" w:lineRule="exact"/>
              <w:rPr>
                <w:sz w:val="1"/>
                <w:szCs w:val="1"/>
                <w:color w:val="auto"/>
              </w:rPr>
            </w:pPr>
          </w:p>
        </w:tc>
      </w:tr>
      <w:tr>
        <w:trPr>
          <w:trHeight w:val="31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5"/>
              </w:rPr>
              <w:t>32.1+</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Section 906 of the Sarbanes-Oxley Act of 2002</w:t>
            </w:r>
          </w:p>
        </w:tc>
        <w:tc>
          <w:tcPr>
            <w:tcW w:w="2120" w:type="dxa"/>
            <w:vAlign w:val="bottom"/>
            <w:gridSpan w:val="11"/>
          </w:tcPr>
          <w:p>
            <w:pPr>
              <w:spacing w:after="0"/>
              <w:rPr>
                <w:sz w:val="24"/>
                <w:szCs w:val="24"/>
                <w:color w:val="auto"/>
              </w:rPr>
            </w:pPr>
          </w:p>
        </w:tc>
      </w:tr>
      <w:tr>
        <w:trPr>
          <w:trHeight w:val="31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5"/>
              </w:rPr>
              <w:t>32.2+</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906 of the Sarbanes-Oxley Act of 2002</w:t>
            </w:r>
          </w:p>
        </w:tc>
      </w:tr>
      <w:tr>
        <w:trPr>
          <w:trHeight w:val="20"/>
        </w:trPr>
        <w:tc>
          <w:tcPr>
            <w:tcW w:w="1500" w:type="dxa"/>
            <w:vAlign w:val="bottom"/>
            <w:gridSpan w:val="3"/>
          </w:tcPr>
          <w:p>
            <w:pPr>
              <w:spacing w:after="0" w:line="20" w:lineRule="exact"/>
              <w:rPr>
                <w:sz w:val="1"/>
                <w:szCs w:val="1"/>
                <w:color w:val="auto"/>
              </w:rPr>
            </w:pPr>
          </w:p>
        </w:tc>
        <w:tc>
          <w:tcPr>
            <w:tcW w:w="7380" w:type="dxa"/>
            <w:vAlign w:val="bottom"/>
            <w:gridSpan w:val="3"/>
            <w:shd w:val="clear" w:color="auto" w:fill="0000FF"/>
          </w:tcPr>
          <w:p>
            <w:pPr>
              <w:spacing w:after="0" w:line="20" w:lineRule="exact"/>
              <w:rPr>
                <w:sz w:val="1"/>
                <w:szCs w:val="1"/>
                <w:color w:val="auto"/>
              </w:rPr>
            </w:pPr>
          </w:p>
        </w:tc>
        <w:tc>
          <w:tcPr>
            <w:tcW w:w="2180" w:type="dxa"/>
            <w:vAlign w:val="bottom"/>
            <w:gridSpan w:val="12"/>
          </w:tcPr>
          <w:p>
            <w:pPr>
              <w:spacing w:after="0" w:line="20" w:lineRule="exact"/>
              <w:rPr>
                <w:sz w:val="1"/>
                <w:szCs w:val="1"/>
                <w:color w:val="auto"/>
              </w:rPr>
            </w:pPr>
          </w:p>
        </w:tc>
      </w:tr>
      <w:tr>
        <w:trPr>
          <w:trHeight w:val="304"/>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9560" w:type="dxa"/>
            <w:vAlign w:val="bottom"/>
            <w:gridSpan w:val="15"/>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w:t>
            </w:r>
          </w:p>
        </w:tc>
      </w:tr>
      <w:tr>
        <w:trPr>
          <w:trHeight w:val="234"/>
        </w:trPr>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46"/>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5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38"/>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95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95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338"/>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95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338"/>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95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03" w:lineRule="exact"/>
        <w:rPr>
          <w:sz w:val="20"/>
          <w:szCs w:val="20"/>
          <w:color w:val="auto"/>
        </w:rPr>
      </w:pPr>
    </w:p>
    <w:p>
      <w:pPr>
        <w:ind w:left="1580" w:hanging="1507"/>
        <w:spacing w:after="0"/>
        <w:tabs>
          <w:tab w:leader="none" w:pos="15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60"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7" w:lineRule="exact"/>
        <w:rPr>
          <w:sz w:val="20"/>
          <w:szCs w:val="20"/>
          <w:color w:val="auto"/>
        </w:rPr>
      </w:pPr>
    </w:p>
    <w:p>
      <w:pPr>
        <w:ind w:left="700" w:hanging="634"/>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this document is filed as an exhibit herewith.</w:t>
      </w:r>
    </w:p>
    <w:p>
      <w:pPr>
        <w:spacing w:after="0" w:line="23" w:lineRule="exact"/>
        <w:rPr>
          <w:sz w:val="20"/>
          <w:szCs w:val="20"/>
          <w:color w:val="auto"/>
        </w:rPr>
      </w:pPr>
    </w:p>
    <w:p>
      <w:pPr>
        <w:ind w:left="700" w:right="20" w:hanging="634"/>
        <w:spacing w:after="0" w:line="219"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of Integra LifeSciences Holdings Corporation Quarterly Report on Form 10-Q for the quarter ended June 30, 2024 filed on 07/29/2024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tc>
      </w:tr>
      <w:tr>
        <w:trPr>
          <w:trHeight w:val="4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29, 2024</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De Witte</w:t>
            </w:r>
          </w:p>
        </w:tc>
      </w:tr>
      <w:tr>
        <w:trPr>
          <w:trHeight w:val="218"/>
        </w:trPr>
        <w:tc>
          <w:tcPr>
            <w:tcW w:w="5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Jan De Witte</w:t>
            </w:r>
          </w:p>
        </w:tc>
      </w:tr>
      <w:tr>
        <w:trPr>
          <w:trHeight w:val="229"/>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29, 2024</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Lea Knight</w:t>
            </w:r>
          </w:p>
        </w:tc>
      </w:tr>
      <w:tr>
        <w:trPr>
          <w:trHeight w:val="218"/>
        </w:trPr>
        <w:tc>
          <w:tcPr>
            <w:tcW w:w="5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Lea Knight</w:t>
            </w:r>
          </w:p>
        </w:tc>
      </w:tr>
      <w:tr>
        <w:trPr>
          <w:trHeight w:val="229"/>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0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29, 2024</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A. Mosebrook</w:t>
            </w:r>
          </w:p>
        </w:tc>
      </w:tr>
      <w:tr>
        <w:trPr>
          <w:trHeight w:val="218"/>
        </w:trPr>
        <w:tc>
          <w:tcPr>
            <w:tcW w:w="5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Jeffrey A. Mosebrook</w:t>
            </w:r>
          </w:p>
        </w:tc>
      </w:tr>
      <w:tr>
        <w:trPr>
          <w:trHeight w:val="230"/>
        </w:trPr>
        <w:tc>
          <w:tcPr>
            <w:tcW w:w="5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w:t>
            </w:r>
          </w:p>
        </w:tc>
      </w:tr>
      <w:tr>
        <w:trPr>
          <w:trHeight w:val="234"/>
        </w:trPr>
        <w:tc>
          <w:tcPr>
            <w:tcW w:w="5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 De Witte, certify that:</w:t>
      </w:r>
    </w:p>
    <w:p>
      <w:pPr>
        <w:spacing w:after="0" w:line="11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Integra LifeSciences Holdings Corporation;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7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29, 2024</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 De Witte</w:t>
            </w:r>
          </w:p>
        </w:tc>
      </w:tr>
      <w:tr>
        <w:trPr>
          <w:trHeight w:val="216"/>
        </w:trPr>
        <w:tc>
          <w:tcPr>
            <w:tcW w:w="6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 De Witte</w:t>
            </w:r>
          </w:p>
        </w:tc>
      </w:tr>
      <w:tr>
        <w:trPr>
          <w:trHeight w:val="236"/>
        </w:trPr>
        <w:tc>
          <w:tcPr>
            <w:tcW w:w="6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Lea Knight, certify that:</w:t>
      </w:r>
    </w:p>
    <w:p>
      <w:pPr>
        <w:spacing w:after="0" w:line="11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Integra LifeSciences Holdings Corporation;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July 29, 2024</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Lea Knight</w:t>
            </w:r>
          </w:p>
        </w:tc>
      </w:tr>
      <w:tr>
        <w:trPr>
          <w:trHeight w:val="216"/>
        </w:trPr>
        <w:tc>
          <w:tcPr>
            <w:tcW w:w="6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 Knight</w:t>
            </w:r>
          </w:p>
        </w:tc>
      </w:tr>
      <w:tr>
        <w:trPr>
          <w:trHeight w:val="236"/>
        </w:trPr>
        <w:tc>
          <w:tcPr>
            <w:tcW w:w="6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bl>
    <w:p>
      <w:pPr>
        <w:sectPr>
          <w:pgSz w:w="11900" w:h="16838" w:orient="portrait"/>
          <w:cols w:equalWidth="0" w:num="1">
            <w:col w:w="11240"/>
          </w:cols>
          <w:pgMar w:left="320" w:top="88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Integra LifeSciences Holdings Corporation (the “Company”) on Form 10-Q for the quarter ended June 30, 2024 as filed with the Securities Exchange Commission on the date hereof (the “Report”), I, Jan De Witte, President and Chief Executive Officer of the Company, hereby certify, pursuant to 18 U.S.C. §1350, as adopted pursuant to §906 of the Sarbanes-Oxley Act of 2002, that to the best of my knowledge:</w:t>
      </w:r>
    </w:p>
    <w:p>
      <w:pPr>
        <w:spacing w:after="0" w:line="203"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July 29, 2024</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 De Witte</w:t>
            </w:r>
          </w:p>
        </w:tc>
      </w:tr>
      <w:tr>
        <w:trPr>
          <w:trHeight w:val="216"/>
        </w:trPr>
        <w:tc>
          <w:tcPr>
            <w:tcW w:w="5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 De Witte</w:t>
            </w:r>
          </w:p>
        </w:tc>
      </w:tr>
      <w:tr>
        <w:trPr>
          <w:trHeight w:val="236"/>
        </w:trPr>
        <w:tc>
          <w:tcPr>
            <w:tcW w:w="5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Integra LifeSciences Holdings Corporation (the “Company”) on Form 10-Q for the quarter ended June 30, 2024 as filed with the Securities Exchange Commission on the date hereof (the “Report”), I, Lea Knight, Executive Vice President and Chief Financial Officer of the Company, hereby certify, pursuant to 18 U.S.C. §1350, as adopted pursuant to §906 of the Sarbanes-Oxley Act of 2002, that to the best of my knowledge:</w:t>
      </w:r>
    </w:p>
    <w:p>
      <w:pPr>
        <w:spacing w:after="0" w:line="207"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July 29, 2024</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Lea Knight</w:t>
            </w:r>
          </w:p>
        </w:tc>
      </w:tr>
      <w:tr>
        <w:trPr>
          <w:trHeight w:val="216"/>
        </w:trPr>
        <w:tc>
          <w:tcPr>
            <w:tcW w:w="5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 Knight</w:t>
            </w:r>
          </w:p>
        </w:tc>
      </w:tr>
      <w:tr>
        <w:trPr>
          <w:trHeight w:val="236"/>
        </w:trPr>
        <w:tc>
          <w:tcPr>
            <w:tcW w:w="5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lowerRoman"/>
      <w:start w:val="1"/>
    </w:lvl>
    <w:lvl w:ilvl="1">
      <w:lvlJc w:val="left"/>
      <w:lvlText w:val="%2."/>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0"/>
    </w:lvl>
  </w:abstractNum>
  <w:abstractNum w:abstractNumId="9">
    <w:nsid w:val="109CF92E"/>
    <w:multiLevelType w:val="hybridMultilevel"/>
    <w:lvl w:ilvl="0">
      <w:lvlJc w:val="left"/>
      <w:lvlText w:val="%1."/>
      <w:numFmt w:val="decimal"/>
      <w:start w:val="9"/>
    </w:lvl>
  </w:abstractNum>
  <w:abstractNum w:abstractNumId="10">
    <w:nsid w:val="DED7263"/>
    <w:multiLevelType w:val="hybridMultilevel"/>
    <w:lvl w:ilvl="0">
      <w:lvlJc w:val="left"/>
      <w:lvlText w:val="*"/>
      <w:numFmt w:val="bullet"/>
      <w:start w:val="1"/>
    </w:lvl>
    <w:lvl w:ilvl="1">
      <w:lvlJc w:val="left"/>
      <w:lvlText w:val="%2"/>
      <w:numFmt w:val="decimal"/>
      <w:start w:val="104"/>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7" Type="http://schemas.openxmlformats.org/officeDocument/2006/relationships/image" Target="media/image84.png"/><Relationship Id="rId91" Type="http://schemas.openxmlformats.org/officeDocument/2006/relationships/hyperlink" Target="https://www.sec.gov/Archives/edgar/data/917520/000091752006000066/ex3-1aform10k031406.txt" TargetMode="External"/><Relationship Id="rId92" Type="http://schemas.openxmlformats.org/officeDocument/2006/relationships/hyperlink" Target="https://www.sec.gov/Archives/edgar/data/917520/0000889812-99-001063.txt" TargetMode="External"/><Relationship Id="rId93" Type="http://schemas.openxmlformats.org/officeDocument/2006/relationships/hyperlink" Target="https://www.sec.gov/Archives/edgar/data/917520/000095012305003217/y06769exv3w1wc.txt" TargetMode="External"/><Relationship Id="rId94" Type="http://schemas.openxmlformats.org/officeDocument/2006/relationships/hyperlink" Target="https://www.sec.gov/Archives/edgar/data/917520/000091752016000107/ex_3x1xfileddecember22x2016.htm" TargetMode="External"/><Relationship Id="rId95" Type="http://schemas.openxmlformats.org/officeDocument/2006/relationships/hyperlink" Target="https://www.sec.gov/Archives/edgar/data/917520/000091752023000015/iart-20221231xexx33.htm" TargetMode="External"/><Relationship Id="rId96" Type="http://schemas.openxmlformats.org/officeDocument/2006/relationships/hyperlink" Target="https://www.sec.gov/Archives/edgar/data/917520/000091752024000066/amendmenttoequityincent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2024-07-29T15:25:29Z</dcterms:created>
  <dcterms:modified xsi:type="dcterms:W3CDTF">2024-07-29T15:25:29Z</dcterms:modified>
</cp:coreProperties>
</file>