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Washington, D.C. 20549</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31, 2025</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INTEGRA LIFESCIENCES HOLDINGS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58" w:lineRule="exact"/>
        <w:rPr>
          <w:sz w:val="24"/>
          <w:szCs w:val="24"/>
          <w:color w:val="auto"/>
        </w:rPr>
      </w:pPr>
    </w:p>
    <w:tbl>
      <w:tblPr>
        <w:tblLayout w:type="fixed"/>
        <w:tblInd w:w="1660" w:type="dxa"/>
        <w:tblCellMar>
          <w:top w:w="0" w:type="dxa"/>
          <w:left w:w="0" w:type="dxa"/>
          <w:bottom w:w="0" w:type="dxa"/>
          <w:right w:w="0" w:type="dxa"/>
        </w:tblCellMar>
      </w:tblP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0-26224</w:t>
            </w: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51-0317849</w:t>
            </w:r>
          </w:p>
        </w:tc>
      </w:tr>
      <w:tr>
        <w:trPr>
          <w:trHeight w:val="189"/>
        </w:trPr>
        <w:tc>
          <w:tcPr>
            <w:tcW w:w="32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2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(Commission File Number)</w:t>
            </w:r>
          </w:p>
        </w:tc>
        <w:tc>
          <w:tcPr>
            <w:tcW w:w="228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(IRS Employer Identification</w:t>
            </w:r>
          </w:p>
        </w:tc>
      </w:t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or Organization)</w:t>
            </w:r>
          </w:p>
        </w:tc>
        <w:tc>
          <w:tcPr>
            <w:tcW w:w="2260" w:type="dxa"/>
            <w:vAlign w:val="bottom"/>
          </w:tcPr>
          <w:p>
            <w:pPr>
              <w:spacing w:after="0"/>
              <w:rPr>
                <w:sz w:val="20"/>
                <w:szCs w:val="20"/>
                <w:color w:val="auto"/>
              </w:rPr>
            </w:pP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No.)</w:t>
            </w:r>
          </w:p>
        </w:tc>
      </w:tr>
    </w:tbl>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1100 Campus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Princeton, NJ 08540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(609) 275-0500</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1"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5"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5"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Section12(b) of the Act:</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90"/>
        </w:trPr>
        <w:tc>
          <w:tcPr>
            <w:tcW w:w="1380" w:type="dxa"/>
            <w:vAlign w:val="bottom"/>
          </w:tcPr>
          <w:p>
            <w:pPr>
              <w:spacing w:after="0"/>
              <w:rPr>
                <w:sz w:val="24"/>
                <w:szCs w:val="24"/>
                <w:color w:val="auto"/>
              </w:rPr>
            </w:pPr>
          </w:p>
        </w:tc>
        <w:tc>
          <w:tcPr>
            <w:tcW w:w="3040" w:type="dxa"/>
            <w:vAlign w:val="bottom"/>
            <w:gridSpan w:val="2"/>
          </w:tcPr>
          <w:p>
            <w:pPr>
              <w:jc w:val="center"/>
              <w:ind w:right="17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5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600" w:type="dxa"/>
            <w:vAlign w:val="bottom"/>
            <w:gridSpan w:val="2"/>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r>
      <w:tr>
        <w:trPr>
          <w:trHeight w:val="20"/>
        </w:trPr>
        <w:tc>
          <w:tcPr>
            <w:tcW w:w="1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50"/>
        </w:trPr>
        <w:tc>
          <w:tcPr>
            <w:tcW w:w="44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640" w:type="dxa"/>
            <w:vAlign w:val="bottom"/>
          </w:tcPr>
          <w:p>
            <w:pPr>
              <w:spacing w:after="0"/>
              <w:rPr>
                <w:sz w:val="21"/>
                <w:szCs w:val="21"/>
                <w:color w:val="auto"/>
              </w:rPr>
            </w:pPr>
          </w:p>
        </w:tc>
        <w:tc>
          <w:tcPr>
            <w:tcW w:w="194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5"/>
              </w:rPr>
              <w:t>IART</w:t>
            </w:r>
          </w:p>
        </w:tc>
        <w:tc>
          <w:tcPr>
            <w:tcW w:w="820" w:type="dxa"/>
            <w:vAlign w:val="bottom"/>
          </w:tcPr>
          <w:p>
            <w:pPr>
              <w:spacing w:after="0"/>
              <w:rPr>
                <w:sz w:val="21"/>
                <w:szCs w:val="2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9"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169"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31, 2025, Integra LifeSciences Holdings Corporation (the “Company”) issued a press release announcing financial results for the quarter ended June 30, 2025 (the “Press Release”). A copy of the Press Release is attached as Exhibit 99.1 to this Current Report on Form 8-K and is incorporated by reference into this Item. In the financial statements portion of the Press Release, the Company has included a reconciliation of GAAP revenues to organic revenues for the quarters ended June 30, 2025 and 2024, GAAP net income to adjusted earnings before interest, taxes, depreciation and amortization (“EBITDA”) for the quarters ended June 30, 2025 and 2024, GAAP net income to adjusted net income for the quarters ended June 30, 2025 and 2024, GAAP gross profits to adjusted gross profits for the quarters ended June 30, 2025 and 2024, GAAP gross margin to adjusted gross margin for the quarters ended June 30, 2025 and 2024, GAAP earnings per diluted share to adjusted earnings per diluted share for the quarters ended June 30, 2025 and 2024, GAAP total debt to net debt for the quarters ended June 30, 2025 and December 31, 2024, and GAAP operating cash flow to free cash flow and adjusted free cash flow conversion used by management for the quarters and twelve months ended June 30, 2025 and 2024.</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Press Release, the Company provided forward-looking guidance regarding adjusted earnings per diluted share but did not provide a reconciliation to GAAP earnings per share, because certain GAAP expense items are highly variable and management is unable to predict them with reasonable certainty and without unreasonable effort.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on Form 8-K (including the Press Release and selected historical financial information) is being furnished and shall not be deemed “filed” for the purposes of Section 18 of the Securities Exchange Act of 1934, as amended (the “Exchange Act”), or otherwise subject to the liabilities of that Section. The information contained in Item 2.02 of this Current Report on Form 8-K (including the Press Release and selected historical financial information) shall not be incorporated by reference into any registration statement or other document pursuant to the Securities Act of 1933, as amended, or the Exchange Act, except as shall be expressly set forth by specific reference in any such filing.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Adjusted Financial Measures</w:t>
      </w:r>
    </w:p>
    <w:p>
      <w:pPr>
        <w:spacing w:after="0" w:line="2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addition to our GAAP results, we provide certain non-GAAP measures, including organic revenues, adjusted EBITDA, adjusted net income, adjusted gross profit, adjusted gross margin, adjusted earnings per diluted share, net debt, free cash flow and adjusted free cash flow conversion. Organic revenues consist of total revenues excluding the effects of currency exchange rates, revenues from current-period acquisitions and product divestitures. Adjusted EBITDA consists of GAAP net income excluding: (i) depreciation and amortization; (ii) other income (expense); (iii) interest income and expense; (iv) income tax expense (benefit); (v) impairment charges; and (vi) those operating expenses also excluded from adjusted net income. The measure of adjusted net income consists of GAAP net income, excluding: (i) structural optimization charges; (ii) divestiture, acquisition and integration-related charges; (iii) EU Medical Device Regulation-related charges; (iv) charges related to the manufacturing stoppage and voluntary global recall of all products manufactured at the Company’s Boston, Massachusetts facility and distributed between March 1, 2018 and May 22, 2023, as previously disclosed in the Company’s Current Report on Form 8-K filed with the Securities and Exchange Commission on May 23, 2023 (the “recall”) and the transition of Boston-related manufacturing operations to the Company’s Braintree, Massachusetts facility; (v) intangible asset amortization expense; (vi) income tax impact from adjustments; and</w:t>
      </w:r>
    </w:p>
    <w:p>
      <w:pPr>
        <w:spacing w:after="0" w:line="4" w:lineRule="exact"/>
        <w:rPr>
          <w:sz w:val="20"/>
          <w:szCs w:val="20"/>
          <w:color w:val="auto"/>
        </w:rPr>
      </w:pPr>
    </w:p>
    <w:p>
      <w:pPr>
        <w:jc w:val="both"/>
        <w:ind w:firstLine="8"/>
        <w:spacing w:after="0" w:line="251" w:lineRule="auto"/>
        <w:tabs>
          <w:tab w:leader="none" w:pos="37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The measure of adjusted gross margin is calculated by dividing adjusted gross profit by total revenues. Adjusted gross profit consists of GAAP gross profit adjusted for: (i) structural optimization charges; (ii) divestiture, acquisition and integration-related charges; (iii) charges related to the recall and the transition of Boston-related manufacturing operations to the Company’s Braintree, Massachusetts facility; (iv) EU Medical Device Regulation-related charges; and (v) intangible asset amortization expense. The adjusted earnings per diluted share measure is calculated by dividing adjusted net income attributable to diluted shares by diluted weighted average shares outstanding. The measure of net debt consists of GAAP total debt (excluding deferred financing costs) less short-term investments, cash and cash equivalents. The measure of free cash flow consists of GAAP net cash provided by operating activities less purchases of property and equipment. The adjusted free cash flow conversion measure is calculated by dividing free cash flow by adjusted net income.</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that the presentation of organic revenues and the various adjusted EBITDA, adjusted net income, adjusted gross profit, adjusted gross margin, adjusted earnings per diluted share, net debt, free cash flow and adjusted free cash flow conversion measures provides important supplemental information to management and investors regarding financial and business trends relating to the Company's financial condition and results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jc w:val="both"/>
        <w:spacing w:after="0" w:line="253" w:lineRule="auto"/>
        <w:rPr>
          <w:sz w:val="20"/>
          <w:szCs w:val="20"/>
          <w:color w:val="auto"/>
        </w:rPr>
      </w:pPr>
      <w:r>
        <w:rPr>
          <w:rFonts w:ascii="Times New Roman" w:cs="Times New Roman" w:eastAsia="Times New Roman" w:hAnsi="Times New Roman"/>
          <w:sz w:val="18"/>
          <w:szCs w:val="18"/>
          <w:color w:val="auto"/>
        </w:rPr>
        <w:t>operations. Management uses non-GAAP financial measures in the form of organic revenues, adjusted EBITDA, adjusted net income, adjusted gross profit, adjusted gross margin, adjusted earnings per diluted share, net debt, free cash flow and adjusted free cash flow conversion when evaluating operating performance because we believe that the inclusion or exclusion of the items described below, for which the amounts and/or timing may vary significantly depending upon the Company's divestiture, acquisition, integration, and restructuring activities, for which the amounts are non-cash in nature, or for which the amounts are not expected to recur at the same magnitude, provides a supplemental measure of our operating results that facilitates comparability of our financial condition and operating performance from period to period, against our business model objectives, and against other companies in our industry. We have chosen to provide this information to investors so they can analyze our operating results in the same way that management does and use this information in their assessment of our core business and the valuation of our Company. In addition, since the Company has historically provided non-GAAP guidance to the investment community, we believe the continued inclusion of non-GAAP guidance provides consistency in the information made available to investors.</w:t>
      </w:r>
    </w:p>
    <w:p>
      <w:pPr>
        <w:spacing w:after="0" w:line="2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Organic revenues, adjusted EBITDA, adjusted net income, adjusted gross profit, adjusted gross margin, adjusted earnings per diluted share, net debt, free cash flow and adjusted free cash flow conversion are significant measures used by management for purposes of:</w:t>
      </w:r>
    </w:p>
    <w:p>
      <w:pPr>
        <w:spacing w:after="0" w:line="189" w:lineRule="exact"/>
        <w:rPr>
          <w:sz w:val="20"/>
          <w:szCs w:val="20"/>
          <w:color w:val="auto"/>
        </w:rPr>
      </w:pPr>
    </w:p>
    <w:p>
      <w:pPr>
        <w:ind w:left="760" w:hanging="104"/>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the financial results and forecasts reported to the Company's board of directors;</w:t>
      </w:r>
    </w:p>
    <w:p>
      <w:pPr>
        <w:spacing w:after="0" w:line="27"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managing and benchmarking the operating performance of the Company;</w:t>
      </w:r>
    </w:p>
    <w:p>
      <w:pPr>
        <w:spacing w:after="0" w:line="9"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internal operating budgets;</w:t>
      </w:r>
    </w:p>
    <w:p>
      <w:pPr>
        <w:spacing w:after="0" w:line="9"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compensation under bonus or other incentive programs;</w:t>
      </w:r>
    </w:p>
    <w:p>
      <w:pPr>
        <w:spacing w:after="0" w:line="9"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comparability from period to period;</w:t>
      </w:r>
    </w:p>
    <w:p>
      <w:pPr>
        <w:spacing w:after="0" w:line="9"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performance with internal forecasts and targeted business models; and</w:t>
      </w:r>
    </w:p>
    <w:p>
      <w:pPr>
        <w:spacing w:after="0" w:line="9"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valuing potential acquisition candidates.</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measure of organic revenues that we report reflects the change in total revenues for the quarter ended June 30, 2025 adjusted for the effects of currency exchange rates, revenues from acquisitions, and revenues from divested products on current period revenues. We provide this measure because changes in foreign currency exchange rates can distort our reduction favorably or unfavorably, depending upon the strength of the U.S. dollar in relation to the various foreign currencies in which we generate revenues. We generate significant revenues outside the United States in multiple foreign currencies. We believe this measure provides useful information to determine the success of our international selling organizations in increasing sales of products in their local currencies without regard to fluctuations in currency exchanges rates, which we do not control. Additionally, significant divestitures and acquisitions can distort our current period revenues when compared to prior periods.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measures of adjusted net income and adjusted gross profit reflect GAAP net income and GAAP gross profit, respectively, each adjusted for one or more of the following items, as applicable:</w:t>
      </w:r>
    </w:p>
    <w:p>
      <w:pPr>
        <w:spacing w:after="0" w:line="297" w:lineRule="exact"/>
        <w:rPr>
          <w:sz w:val="20"/>
          <w:szCs w:val="20"/>
          <w:color w:val="auto"/>
        </w:rPr>
      </w:pPr>
    </w:p>
    <w:p>
      <w:pPr>
        <w:jc w:val="both"/>
        <w:ind w:left="660" w:hanging="328"/>
        <w:spacing w:after="0" w:line="25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Structural optimization charges.</w:t>
      </w:r>
      <w:r>
        <w:rPr>
          <w:rFonts w:ascii="Times New Roman" w:cs="Times New Roman" w:eastAsia="Times New Roman" w:hAnsi="Times New Roman"/>
          <w:sz w:val="18"/>
          <w:szCs w:val="18"/>
          <w:color w:val="auto"/>
        </w:rPr>
        <w:t xml:space="preserve"> These charges include employee severance and other costs associated with exit or disposal of facilities, costs related to transferring manufacturing and/or distribution activities to different locations, and rationalization or enhancement of our organization, existing manufacturing, distribution, administrative, functional and commercial infrastructure. Some of these cost-saving and efficiency-driven activities are identified as opportunities in connection with acquisitions that provide the Company with additional capacity or economies of scale. Although recurring in nature, given management's ongoing review of the efficiency of our organization and structure, including manufacturing, distribution and administrative facilities and operations, management excludes these items when evaluating the operating performance of the Company because the frequency and amount of such charges vary significantly based on the timing and magnitude of the Company's rationalization activities and are, in some cases, dependent upon opportunities identified in acquisitions, which also vary in frequency and magnitude.</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divestiture and integration-related charges.</w:t>
      </w:r>
      <w:r>
        <w:rPr>
          <w:rFonts w:ascii="Times New Roman" w:cs="Times New Roman" w:eastAsia="Times New Roman" w:hAnsi="Times New Roman"/>
          <w:sz w:val="18"/>
          <w:szCs w:val="18"/>
          <w:color w:val="auto"/>
        </w:rPr>
        <w:t xml:space="preserve"> Acquisition, divestiture and integration-related charges include (i) inventory fair value purchase accounting adjustments, (ii) changes in the fair value of contingent consideration after the acquisition date, (iii) costs related to acquisition integration, including systems, operations, retention and severance, (iv) legal, accounting, banking and other outside consultants expenses directly related to acquisitions or divestitures, and (v) gain or loss on sale of business and related costs to complete the divestiture of business. Although recurring, given the ongoing character of our acquisitions and divestitures, these charges are not factored into the evaluation of our performance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management after completion because they are of a temporary nature, they are not related to our core operating performance and the frequency and amount of such charges vary significantly based on the timing and magnitude of our acquisition and divestiture transactions as well as the level of inventory on hand at the time of acquisition.</w:t>
      </w:r>
    </w:p>
    <w:p>
      <w:pPr>
        <w:spacing w:after="0" w:line="68" w:lineRule="exact"/>
        <w:rPr>
          <w:sz w:val="20"/>
          <w:szCs w:val="20"/>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EU Medical Device Regulation charges</w:t>
      </w:r>
      <w:r>
        <w:rPr>
          <w:rFonts w:ascii="Times New Roman" w:cs="Times New Roman" w:eastAsia="Times New Roman" w:hAnsi="Times New Roman"/>
          <w:sz w:val="18"/>
          <w:szCs w:val="18"/>
          <w:color w:val="auto"/>
        </w:rPr>
        <w:t>. These charges represent costs specific to complying with the medical device reporting regulations and other requirements of the European Union’s regulation for medical devices. Management excludes this item when evaluating the Company’s operating performance because these costs incurred are not reflective of its ongoing operations.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Boston Recall/Braintree transition charges</w:t>
      </w:r>
      <w:r>
        <w:rPr>
          <w:rFonts w:ascii="Times New Roman" w:cs="Times New Roman" w:eastAsia="Times New Roman" w:hAnsi="Times New Roman"/>
          <w:sz w:val="18"/>
          <w:szCs w:val="18"/>
          <w:color w:val="auto"/>
        </w:rPr>
        <w:t>. These charges represent costs, including inventory write-offs, idle capacity charges and charges related to the transition of Boston-related manufacturing operations to the Company’s Braintree, Massachusetts facility, incurred in connection with the recall. Management excludes this item when evaluating the Company’s operating performance because of the infrequent and/or large scale nature of these activities.</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Intangible asset amortization expense.</w:t>
      </w:r>
      <w:r>
        <w:rPr>
          <w:rFonts w:ascii="Times New Roman" w:cs="Times New Roman" w:eastAsia="Times New Roman" w:hAnsi="Times New Roman"/>
          <w:sz w:val="18"/>
          <w:szCs w:val="18"/>
          <w:color w:val="auto"/>
        </w:rPr>
        <w:t xml:space="preserve"> Management excludes this item when evaluating the Company's operating performance because it is a non-cash expense.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 impact from adjustments.</w:t>
      </w:r>
      <w:r>
        <w:rPr>
          <w:rFonts w:ascii="Times New Roman" w:cs="Times New Roman" w:eastAsia="Times New Roman" w:hAnsi="Times New Roman"/>
          <w:sz w:val="18"/>
          <w:szCs w:val="18"/>
          <w:color w:val="auto"/>
        </w:rPr>
        <w:t xml:space="preserve"> This item represents adjustments to income tax expense for the amount of additional tax expense that the Company estimates that it would record if it used non-GAAP results instead of GAAP results in the calculation of its tax provision, based on the statutory rate applicable to jurisdictions in which the above non-GAAP adjustments relate.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Impairment charges.</w:t>
      </w:r>
      <w:r>
        <w:rPr>
          <w:rFonts w:ascii="Times New Roman" w:cs="Times New Roman" w:eastAsia="Times New Roman" w:hAnsi="Times New Roman"/>
          <w:sz w:val="18"/>
          <w:szCs w:val="18"/>
          <w:color w:val="auto"/>
        </w:rPr>
        <w:t xml:space="preserve"> These charges represent the impairment of goodwill due to the decrease in the price per share of the Company’s common stock related to a number of factors, including recent tariff changes that have created broad economic uncertainty and the impact of quality, operational, and supply issues. Management excludes this item when evaluating the Company's operating performance because it is a non-cash expense.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Press Release, the Company provided forward-looking guidance regarding adjusted earnings per diluted share but did not provide a reconciliation to GAAP earnings per share, because certain GAAP expense items are highly variable and management is unable to predict them with reasonable certainty and without unreasonable effort. Specifically, the financial impact and timing of divestitures, acquisitions, integrations, structural optimization, efforts to comply with the EU Medical Device Regulation, and income tax impact from adjustments are uncertain, depend on various dynamic factors and are not reasonably ascertainable at this time. These expense items could have a material impact on GAAP results.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Organic revenues, adjusted EBITDA, adjusted net income, adjusted gross profit, adjusted gross margin, adjusted earnings per diluted share, net debt, free cash flow and adjusted free cash flow conversion are not calculated in accordance with GAAP, and should be considered supplemental to, and not as a substitute for, or superior to, financial measures calculated in accordance with GAAP. Non-GAAP financial measures have limitations in that they do not reflect all of the revenues, costs or benefits associated with the operations of the Company's business as determined in accordance with GAAP. As a result, you should not consider these measures in isolation or as a substitute for analysis of the Company's results as reported under GAAP. The Company expects to continue to acquire businesses and product lines and to incur expenses of a nature similar to many of the non-GAAP adjustments described above, and exclusion of these items from its adjusted financial measures should not be construed as an inference that all of these revenue adjustments or costs are unusual, infrequent or non-recurring. Some of the limitations in relying on the adjusted financial measures are:</w:t>
      </w:r>
    </w:p>
    <w:p>
      <w:pPr>
        <w:spacing w:after="0" w:line="327" w:lineRule="exact"/>
        <w:rPr>
          <w:sz w:val="20"/>
          <w:szCs w:val="20"/>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periodically acquires other companies or businesses, and we expect to continue to incur acquisition-related expenses and charges in the future. These costs can directly impact the amount of the Company's available funds or could include costs for aborted deals which may be significant and reduce GAAP net income.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adjustments to GAAP net income have been tax affected at the Company's actual tax rates. Depending on the nature of the adjustments and the tax treatment of the underlying items, the effective tax rate related to adjusted net income could differ significantly from the effective tax rate related to GAAP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 w:name="page5"/>
    <w:bookmarkEnd w:id="4"/>
    <w:p>
      <w:pPr>
        <w:jc w:val="both"/>
        <w:spacing w:after="0" w:line="256" w:lineRule="auto"/>
        <w:rPr>
          <w:sz w:val="20"/>
          <w:szCs w:val="20"/>
          <w:color w:val="auto"/>
        </w:rPr>
      </w:pPr>
      <w:r>
        <w:rPr>
          <w:rFonts w:ascii="Times New Roman" w:cs="Times New Roman" w:eastAsia="Times New Roman" w:hAnsi="Times New Roman"/>
          <w:sz w:val="18"/>
          <w:szCs w:val="18"/>
          <w:color w:val="auto"/>
        </w:rPr>
        <w:t>In the financial tables portion of the Press Release, the Company has included reconciliations of GAAP reported revenues to organic revenues, GAAP net income to adjusted EBITDA, GAAP net income to adjusted net income, GAAP gross profit to adjusted gross profit, GAAP gross margin to adjusted gross margin, and GAAP earnings per diluted share to adjusted earnings per diluted share each for the quarters ended June 30, 2025 and 2024. The Company has included reconciliations of GAAP operating cash flow to free cash flow and adjusted free cash flow conversion for the quarters and twelve months ended June 30, 2025 and 2024. The Company has included a reconciliation of GAAP total debt to net debt for the quarters ended June 30, 2025 and December 31, 2024.</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with attachments, dated July 31, 2025, issued by Integra LifeSciences Holdings Corporation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XRBL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622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INTEGRA LIFESCIENCES HOLDINGS CORPORATION</w:t>
            </w:r>
          </w:p>
        </w:tc>
      </w:tr>
      <w:tr>
        <w:trPr>
          <w:trHeight w:val="45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2025</w:t>
            </w:r>
          </w:p>
        </w:tc>
        <w:tc>
          <w:tcPr>
            <w:tcW w:w="23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1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/s/ Lea Knight</w:t>
            </w:r>
          </w:p>
        </w:tc>
        <w:tc>
          <w:tcPr>
            <w:tcW w:w="2760" w:type="dxa"/>
            <w:vAlign w:val="bottom"/>
          </w:tcPr>
          <w:p>
            <w:pPr>
              <w:spacing w:after="0"/>
              <w:rPr>
                <w:sz w:val="24"/>
                <w:szCs w:val="24"/>
                <w:color w:val="auto"/>
              </w:rPr>
            </w:pPr>
          </w:p>
        </w:tc>
      </w:tr>
      <w:tr>
        <w:trPr>
          <w:trHeight w:val="245"/>
        </w:trPr>
        <w:tc>
          <w:tcPr>
            <w:tcW w:w="30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 Knight</w:t>
            </w:r>
          </w:p>
        </w:tc>
      </w:tr>
      <w:tr>
        <w:trPr>
          <w:trHeight w:val="234"/>
        </w:trPr>
        <w:tc>
          <w:tcPr>
            <w:tcW w:w="3080" w:type="dxa"/>
            <w:vAlign w:val="bottom"/>
          </w:tcPr>
          <w:p>
            <w:pPr>
              <w:spacing w:after="0"/>
              <w:rPr>
                <w:sz w:val="20"/>
                <w:szCs w:val="20"/>
                <w:color w:val="auto"/>
              </w:rPr>
            </w:pPr>
          </w:p>
        </w:tc>
        <w:tc>
          <w:tcPr>
            <w:tcW w:w="23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bl>
    <w:p>
      <w:pPr>
        <w:sectPr>
          <w:pgSz w:w="11900" w:h="16838" w:orient="portrait"/>
          <w:cols w:equalWidth="0" w:num="1">
            <w:col w:w="11240"/>
          </w:cols>
          <w:pgMar w:left="320" w:top="92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9"/>
          <w:szCs w:val="29"/>
          <w:i w:val="1"/>
          <w:i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i w:val="1"/>
          <w:iCs w:val="1"/>
          <w:color w:val="auto"/>
        </w:rPr>
        <w:t>Integra LifeSciences Reports Second Quarter 2025 Financial Results</w:t>
      </w:r>
    </w:p>
    <w:p>
      <w:pPr>
        <w:spacing w:after="0" w:line="245" w:lineRule="exact"/>
        <w:rPr>
          <w:sz w:val="20"/>
          <w:szCs w:val="20"/>
          <w:color w:val="auto"/>
        </w:rPr>
      </w:pPr>
    </w:p>
    <w:p>
      <w:pPr>
        <w:ind w:right="600"/>
        <w:spacing w:after="0" w:line="255" w:lineRule="auto"/>
        <w:rPr>
          <w:sz w:val="20"/>
          <w:szCs w:val="20"/>
          <w:color w:val="auto"/>
        </w:rPr>
      </w:pPr>
      <w:r>
        <w:rPr>
          <w:rFonts w:ascii="Times New Roman" w:cs="Times New Roman" w:eastAsia="Times New Roman" w:hAnsi="Times New Roman"/>
          <w:sz w:val="20"/>
          <w:szCs w:val="20"/>
          <w:color w:val="auto"/>
        </w:rPr>
        <w:t xml:space="preserve">PRINCETON, N.J., July 31, 2025 - </w:t>
      </w:r>
      <w:r>
        <w:rPr>
          <w:rFonts w:ascii="Times New Roman" w:cs="Times New Roman" w:eastAsia="Times New Roman" w:hAnsi="Times New Roman"/>
          <w:sz w:val="20"/>
          <w:szCs w:val="20"/>
          <w:u w:val="single" w:color="auto"/>
          <w:color w:val="0000FF"/>
        </w:rPr>
        <w:t>Integra LifeSciences Holdings Corporation</w:t>
      </w:r>
      <w:r>
        <w:rPr>
          <w:rFonts w:ascii="Times New Roman" w:cs="Times New Roman" w:eastAsia="Times New Roman" w:hAnsi="Times New Roman"/>
          <w:sz w:val="20"/>
          <w:szCs w:val="20"/>
          <w:color w:val="auto"/>
        </w:rPr>
        <w:t xml:space="preserve"> (Nasdaq: IART), a leading global medical technology company, today reported financial results for the second quarter ending June 30, 2025.</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Second Quarter 2025 Highlights</w:t>
      </w:r>
    </w:p>
    <w:p>
      <w:pPr>
        <w:spacing w:after="0" w:line="193"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Second quarter revenues exceeded guidance; adjusted earnings per diluted share (EPS) at the top end of the range</w:t>
      </w:r>
    </w:p>
    <w:p>
      <w:pPr>
        <w:spacing w:after="0" w:line="242" w:lineRule="exact"/>
        <w:rPr>
          <w:rFonts w:ascii="Times New Roman" w:cs="Times New Roman" w:eastAsia="Times New Roman" w:hAnsi="Times New Roman"/>
          <w:sz w:val="20"/>
          <w:szCs w:val="20"/>
          <w:color w:val="auto"/>
        </w:rPr>
      </w:pPr>
    </w:p>
    <w:p>
      <w:pPr>
        <w:ind w:left="660" w:right="380" w:hanging="328"/>
        <w:spacing w:after="0" w:line="255"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Second quarter revenues of $415.6 million decreased (0.6)% on a reported basis and (1.4)% on an organic basis compared to the prior year.</w:t>
      </w:r>
    </w:p>
    <w:p>
      <w:pPr>
        <w:spacing w:after="0" w:line="199" w:lineRule="exact"/>
        <w:rPr>
          <w:rFonts w:ascii="Times New Roman" w:cs="Times New Roman" w:eastAsia="Times New Roman" w:hAnsi="Times New Roman"/>
          <w:sz w:val="20"/>
          <w:szCs w:val="20"/>
          <w:color w:val="auto"/>
        </w:rPr>
      </w:pPr>
    </w:p>
    <w:p>
      <w:pPr>
        <w:ind w:left="660" w:right="320" w:hanging="328"/>
        <w:spacing w:after="0" w:line="239" w:lineRule="auto"/>
        <w:tabs>
          <w:tab w:leader="none" w:pos="635"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Second quarter GAAP earnings per diluted share of $(6.31), compared to $(0.16) in the prior year primarily reflecting a goodwill impairment charge of $511 million, recorded during the quarter. This charge was due to the decrease in the price per share of the Company’s common stock related to a number of factors including recent tariff changes that have created broad economic uncertainty and the impact of quality, operational, and supply issues.</w:t>
      </w:r>
    </w:p>
    <w:p>
      <w:pPr>
        <w:spacing w:after="0" w:line="20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earnings per diluted share of $0.45, compared to $0.63 in the prior year.</w:t>
      </w:r>
    </w:p>
    <w:p>
      <w:pPr>
        <w:spacing w:after="0" w:line="256"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20"/>
          <w:szCs w:val="20"/>
          <w:color w:val="auto"/>
        </w:rPr>
        <w:t>Full-Year revenue guidance range updated to reflect increased visibility</w:t>
      </w:r>
    </w:p>
    <w:p>
      <w:pPr>
        <w:spacing w:after="0" w:line="22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“I am proud of our team’s performance and execution in the second quarter. Our strong revenue performance is a testament to our disciplined progress and the solid underlying demand trends for our portfolio of neurosurgery and tissue technology products,” said Mojdeh Poul, president and chief executive officer.</w:t>
      </w:r>
    </w:p>
    <w:p>
      <w:pPr>
        <w:spacing w:after="0" w:line="194"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0"/>
          <w:szCs w:val="20"/>
          <w:color w:val="auto"/>
        </w:rPr>
        <w:t>“Our transformation is underway, and I’m encouraged by the focused implementation and steady progress made against our Compliance Master Plan. Importantly, we have now completed the assessment phase at all of our manufacturing sites. Looking ahead, we are committed to advancing our remediation efforts, delivering on our commitments, and establishing the foundation of operational excellence required to position Integra for predictable and sustainable growth and profitability over the long-term.</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Second Quarter 2025 Consolidated Performance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reported revenues of $415.6 million decreased (0.6)% on a reported basis and (1.4)% on an organic basis compared to the prior year.</w:t>
      </w:r>
    </w:p>
    <w:p>
      <w:pPr>
        <w:spacing w:after="0" w:line="18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The Company reported GAAP gross margin of 50.4%, compared to 54.0% in the second quarter of 2024. Adjusted gross margin was 60.7%, compared to 65.2% in the prior year.</w:t>
      </w:r>
    </w:p>
    <w:p>
      <w:pPr>
        <w:spacing w:after="0" w:line="132"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20"/>
          <w:szCs w:val="20"/>
          <w:color w:val="auto"/>
        </w:rPr>
        <w:t>Adjusted EBITDA for the second quarter of 2025 was $71.2 million, or 17.1% of revenue, compared to $83.8 million, or 20.0% of revenue, in the prior year.</w:t>
      </w:r>
    </w:p>
    <w:p>
      <w:pPr>
        <w:spacing w:after="0" w:line="119"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The Company reported a GAAP net loss of $(484.1) million, or $(6.31) per diluted share, in the second quarter of 2025, compared to GAAP net loss of $(12.4) million, or $(0.16) per diluted share, in the prior year.</w:t>
      </w:r>
    </w:p>
    <w:p>
      <w:pPr>
        <w:spacing w:after="0" w:line="2"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20"/>
          <w:szCs w:val="20"/>
          <w:color w:val="auto"/>
        </w:rPr>
        <w:t>Adjusted net income for the second quarter of 2025 was $34.4 million, or $0.45 per diluted share, compared to $49.0 million, or $0.63 per diluted share, in the prior year.</w:t>
      </w:r>
    </w:p>
    <w:p>
      <w:pPr>
        <w:sectPr>
          <w:pgSz w:w="11900" w:h="16838" w:orient="portrait"/>
          <w:cols w:equalWidth="0" w:num="1">
            <w:col w:w="11180"/>
          </w:cols>
          <w:pgMar w:left="320" w:top="871"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Second Quarter 2025 Segment Performance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Codman Specialty Surgical (~70% of Revenues)</w:t>
      </w:r>
    </w:p>
    <w:p>
      <w:pPr>
        <w:spacing w:after="0" w:line="193"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color w:val="auto"/>
        </w:rPr>
        <w:t>Total revenues were $304.0 million, representing reported growth of 0.7% and an organic decline of (0.3%) compared to the second quarter of 2024.</w:t>
      </w:r>
    </w:p>
    <w:p>
      <w:pPr>
        <w:spacing w:after="0" w:line="186" w:lineRule="exact"/>
        <w:rPr>
          <w:sz w:val="20"/>
          <w:szCs w:val="20"/>
          <w:color w:val="auto"/>
        </w:rPr>
      </w:pPr>
    </w:p>
    <w:p>
      <w:pPr>
        <w:ind w:left="1300" w:right="60" w:hanging="320"/>
        <w:spacing w:after="0" w:line="239" w:lineRule="auto"/>
        <w:tabs>
          <w:tab w:leader="none" w:pos="1295" w:val="left"/>
        </w:tabs>
        <w:numPr>
          <w:ilvl w:val="0"/>
          <w:numId w:val="8"/>
        </w:numPr>
        <w:rPr>
          <w:rFonts w:ascii="Arial" w:cs="Arial" w:eastAsia="Arial" w:hAnsi="Arial"/>
          <w:sz w:val="22"/>
          <w:szCs w:val="22"/>
          <w:color w:val="auto"/>
        </w:rPr>
      </w:pPr>
      <w:r>
        <w:rPr>
          <w:rFonts w:ascii="Times New Roman" w:cs="Times New Roman" w:eastAsia="Times New Roman" w:hAnsi="Times New Roman"/>
          <w:sz w:val="20"/>
          <w:szCs w:val="20"/>
          <w:color w:val="auto"/>
        </w:rPr>
        <w:t>Sales in Neurosurgery increased 0.3% on an organic basis driven by growth in CUSA®, Aurora®, Mayfield®, DuraSeal®, Bactiseal® and CereLink® monitors, offset by existing shipping holds</w:t>
      </w:r>
    </w:p>
    <w:p>
      <w:pPr>
        <w:ind w:left="1300" w:hanging="320"/>
        <w:spacing w:after="0" w:line="217" w:lineRule="auto"/>
        <w:tabs>
          <w:tab w:leader="none" w:pos="1300" w:val="left"/>
        </w:tabs>
        <w:numPr>
          <w:ilvl w:val="0"/>
          <w:numId w:val="8"/>
        </w:numPr>
        <w:rPr>
          <w:rFonts w:ascii="Arial" w:cs="Arial" w:eastAsia="Arial" w:hAnsi="Arial"/>
          <w:sz w:val="22"/>
          <w:szCs w:val="22"/>
          <w:color w:val="auto"/>
        </w:rPr>
      </w:pPr>
      <w:r>
        <w:rPr>
          <w:rFonts w:ascii="Times New Roman" w:cs="Times New Roman" w:eastAsia="Times New Roman" w:hAnsi="Times New Roman"/>
          <w:sz w:val="20"/>
          <w:szCs w:val="20"/>
          <w:color w:val="auto"/>
        </w:rPr>
        <w:t>Sales in Instruments declined 2.8</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on an organic basis due to order timing</w:t>
      </w:r>
    </w:p>
    <w:p>
      <w:pPr>
        <w:ind w:left="1300" w:right="80" w:hanging="320"/>
        <w:spacing w:after="0" w:line="246" w:lineRule="auto"/>
        <w:tabs>
          <w:tab w:leader="none" w:pos="128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 growth was flat due to growth in AERA® and TruDi navigated disposables offset by sinus balloons and the timing of capital sales</w:t>
      </w:r>
    </w:p>
    <w:p>
      <w:pPr>
        <w:spacing w:after="0" w:line="200" w:lineRule="exact"/>
        <w:rPr>
          <w:sz w:val="20"/>
          <w:szCs w:val="20"/>
          <w:color w:val="auto"/>
        </w:rPr>
      </w:pP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Tissue Technologies (~30% of Revenues)</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Total revenues were $111.6 million, representing a reported and organic decline of (4.1)% compared to the second quarter of 2024.</w:t>
      </w:r>
    </w:p>
    <w:p>
      <w:pPr>
        <w:spacing w:after="0" w:line="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Key drivers for the quarter include:</w:t>
      </w:r>
    </w:p>
    <w:p>
      <w:pPr>
        <w:spacing w:after="0" w:line="234" w:lineRule="exact"/>
        <w:rPr>
          <w:sz w:val="20"/>
          <w:szCs w:val="20"/>
          <w:color w:val="auto"/>
        </w:rPr>
      </w:pPr>
    </w:p>
    <w:p>
      <w:pPr>
        <w:ind w:left="980" w:hanging="324"/>
        <w:spacing w:after="0"/>
        <w:tabs>
          <w:tab w:leader="none" w:pos="980" w:val="left"/>
        </w:tabs>
        <w:numPr>
          <w:ilvl w:val="0"/>
          <w:numId w:val="9"/>
        </w:numPr>
        <w:rPr>
          <w:rFonts w:ascii="Arial" w:cs="Arial" w:eastAsia="Arial" w:hAnsi="Arial"/>
          <w:sz w:val="22"/>
          <w:szCs w:val="22"/>
          <w:color w:val="auto"/>
        </w:rPr>
      </w:pPr>
      <w:r>
        <w:rPr>
          <w:rFonts w:ascii="Times New Roman" w:cs="Times New Roman" w:eastAsia="Times New Roman" w:hAnsi="Times New Roman"/>
          <w:sz w:val="20"/>
          <w:szCs w:val="20"/>
          <w:color w:val="auto"/>
        </w:rPr>
        <w:t>Mid-Single Digit growth in wound reconstruction offset by ship holds</w:t>
      </w:r>
    </w:p>
    <w:p>
      <w:pPr>
        <w:spacing w:after="0" w:line="12" w:lineRule="exact"/>
        <w:rPr>
          <w:rFonts w:ascii="Arial" w:cs="Arial" w:eastAsia="Arial" w:hAnsi="Arial"/>
          <w:sz w:val="22"/>
          <w:szCs w:val="22"/>
          <w:color w:val="auto"/>
        </w:rPr>
      </w:pPr>
    </w:p>
    <w:p>
      <w:pPr>
        <w:ind w:left="1300" w:hanging="320"/>
        <w:spacing w:after="0" w:line="217" w:lineRule="auto"/>
        <w:tabs>
          <w:tab w:leader="none" w:pos="130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~20% growth in Integra Skin and ~10% growth in DuraSorb®</w:t>
      </w:r>
    </w:p>
    <w:p>
      <w:pPr>
        <w:ind w:left="1300" w:hanging="320"/>
        <w:spacing w:after="0" w:line="225" w:lineRule="auto"/>
        <w:tabs>
          <w:tab w:leader="none" w:pos="130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High-single digit growth in MicroMatrix® and Cytal®</w:t>
      </w:r>
    </w:p>
    <w:p>
      <w:pPr>
        <w:ind w:left="1300" w:right="220" w:hanging="320"/>
        <w:spacing w:after="0" w:line="236" w:lineRule="auto"/>
        <w:tabs>
          <w:tab w:leader="none" w:pos="1288"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in private label were down 5.9% due to a component supply delay and softer commercial demand experienced by a private label partner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Advancing our Priorities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Compliance Master Plan Implementation</w:t>
      </w:r>
    </w:p>
    <w:p>
      <w:pPr>
        <w:spacing w:after="0" w:line="16"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20"/>
          <w:szCs w:val="20"/>
          <w:color w:val="auto"/>
        </w:rPr>
        <w:t>Completed all manufacturing site baseline assessments</w:t>
      </w:r>
    </w:p>
    <w:p>
      <w:pPr>
        <w:spacing w:after="0" w:line="9" w:lineRule="exact"/>
        <w:rPr>
          <w:rFonts w:ascii="Arial" w:cs="Arial" w:eastAsia="Arial" w:hAnsi="Arial"/>
          <w:sz w:val="22"/>
          <w:szCs w:val="22"/>
          <w:color w:val="auto"/>
        </w:rPr>
      </w:pPr>
    </w:p>
    <w:p>
      <w:pPr>
        <w:ind w:left="1300" w:hanging="320"/>
        <w:spacing w:after="0" w:line="224" w:lineRule="auto"/>
        <w:tabs>
          <w:tab w:leader="none" w:pos="130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20"/>
          <w:szCs w:val="20"/>
          <w:color w:val="auto"/>
        </w:rPr>
        <w:t>Developed remediation, resourcing, and execution plans to address assessment findings</w:t>
      </w:r>
    </w:p>
    <w:p>
      <w:pPr>
        <w:spacing w:after="0" w:line="6" w:lineRule="exact"/>
        <w:rPr>
          <w:rFonts w:ascii="Arial" w:cs="Arial" w:eastAsia="Arial" w:hAnsi="Arial"/>
          <w:sz w:val="22"/>
          <w:szCs w:val="22"/>
          <w:color w:val="auto"/>
        </w:rPr>
      </w:pPr>
    </w:p>
    <w:p>
      <w:pPr>
        <w:ind w:left="1300" w:hanging="320"/>
        <w:spacing w:after="0" w:line="217" w:lineRule="auto"/>
        <w:tabs>
          <w:tab w:leader="none" w:pos="130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20"/>
          <w:szCs w:val="20"/>
          <w:color w:val="auto"/>
        </w:rPr>
        <w:t>Providing regular updates to the FDA on our warning letter committed actions</w:t>
      </w:r>
    </w:p>
    <w:p>
      <w:pPr>
        <w:ind w:left="1300" w:hanging="320"/>
        <w:spacing w:after="0" w:line="224" w:lineRule="auto"/>
        <w:tabs>
          <w:tab w:leader="none" w:pos="130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20"/>
          <w:szCs w:val="20"/>
          <w:color w:val="auto"/>
        </w:rPr>
        <w:t>No related shipping holds initiated in Q2</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Operational &amp; Execution Excellence</w:t>
      </w:r>
    </w:p>
    <w:p>
      <w:pPr>
        <w:spacing w:after="0" w:line="16"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20"/>
          <w:szCs w:val="20"/>
          <w:color w:val="auto"/>
        </w:rPr>
        <w:t>Achieved the highest-ever production rate for Integra Skin, returning to normal revenue levels</w:t>
      </w:r>
    </w:p>
    <w:p>
      <w:pPr>
        <w:spacing w:after="0" w:line="9" w:lineRule="exact"/>
        <w:rPr>
          <w:rFonts w:ascii="Arial" w:cs="Arial" w:eastAsia="Arial" w:hAnsi="Arial"/>
          <w:sz w:val="22"/>
          <w:szCs w:val="22"/>
          <w:color w:val="auto"/>
        </w:rPr>
      </w:pPr>
    </w:p>
    <w:p>
      <w:pPr>
        <w:ind w:left="1300" w:hanging="320"/>
        <w:spacing w:after="0" w:line="224" w:lineRule="auto"/>
        <w:tabs>
          <w:tab w:leader="none" w:pos="130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20"/>
          <w:szCs w:val="20"/>
          <w:color w:val="auto"/>
        </w:rPr>
        <w:t>Stood up Program Management Office to drive prioritization, execution, and governance discipline</w:t>
      </w:r>
    </w:p>
    <w:p>
      <w:pPr>
        <w:spacing w:after="0" w:line="6" w:lineRule="exact"/>
        <w:rPr>
          <w:rFonts w:ascii="Arial" w:cs="Arial" w:eastAsia="Arial" w:hAnsi="Arial"/>
          <w:sz w:val="22"/>
          <w:szCs w:val="22"/>
          <w:color w:val="auto"/>
        </w:rPr>
      </w:pPr>
    </w:p>
    <w:p>
      <w:pPr>
        <w:ind w:left="1300" w:right="460" w:hanging="320"/>
        <w:spacing w:after="0" w:line="224" w:lineRule="auto"/>
        <w:tabs>
          <w:tab w:leader="none" w:pos="129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20"/>
          <w:szCs w:val="20"/>
          <w:color w:val="auto"/>
        </w:rPr>
        <w:t>Established Supply Chain Control Tower, a centralized platform for strategic and tactical performance monitoring and improvement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Delivering on Our Financial Commitments</w:t>
      </w:r>
    </w:p>
    <w:p>
      <w:pPr>
        <w:spacing w:after="0" w:line="2"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20"/>
          <w:szCs w:val="20"/>
          <w:color w:val="auto"/>
        </w:rPr>
        <w:t>Delivered Q2 revenues above, and adj. EPS at the top of, guidance range</w:t>
      </w:r>
    </w:p>
    <w:p>
      <w:pPr>
        <w:spacing w:after="0" w:line="9" w:lineRule="exact"/>
        <w:rPr>
          <w:rFonts w:ascii="Arial" w:cs="Arial" w:eastAsia="Arial" w:hAnsi="Arial"/>
          <w:sz w:val="22"/>
          <w:szCs w:val="22"/>
          <w:color w:val="auto"/>
        </w:rPr>
      </w:pPr>
    </w:p>
    <w:p>
      <w:pPr>
        <w:ind w:left="1300" w:hanging="320"/>
        <w:spacing w:after="0" w:line="224" w:lineRule="auto"/>
        <w:tabs>
          <w:tab w:leader="none" w:pos="130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20"/>
          <w:szCs w:val="20"/>
          <w:color w:val="auto"/>
        </w:rPr>
        <w:t>Continued strong demand for differentiated portfolio, with mid-single digit growth excluding shipping holds</w:t>
      </w:r>
    </w:p>
    <w:p>
      <w:pPr>
        <w:spacing w:after="0" w:line="6" w:lineRule="exact"/>
        <w:rPr>
          <w:rFonts w:ascii="Arial" w:cs="Arial" w:eastAsia="Arial" w:hAnsi="Arial"/>
          <w:sz w:val="22"/>
          <w:szCs w:val="22"/>
          <w:color w:val="auto"/>
        </w:rPr>
      </w:pPr>
    </w:p>
    <w:p>
      <w:pPr>
        <w:ind w:left="1300" w:right="140" w:hanging="320"/>
        <w:spacing w:after="0" w:line="231" w:lineRule="auto"/>
        <w:tabs>
          <w:tab w:leader="none" w:pos="129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20"/>
          <w:szCs w:val="20"/>
          <w:color w:val="auto"/>
        </w:rPr>
        <w:t>Launched profitability initiative to drive efficiency gains and support long-term margin expansion, with meaningful initial impact expected over the next 12 to 18 months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Balance Sheet, Cash Flow and Capital Allocation</w:t>
      </w:r>
    </w:p>
    <w:p>
      <w:pPr>
        <w:spacing w:after="0" w:line="179"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20"/>
          <w:szCs w:val="20"/>
          <w:color w:val="auto"/>
        </w:rPr>
        <w:t>The Company generated cash flow from operations of $8.9 million in the quarter. Total balance sheet debt and net debt at the end of the quarter were $1.85 billion and $1.59 billion, respectively, and the consolidated total leverage ratio was 4.5x.</w:t>
      </w:r>
    </w:p>
    <w:p>
      <w:pPr>
        <w:sectPr>
          <w:pgSz w:w="11900" w:h="16838" w:orient="portrait"/>
          <w:cols w:equalWidth="0" w:num="1">
            <w:col w:w="11100"/>
          </w:cols>
          <w:pgMar w:left="320" w:top="1301" w:right="479" w:bottom="1440" w:gutter="0" w:footer="0" w:header="0"/>
        </w:sectPr>
      </w:pPr>
    </w:p>
    <w:bookmarkStart w:id="8" w:name="page9"/>
    <w:bookmarkEnd w:id="8"/>
    <w:p>
      <w:pPr>
        <w:ind w:right="220"/>
        <w:spacing w:after="0" w:line="255" w:lineRule="auto"/>
        <w:rPr>
          <w:sz w:val="20"/>
          <w:szCs w:val="20"/>
          <w:color w:val="auto"/>
        </w:rPr>
      </w:pPr>
      <w:r>
        <w:rPr>
          <w:rFonts w:ascii="Times New Roman" w:cs="Times New Roman" w:eastAsia="Times New Roman" w:hAnsi="Times New Roman"/>
          <w:sz w:val="20"/>
          <w:szCs w:val="20"/>
          <w:color w:val="auto"/>
        </w:rPr>
        <w:t>As of the end of the quarter, the Company had total liquidity of approximately $1.14 billion, including $254 million in cash plus short-term investments and the remainder available under its revolving credit facility.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2025 Outlook</w:t>
      </w:r>
    </w:p>
    <w:p>
      <w:pPr>
        <w:spacing w:after="0" w:line="179"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9"/>
          <w:szCs w:val="19"/>
          <w:color w:val="auto"/>
        </w:rPr>
        <w:t>For the third quarter 2025, the Company expects reported revenues in the range of $410 million to $420 million, representing reported growth of 7.7% to 10.3% and organic growth of 7.3% to 9.9%. The Company expects adjusted EPS in a range of $0.40 to $0.45 per share.</w:t>
      </w:r>
    </w:p>
    <w:p>
      <w:pPr>
        <w:spacing w:after="0" w:line="163" w:lineRule="exact"/>
        <w:rPr>
          <w:sz w:val="20"/>
          <w:szCs w:val="20"/>
          <w:color w:val="auto"/>
        </w:rPr>
      </w:pPr>
    </w:p>
    <w:p>
      <w:pPr>
        <w:jc w:val="both"/>
        <w:ind w:right="120"/>
        <w:spacing w:after="0" w:line="247" w:lineRule="auto"/>
        <w:rPr>
          <w:sz w:val="20"/>
          <w:szCs w:val="20"/>
          <w:color w:val="auto"/>
        </w:rPr>
      </w:pPr>
      <w:r>
        <w:rPr>
          <w:rFonts w:ascii="Times New Roman" w:cs="Times New Roman" w:eastAsia="Times New Roman" w:hAnsi="Times New Roman"/>
          <w:sz w:val="20"/>
          <w:szCs w:val="20"/>
          <w:color w:val="auto"/>
        </w:rPr>
        <w:t>For the full year 2025, the Company is updating its revenue guidance range to $1.655 billion to $1.680 billion. The revenue range represents reported growth of 2.8% to 4.3% and organic growth of 0.6% to 2.1%. The Company reaffirms its adjusted EPS guidance range of $2.19 to $2.29 per share.</w:t>
      </w:r>
    </w:p>
    <w:p>
      <w:pPr>
        <w:spacing w:after="0" w:line="208"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The Company’s organic sales growth guidance for the third quarter and the full year excludes acquisitions and divestitures, as well as the effects of foreign currency.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and Presentation Available Online</w:t>
      </w:r>
    </w:p>
    <w:p>
      <w:pPr>
        <w:spacing w:after="0" w:line="19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9"/>
          <w:szCs w:val="19"/>
          <w:color w:val="auto"/>
        </w:rPr>
        <w:t xml:space="preserve">Integra has scheduled a conference call for 8:30 a.m. ET on Thursday, July 31, 2025, to discuss second quarter 2025 financial results and forward-looking financial guidance. The conference call will be hosted by Integra's senior management team and will be open to all listeners. Additional forward-looking information may be discussed in a question-and-answer session following the call. Integra's management team will reference a presentation during the conference call, which can be found on the Investor section of the website at </w:t>
      </w:r>
      <w:r>
        <w:rPr>
          <w:rFonts w:ascii="Times New Roman" w:cs="Times New Roman" w:eastAsia="Times New Roman" w:hAnsi="Times New Roman"/>
          <w:sz w:val="19"/>
          <w:szCs w:val="19"/>
          <w:u w:val="single" w:color="auto"/>
          <w:color w:val="0000FF"/>
        </w:rPr>
        <w:t>investor.integralife.com.</w:t>
      </w:r>
    </w:p>
    <w:p>
      <w:pPr>
        <w:spacing w:after="0" w:line="197"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 xml:space="preserve">A live webcast will be available on the Investors section of the Company’s website at investor.integralife.com. For those planning to participate on the call, register </w:t>
      </w:r>
      <w:r>
        <w:rPr>
          <w:rFonts w:ascii="Times New Roman" w:cs="Times New Roman" w:eastAsia="Times New Roman" w:hAnsi="Times New Roman"/>
          <w:sz w:val="20"/>
          <w:szCs w:val="20"/>
          <w:color w:val="3051F2"/>
        </w:rPr>
        <w:t>here</w:t>
      </w:r>
      <w:r>
        <w:rPr>
          <w:rFonts w:ascii="Times New Roman" w:cs="Times New Roman" w:eastAsia="Times New Roman" w:hAnsi="Times New Roman"/>
          <w:sz w:val="20"/>
          <w:szCs w:val="20"/>
          <w:color w:val="auto"/>
        </w:rPr>
        <w:t xml:space="preserve"> to receive dial-in details and an individual pin. While not required, it is recommended to join 10 minutes prior to the event’s start. A webcast replay of the conference call will be available on the Investors section of the Company’s website following the call.</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Integra</w:t>
      </w:r>
    </w:p>
    <w:p>
      <w:pPr>
        <w:spacing w:after="0" w:line="26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 xml:space="preserve">At Integra LifeSciences, we are driven by our purpose of restoring patients’ lives. We innovate treatment pathways to advance patient outcomes and set new standards of surgical, neurologic, and regenerative care. We offer a comprehensive portfolio of high quality, leadership brands. For the latest news and information about Integra and its products, please visit </w:t>
      </w:r>
      <w:r>
        <w:rPr>
          <w:rFonts w:ascii="Times New Roman" w:cs="Times New Roman" w:eastAsia="Times New Roman" w:hAnsi="Times New Roman"/>
          <w:sz w:val="20"/>
          <w:szCs w:val="20"/>
          <w:color w:val="0000FF"/>
        </w:rPr>
        <w:t>www.integralife.com.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ind w:right="440"/>
        <w:spacing w:after="0" w:line="247" w:lineRule="auto"/>
        <w:rPr>
          <w:sz w:val="20"/>
          <w:szCs w:val="20"/>
          <w:color w:val="auto"/>
        </w:rPr>
      </w:pPr>
      <w:r>
        <w:rPr>
          <w:rFonts w:ascii="Times New Roman" w:cs="Times New Roman" w:eastAsia="Times New Roman" w:hAnsi="Times New Roman"/>
          <w:sz w:val="19"/>
          <w:szCs w:val="19"/>
          <w:color w:val="auto"/>
        </w:rPr>
        <w:t>This news release contains forward-looking statements within the meaning of the Private Securities Litigation Reform Act of 1995 that involve risks and uncertainties and reflect the Company's judgment as of the date of this release. All statements, other than statements of</w:t>
      </w:r>
    </w:p>
    <w:p>
      <w:pPr>
        <w:spacing w:after="0" w:line="232" w:lineRule="auto"/>
        <w:rPr>
          <w:sz w:val="20"/>
          <w:szCs w:val="20"/>
          <w:color w:val="auto"/>
        </w:rPr>
      </w:pPr>
      <w:r>
        <w:rPr>
          <w:rFonts w:ascii="Times New Roman" w:cs="Times New Roman" w:eastAsia="Times New Roman" w:hAnsi="Times New Roman"/>
          <w:sz w:val="20"/>
          <w:szCs w:val="20"/>
          <w:color w:val="auto"/>
        </w:rPr>
        <w:t xml:space="preserve">historical fact, are statements that could be deemed forward-looking statements. Some of these forward-looking </w:t>
      </w:r>
      <w:r>
        <w:rPr>
          <w:rFonts w:ascii="Times New Roman" w:cs="Times New Roman" w:eastAsia="Times New Roman" w:hAnsi="Times New Roman"/>
          <w:sz w:val="21"/>
          <w:szCs w:val="21"/>
          <w:color w:val="auto"/>
        </w:rPr>
        <w:t>statements</w:t>
      </w:r>
      <w:r>
        <w:rPr>
          <w:rFonts w:ascii="Times New Roman" w:cs="Times New Roman" w:eastAsia="Times New Roman" w:hAnsi="Times New Roman"/>
          <w:sz w:val="20"/>
          <w:szCs w:val="20"/>
          <w:color w:val="auto"/>
        </w:rPr>
        <w:t xml:space="preserve"> may contain</w:t>
      </w:r>
    </w:p>
    <w:p>
      <w:pPr>
        <w:ind w:right="400"/>
        <w:spacing w:after="0" w:line="229" w:lineRule="auto"/>
        <w:rPr>
          <w:sz w:val="20"/>
          <w:szCs w:val="20"/>
          <w:color w:val="auto"/>
        </w:rPr>
      </w:pPr>
      <w:r>
        <w:rPr>
          <w:rFonts w:ascii="Times New Roman" w:cs="Times New Roman" w:eastAsia="Times New Roman" w:hAnsi="Times New Roman"/>
          <w:sz w:val="19"/>
          <w:szCs w:val="19"/>
          <w:color w:val="auto"/>
        </w:rPr>
        <w:t>words like “will,” “believe,” “may,” “could,” “would,” “might,” “possible,” “should,” “expect,” “intend,” "forecast," "guidance," “plan,” “anticipate,” "target," or “continue,” the negative of these words, other terms of similar meaning or they may use future dates. Forward-</w:t>
      </w:r>
    </w:p>
    <w:p>
      <w:pPr>
        <w:spacing w:after="0" w:line="227" w:lineRule="auto"/>
        <w:rPr>
          <w:sz w:val="20"/>
          <w:szCs w:val="20"/>
          <w:color w:val="auto"/>
        </w:rPr>
      </w:pPr>
      <w:r>
        <w:rPr>
          <w:rFonts w:ascii="Times New Roman" w:cs="Times New Roman" w:eastAsia="Times New Roman" w:hAnsi="Times New Roman"/>
          <w:sz w:val="20"/>
          <w:szCs w:val="20"/>
          <w:color w:val="auto"/>
        </w:rPr>
        <w:t>looking statements contained in this news release include, but are not limited to, statements concerning: future financial performance,</w:t>
      </w:r>
    </w:p>
    <w:p>
      <w:pPr>
        <w:ind w:right="200"/>
        <w:spacing w:after="0" w:line="229" w:lineRule="auto"/>
        <w:rPr>
          <w:sz w:val="20"/>
          <w:szCs w:val="20"/>
          <w:color w:val="auto"/>
        </w:rPr>
      </w:pPr>
      <w:r>
        <w:rPr>
          <w:rFonts w:ascii="Times New Roman" w:cs="Times New Roman" w:eastAsia="Times New Roman" w:hAnsi="Times New Roman"/>
          <w:sz w:val="19"/>
          <w:szCs w:val="19"/>
          <w:color w:val="auto"/>
        </w:rPr>
        <w:t>including projections for revenues, expected revenue growth (both reported and organic), GAAP and adjusted net income, GAAP and adjusted earnings per diluted share, non-GAAP adjustments such as divestiture, acquisition and integration-related charges, intangible asset</w:t>
      </w:r>
    </w:p>
    <w:p>
      <w:pPr>
        <w:spacing w:after="0"/>
        <w:rPr>
          <w:sz w:val="20"/>
          <w:szCs w:val="20"/>
          <w:color w:val="auto"/>
        </w:rPr>
      </w:pPr>
      <w:r>
        <w:rPr>
          <w:rFonts w:ascii="Times New Roman" w:cs="Times New Roman" w:eastAsia="Times New Roman" w:hAnsi="Times New Roman"/>
          <w:sz w:val="19"/>
          <w:szCs w:val="19"/>
          <w:color w:val="auto"/>
        </w:rPr>
        <w:t>amortization, structural optimization charges, EU Medical Device Regulation-related charges, charges related to the voluntary global recall of</w:t>
      </w:r>
    </w:p>
    <w:p>
      <w:pPr>
        <w:ind w:right="80"/>
        <w:spacing w:after="0" w:line="229" w:lineRule="auto"/>
        <w:rPr>
          <w:sz w:val="20"/>
          <w:szCs w:val="20"/>
          <w:color w:val="auto"/>
        </w:rPr>
      </w:pPr>
      <w:r>
        <w:rPr>
          <w:rFonts w:ascii="Times New Roman" w:cs="Times New Roman" w:eastAsia="Times New Roman" w:hAnsi="Times New Roman"/>
          <w:sz w:val="19"/>
          <w:szCs w:val="19"/>
          <w:color w:val="auto"/>
        </w:rPr>
        <w:t>all products manufactured at the Company’s facility in Boston, Massachusetts and the transition of Boston-related manufacturing operations to the Company’s Braintree, Massachusetts facility, impairment charges, and income tax expense (benefit) related to non-GAAP adjustments</w:t>
      </w:r>
    </w:p>
    <w:p>
      <w:pPr>
        <w:spacing w:after="0" w:line="227" w:lineRule="auto"/>
        <w:rPr>
          <w:sz w:val="20"/>
          <w:szCs w:val="20"/>
          <w:color w:val="auto"/>
        </w:rPr>
      </w:pPr>
      <w:r>
        <w:rPr>
          <w:rFonts w:ascii="Times New Roman" w:cs="Times New Roman" w:eastAsia="Times New Roman" w:hAnsi="Times New Roman"/>
          <w:sz w:val="20"/>
          <w:szCs w:val="20"/>
          <w:color w:val="auto"/>
        </w:rPr>
        <w:t>and other items; estimates regarding the projected impact of tariffs or other changes in trade policy on the Company's business, financial</w:t>
      </w:r>
    </w:p>
    <w:p>
      <w:pPr>
        <w:ind w:right="560"/>
        <w:spacing w:after="0" w:line="229" w:lineRule="auto"/>
        <w:rPr>
          <w:sz w:val="20"/>
          <w:szCs w:val="20"/>
          <w:color w:val="auto"/>
        </w:rPr>
      </w:pPr>
      <w:r>
        <w:rPr>
          <w:rFonts w:ascii="Times New Roman" w:cs="Times New Roman" w:eastAsia="Times New Roman" w:hAnsi="Times New Roman"/>
          <w:sz w:val="19"/>
          <w:szCs w:val="19"/>
          <w:color w:val="auto"/>
        </w:rPr>
        <w:t>condition and results of operations; and the Company’s expectations and plans with respect to business and operational performance, strategic initiatives, capabilities, resources, product development, product availability and regulatory approvals, including expectations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regarding the efficacy of the Company’s compliance master plan to improve the Company's quality systems and the</w:t>
      </w:r>
    </w:p>
    <w:p>
      <w:pPr>
        <w:sectPr>
          <w:pgSz w:w="11900" w:h="16838" w:orient="portrait"/>
          <w:cols w:equalWidth="0" w:num="1">
            <w:col w:w="11240"/>
          </w:cols>
          <w:pgMar w:left="320" w:top="88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9"/>
          <w:szCs w:val="19"/>
          <w:color w:val="auto"/>
        </w:rPr>
        <w:t>Company’s profitability improvement initiative to realize expected savings and enhance operational efficiency. It is important to note that the</w:t>
      </w:r>
    </w:p>
    <w:p>
      <w:pPr>
        <w:spacing w:after="0" w:line="20" w:lineRule="exact"/>
        <w:rPr>
          <w:sz w:val="20"/>
          <w:szCs w:val="20"/>
          <w:color w:val="auto"/>
        </w:rPr>
      </w:pPr>
    </w:p>
    <w:p>
      <w:pPr>
        <w:ind w:right="220"/>
        <w:spacing w:after="0" w:line="229" w:lineRule="auto"/>
        <w:rPr>
          <w:sz w:val="20"/>
          <w:szCs w:val="20"/>
          <w:color w:val="auto"/>
        </w:rPr>
      </w:pPr>
      <w:r>
        <w:rPr>
          <w:rFonts w:ascii="Times New Roman" w:cs="Times New Roman" w:eastAsia="Times New Roman" w:hAnsi="Times New Roman"/>
          <w:sz w:val="19"/>
          <w:szCs w:val="19"/>
          <w:color w:val="auto"/>
        </w:rPr>
        <w:t>Company’s goals and expectations are not predictions of actual performance. Such forward-looking statements involve risks and uncertainties that could cause actual results to differ materially from predicted or expected results. Such risks and uncertainties include, but</w:t>
      </w:r>
    </w:p>
    <w:p>
      <w:pPr>
        <w:spacing w:after="0" w:line="227" w:lineRule="auto"/>
        <w:rPr>
          <w:sz w:val="20"/>
          <w:szCs w:val="20"/>
          <w:color w:val="auto"/>
        </w:rPr>
      </w:pPr>
      <w:r>
        <w:rPr>
          <w:rFonts w:ascii="Times New Roman" w:cs="Times New Roman" w:eastAsia="Times New Roman" w:hAnsi="Times New Roman"/>
          <w:sz w:val="20"/>
          <w:szCs w:val="20"/>
          <w:color w:val="auto"/>
        </w:rPr>
        <w:t>are not limited, to the following: the ongoing and possible future effects of global challenges, including macroeconomic uncertainties,</w:t>
      </w:r>
    </w:p>
    <w:p>
      <w:pPr>
        <w:ind w:right="640"/>
        <w:spacing w:after="0" w:line="229" w:lineRule="auto"/>
        <w:rPr>
          <w:sz w:val="20"/>
          <w:szCs w:val="20"/>
          <w:color w:val="auto"/>
        </w:rPr>
      </w:pPr>
      <w:r>
        <w:rPr>
          <w:rFonts w:ascii="Times New Roman" w:cs="Times New Roman" w:eastAsia="Times New Roman" w:hAnsi="Times New Roman"/>
          <w:sz w:val="19"/>
          <w:szCs w:val="19"/>
          <w:color w:val="auto"/>
        </w:rPr>
        <w:t>inflation, supply chain disruptions, trade regulation and tariffs, duties or other measures implemented by the U.S. or other countries, geopolitical conflicts, and U.S. and global recession concerns, on the Company’s customers and on the Company’s business, financial</w:t>
      </w:r>
    </w:p>
    <w:p>
      <w:pPr>
        <w:spacing w:after="0" w:line="2" w:lineRule="exact"/>
        <w:rPr>
          <w:sz w:val="20"/>
          <w:szCs w:val="20"/>
          <w:color w:val="auto"/>
        </w:rPr>
      </w:pPr>
    </w:p>
    <w:p>
      <w:pPr>
        <w:ind w:right="500"/>
        <w:spacing w:after="0" w:line="237" w:lineRule="auto"/>
        <w:rPr>
          <w:sz w:val="20"/>
          <w:szCs w:val="20"/>
          <w:color w:val="auto"/>
        </w:rPr>
      </w:pPr>
      <w:r>
        <w:rPr>
          <w:rFonts w:ascii="Times New Roman" w:cs="Times New Roman" w:eastAsia="Times New Roman" w:hAnsi="Times New Roman"/>
          <w:sz w:val="19"/>
          <w:szCs w:val="19"/>
          <w:color w:val="auto"/>
        </w:rPr>
        <w:t>condition, results of operations and cash flows; the Company's ability to execute its operating plan effectively; the Company’s ability to successfully integrate Acclarent and other acquired businesses; the Company’s ability to achieve sales growth in a timely fashion; the</w:t>
      </w:r>
    </w:p>
    <w:p>
      <w:pPr>
        <w:spacing w:after="0" w:line="1" w:lineRule="exact"/>
        <w:rPr>
          <w:sz w:val="20"/>
          <w:szCs w:val="20"/>
          <w:color w:val="auto"/>
        </w:rPr>
      </w:pPr>
    </w:p>
    <w:p>
      <w:pPr>
        <w:ind w:right="380"/>
        <w:spacing w:after="0" w:line="229" w:lineRule="auto"/>
        <w:rPr>
          <w:sz w:val="20"/>
          <w:szCs w:val="20"/>
          <w:color w:val="auto"/>
        </w:rPr>
      </w:pPr>
      <w:r>
        <w:rPr>
          <w:rFonts w:ascii="Times New Roman" w:cs="Times New Roman" w:eastAsia="Times New Roman" w:hAnsi="Times New Roman"/>
          <w:sz w:val="19"/>
          <w:szCs w:val="19"/>
          <w:color w:val="auto"/>
        </w:rPr>
        <w:t>Company's ability to manufacture and ship sufficient quantities of its products to meet its customers' demands; the ability of third-party suppliers to supply us with raw materials and finished products; the Company's ability to manage its direct sales channels effectively; the</w:t>
      </w:r>
    </w:p>
    <w:p>
      <w:pPr>
        <w:spacing w:after="0" w:line="227" w:lineRule="auto"/>
        <w:rPr>
          <w:sz w:val="20"/>
          <w:szCs w:val="20"/>
          <w:color w:val="auto"/>
        </w:rPr>
      </w:pPr>
      <w:r>
        <w:rPr>
          <w:rFonts w:ascii="Times New Roman" w:cs="Times New Roman" w:eastAsia="Times New Roman" w:hAnsi="Times New Roman"/>
          <w:sz w:val="20"/>
          <w:szCs w:val="20"/>
          <w:color w:val="auto"/>
        </w:rPr>
        <w:t>sales performance of third-party distributors on whom the Company relies to generate revenue for certain products and geographic regions;</w:t>
      </w:r>
    </w:p>
    <w:p>
      <w:pPr>
        <w:ind w:right="260"/>
        <w:spacing w:after="0" w:line="229" w:lineRule="auto"/>
        <w:rPr>
          <w:sz w:val="20"/>
          <w:szCs w:val="20"/>
          <w:color w:val="auto"/>
        </w:rPr>
      </w:pPr>
      <w:r>
        <w:rPr>
          <w:rFonts w:ascii="Times New Roman" w:cs="Times New Roman" w:eastAsia="Times New Roman" w:hAnsi="Times New Roman"/>
          <w:sz w:val="19"/>
          <w:szCs w:val="19"/>
          <w:color w:val="auto"/>
        </w:rPr>
        <w:t>the Company's ability to access and maintain relationships with customers of acquired entities and businesses; physicians' willingness to adopt and third-party payors' willingness to provide or maintain reimbursement for the Company's recently launched, planned and existing</w:t>
      </w:r>
    </w:p>
    <w:p>
      <w:pPr>
        <w:spacing w:after="0" w:line="227" w:lineRule="auto"/>
        <w:rPr>
          <w:sz w:val="20"/>
          <w:szCs w:val="20"/>
          <w:color w:val="auto"/>
        </w:rPr>
      </w:pPr>
      <w:r>
        <w:rPr>
          <w:rFonts w:ascii="Times New Roman" w:cs="Times New Roman" w:eastAsia="Times New Roman" w:hAnsi="Times New Roman"/>
          <w:sz w:val="20"/>
          <w:szCs w:val="20"/>
          <w:color w:val="auto"/>
        </w:rPr>
        <w:t>products; initiatives launched by the Company's competitors; downward pricing pressures from customers; the Company's ability to secure</w:t>
      </w:r>
    </w:p>
    <w:p>
      <w:pPr>
        <w:ind w:right="20"/>
        <w:spacing w:after="0" w:line="229" w:lineRule="auto"/>
        <w:rPr>
          <w:sz w:val="20"/>
          <w:szCs w:val="20"/>
          <w:color w:val="auto"/>
        </w:rPr>
      </w:pPr>
      <w:r>
        <w:rPr>
          <w:rFonts w:ascii="Times New Roman" w:cs="Times New Roman" w:eastAsia="Times New Roman" w:hAnsi="Times New Roman"/>
          <w:sz w:val="19"/>
          <w:szCs w:val="19"/>
          <w:color w:val="auto"/>
        </w:rPr>
        <w:t>regulatory approval for products in development; the Company's ability to remediate quality systems violations; difficulties in implementing the Company’s compliance master plan and realizing the benefits contemplated thereby within the anticipated timeframe, or at all; difficulties</w:t>
      </w:r>
    </w:p>
    <w:p>
      <w:pPr>
        <w:spacing w:after="0" w:line="227" w:lineRule="auto"/>
        <w:rPr>
          <w:sz w:val="20"/>
          <w:szCs w:val="20"/>
          <w:color w:val="auto"/>
        </w:rPr>
      </w:pPr>
      <w:r>
        <w:rPr>
          <w:rFonts w:ascii="Times New Roman" w:cs="Times New Roman" w:eastAsia="Times New Roman" w:hAnsi="Times New Roman"/>
          <w:sz w:val="20"/>
          <w:szCs w:val="20"/>
          <w:color w:val="auto"/>
        </w:rPr>
        <w:t>or delays in obtaining and maintaining required regulatory approvals related to the transition of the manufacturing to the Company’s</w:t>
      </w:r>
    </w:p>
    <w:p>
      <w:pPr>
        <w:ind w:right="40"/>
        <w:spacing w:after="0" w:line="229" w:lineRule="auto"/>
        <w:rPr>
          <w:sz w:val="20"/>
          <w:szCs w:val="20"/>
          <w:color w:val="auto"/>
        </w:rPr>
      </w:pPr>
      <w:r>
        <w:rPr>
          <w:rFonts w:ascii="Times New Roman" w:cs="Times New Roman" w:eastAsia="Times New Roman" w:hAnsi="Times New Roman"/>
          <w:sz w:val="19"/>
          <w:szCs w:val="19"/>
          <w:color w:val="auto"/>
        </w:rPr>
        <w:t>Braintree manufacturing facility; the possibility that costs or difficulties related to building and the operationalization of the Braintree facility or the transition of manufacturing activities from the Company’s Boston facility to the Braintree facility will be greater than expected;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fluctuations in hospitals' spending for capital equipment; uncertainties inherent in the development of new products and the enhancement of existing products, including FDA approval and/or clearance and other regulatory risks, technical risks, cost overruns and delays; the Company's ability to comply with regulations regarding products of human origin and products containing materials derived from animal source; difficulties in controlling expenses, including costs to procure and manufacture the Company’s products; difficulties in implementing the Company’s profitability improvement initiative and realizing the benefits contemplated thereby within the anticipated timeframe, or at all;</w:t>
      </w:r>
    </w:p>
    <w:p>
      <w:pPr>
        <w:spacing w:after="0" w:line="1"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9"/>
          <w:szCs w:val="19"/>
          <w:color w:val="auto"/>
        </w:rPr>
        <w:t>the ability of the Company to successfully manage leadership and organizational changes and the impact of changes in management or staff levels; the impact of goodwill and intangible asset impairment charges if future operating results of acquired businesses are significantly less</w:t>
      </w:r>
    </w:p>
    <w:p>
      <w:pPr>
        <w:spacing w:after="0" w:line="227" w:lineRule="auto"/>
        <w:rPr>
          <w:sz w:val="20"/>
          <w:szCs w:val="20"/>
          <w:color w:val="auto"/>
        </w:rPr>
      </w:pPr>
      <w:r>
        <w:rPr>
          <w:rFonts w:ascii="Times New Roman" w:cs="Times New Roman" w:eastAsia="Times New Roman" w:hAnsi="Times New Roman"/>
          <w:sz w:val="20"/>
          <w:szCs w:val="20"/>
          <w:color w:val="auto"/>
        </w:rPr>
        <w:t>than the results anticipated at the time of the acquisitions, the Company's ability to leverage its existing selling organizations and</w:t>
      </w:r>
    </w:p>
    <w:p>
      <w:pPr>
        <w:ind w:right="660"/>
        <w:spacing w:after="0" w:line="229" w:lineRule="auto"/>
        <w:rPr>
          <w:sz w:val="20"/>
          <w:szCs w:val="20"/>
          <w:color w:val="auto"/>
        </w:rPr>
      </w:pPr>
      <w:r>
        <w:rPr>
          <w:rFonts w:ascii="Times New Roman" w:cs="Times New Roman" w:eastAsia="Times New Roman" w:hAnsi="Times New Roman"/>
          <w:sz w:val="19"/>
          <w:szCs w:val="19"/>
          <w:color w:val="auto"/>
        </w:rPr>
        <w:t>administrative infrastructure; the Company's ability to increase product sales and gross margins, and control non-product costs; the Company’s ability to achieve anticipated growth rates, margins and scale and execute its strategy generally; the amount and timing of</w:t>
      </w:r>
    </w:p>
    <w:p>
      <w:pPr>
        <w:spacing w:after="0" w:line="227" w:lineRule="auto"/>
        <w:rPr>
          <w:sz w:val="20"/>
          <w:szCs w:val="20"/>
          <w:color w:val="auto"/>
        </w:rPr>
      </w:pPr>
      <w:r>
        <w:rPr>
          <w:rFonts w:ascii="Times New Roman" w:cs="Times New Roman" w:eastAsia="Times New Roman" w:hAnsi="Times New Roman"/>
          <w:sz w:val="20"/>
          <w:szCs w:val="20"/>
          <w:color w:val="auto"/>
        </w:rPr>
        <w:t>divestiture, acquisition and integration-related costs; the geographic distribution of where the Company generates its taxable income; new</w:t>
      </w:r>
    </w:p>
    <w:p>
      <w:pPr>
        <w:ind w:right="20"/>
        <w:spacing w:after="0" w:line="229" w:lineRule="auto"/>
        <w:rPr>
          <w:sz w:val="20"/>
          <w:szCs w:val="20"/>
          <w:color w:val="auto"/>
        </w:rPr>
      </w:pPr>
      <w:r>
        <w:rPr>
          <w:rFonts w:ascii="Times New Roman" w:cs="Times New Roman" w:eastAsia="Times New Roman" w:hAnsi="Times New Roman"/>
          <w:sz w:val="19"/>
          <w:szCs w:val="19"/>
          <w:color w:val="auto"/>
        </w:rPr>
        <w:t>U.S. and foreign government laws and regulations, and changes in existing laws, regulations and enforcement guidance, which affect areas of our operations including, but not limited to, those affecting the health care industry, including the EU Medical Device Regulation; the scope,</w:t>
      </w:r>
    </w:p>
    <w:p>
      <w:pPr>
        <w:spacing w:after="0" w:line="227" w:lineRule="auto"/>
        <w:rPr>
          <w:sz w:val="20"/>
          <w:szCs w:val="20"/>
          <w:color w:val="auto"/>
        </w:rPr>
      </w:pPr>
      <w:r>
        <w:rPr>
          <w:rFonts w:ascii="Times New Roman" w:cs="Times New Roman" w:eastAsia="Times New Roman" w:hAnsi="Times New Roman"/>
          <w:sz w:val="20"/>
          <w:szCs w:val="20"/>
          <w:color w:val="auto"/>
        </w:rPr>
        <w:t>duration and effect of U.S. and international governmental, regulatory, fiscal, monetary and public health responses to any future public</w:t>
      </w:r>
    </w:p>
    <w:p>
      <w:pPr>
        <w:ind w:right="220"/>
        <w:spacing w:after="0" w:line="229" w:lineRule="auto"/>
        <w:rPr>
          <w:sz w:val="20"/>
          <w:szCs w:val="20"/>
          <w:color w:val="auto"/>
        </w:rPr>
      </w:pPr>
      <w:r>
        <w:rPr>
          <w:rFonts w:ascii="Times New Roman" w:cs="Times New Roman" w:eastAsia="Times New Roman" w:hAnsi="Times New Roman"/>
          <w:sz w:val="19"/>
          <w:szCs w:val="19"/>
          <w:color w:val="auto"/>
        </w:rPr>
        <w:t>health crises; fluctuations in foreign currency exchange rates; the amount of our bank borrowings outstanding and other factors influencing liquidity; potential negative impacts resulting from environmental, social and governance matters; and the economic, competitive,</w:t>
      </w:r>
    </w:p>
    <w:p>
      <w:pPr>
        <w:spacing w:after="0" w:line="227" w:lineRule="auto"/>
        <w:rPr>
          <w:sz w:val="20"/>
          <w:szCs w:val="20"/>
          <w:color w:val="auto"/>
        </w:rPr>
      </w:pPr>
      <w:r>
        <w:rPr>
          <w:rFonts w:ascii="Times New Roman" w:cs="Times New Roman" w:eastAsia="Times New Roman" w:hAnsi="Times New Roman"/>
          <w:sz w:val="20"/>
          <w:szCs w:val="20"/>
          <w:color w:val="auto"/>
        </w:rPr>
        <w:t>governmental, technological, and other risk factors and uncertainties identified under the heading “Risk Factors” included in Item 1A of</w:t>
      </w:r>
    </w:p>
    <w:p>
      <w:pPr>
        <w:ind w:right="560"/>
        <w:spacing w:after="0" w:line="228" w:lineRule="auto"/>
        <w:rPr>
          <w:sz w:val="20"/>
          <w:szCs w:val="20"/>
          <w:color w:val="auto"/>
        </w:rPr>
      </w:pPr>
      <w:r>
        <w:rPr>
          <w:rFonts w:ascii="Times New Roman" w:cs="Times New Roman" w:eastAsia="Times New Roman" w:hAnsi="Times New Roman"/>
          <w:sz w:val="20"/>
          <w:szCs w:val="20"/>
          <w:color w:val="auto"/>
        </w:rPr>
        <w:t>Integra's Annual Report on Form 10-K for the year ended December 31, 2024 and information contained in subsequent filings with the Securities and Exchange Commission.</w:t>
      </w:r>
    </w:p>
    <w:p>
      <w:pPr>
        <w:spacing w:after="0" w:line="216" w:lineRule="exact"/>
        <w:rPr>
          <w:sz w:val="20"/>
          <w:szCs w:val="20"/>
          <w:color w:val="auto"/>
        </w:rPr>
      </w:pPr>
    </w:p>
    <w:p>
      <w:pPr>
        <w:ind w:right="400"/>
        <w:spacing w:after="0" w:line="310" w:lineRule="auto"/>
        <w:rPr>
          <w:sz w:val="20"/>
          <w:szCs w:val="20"/>
          <w:color w:val="auto"/>
        </w:rPr>
      </w:pPr>
      <w:r>
        <w:rPr>
          <w:rFonts w:ascii="Times New Roman" w:cs="Times New Roman" w:eastAsia="Times New Roman" w:hAnsi="Times New Roman"/>
          <w:sz w:val="19"/>
          <w:szCs w:val="19"/>
          <w:color w:val="auto"/>
        </w:rPr>
        <w:t>These forward-looking statements are made only as of the date hereof, and the Company undertakes no obligation to update or revise the forward-looking statements, whether as a result of new information, future events, or otherwise, except as otherwise required by law.</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Discussion of Adjusted Financial Measures</w:t>
      </w:r>
    </w:p>
    <w:p>
      <w:pPr>
        <w:spacing w:after="0" w:line="247"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20"/>
          <w:szCs w:val="20"/>
          <w:color w:val="auto"/>
        </w:rPr>
        <w:t>In addition to our GAAP results, we provide certain non-GAAP measures, including organic revenues, adjusted earnings before interest, taxes, depreciation and amortization (“EBITDA”), adjusted net income, adjusted gross margin, adjusted earnings per diluted share, and net debt. Organic revenues consist of total revenues excluding the effects of currency exchange rates, revenues from current-period acquisitions and product divestitures. Adjusted EBITDA consists of GAAP net income excluding: (i) depreciation and amortization; (ii) other income (expense);</w:t>
      </w:r>
    </w:p>
    <w:p>
      <w:pPr>
        <w:sectPr>
          <w:pgSz w:w="11900" w:h="16838" w:orient="portrait"/>
          <w:cols w:equalWidth="0" w:num="1">
            <w:col w:w="11240"/>
          </w:cols>
          <w:pgMar w:left="320" w:top="873" w:right="339" w:bottom="1440" w:gutter="0" w:footer="0" w:header="0"/>
        </w:sectPr>
      </w:pPr>
    </w:p>
    <w:bookmarkStart w:id="10" w:name="page11"/>
    <w:bookmarkEnd w:id="10"/>
    <w:p>
      <w:pPr>
        <w:jc w:val="both"/>
        <w:ind w:right="20"/>
        <w:spacing w:after="0" w:line="286" w:lineRule="auto"/>
        <w:rPr>
          <w:sz w:val="20"/>
          <w:szCs w:val="20"/>
          <w:color w:val="auto"/>
        </w:rPr>
      </w:pPr>
      <w:r>
        <w:rPr>
          <w:rFonts w:ascii="Times New Roman" w:cs="Times New Roman" w:eastAsia="Times New Roman" w:hAnsi="Times New Roman"/>
          <w:sz w:val="19"/>
          <w:szCs w:val="19"/>
          <w:color w:val="auto"/>
        </w:rPr>
        <w:t>(iii) interest income and expense; (iv) income tax expense (benefit); (v) impairment charges; and (vi) those operating expenses also excluded from adjusted net income. The measure of adjusted net income consists of GAAP net income, excluding: (i) structural optimization charges;</w:t>
      </w:r>
    </w:p>
    <w:p>
      <w:pPr>
        <w:spacing w:after="0" w:line="1" w:lineRule="exact"/>
        <w:rPr>
          <w:sz w:val="20"/>
          <w:szCs w:val="20"/>
          <w:color w:val="auto"/>
        </w:rPr>
      </w:pPr>
    </w:p>
    <w:p>
      <w:pPr>
        <w:ind w:right="100" w:firstLine="8"/>
        <w:spacing w:after="0" w:line="254" w:lineRule="auto"/>
        <w:tabs>
          <w:tab w:leader="none" w:pos="291"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divestiture, acquisition and integration-related charges; (iii) EU Medical Device Regulation-related charges; (iv) charges related to the manufacturing stoppage and voluntary global recall of all products manufactured at the Company’s Boston, Massachusetts facility and distributed between March 1, 2018 and May 22, 2023, as previously disclosed in the Company’s Current Report on Form 8-K filed with the Securities and Exchange Commission on May 23, 2023 (the “recall”) and the transition of Boston-related manufacturing operations to the Company’s Braintree, Massachusetts facility; (v) intangible asset amortization expense; (vi) income tax impact from adjustments; and (vii) impairment charges. The measure of adjusted gross margin is calculated by dividing adjusted gross profit by total revenues. Adjusted gross profit consists of GAAP gross profit adjusted for: (i) structural optimization charges; (ii) divestiture, acquisition and integration-related charges; (iii) charges related to the recall and the transition of Boston-related manufacturing operations to the Company’s Braintree, Massachusetts facility; (iv) EU Medical Device Regulation-related charges; and (v) intangible asset amortization expense. The adjusted earnings per diluted share measure is calculated by dividing adjusted net income attributable to diluted shares by diluted weighted average shares outstanding. The measure of net debt consists of GAAP total debt (excluding deferred financing costs) less short-term investments, cash and cash equivalents.</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Reconciliations of GAAP revenues to organic revenues, GAAP net income to adjusted EBITDA, and adjusted net income, GAAP gross margin to adjusted gross margin, GAAP total debt to net debt, and GAAP earnings per diluted share to adjusted earnings per diluted share all for the quarters ended June 30, 2025 and 2024.</w:t>
      </w:r>
    </w:p>
    <w:p>
      <w:pPr>
        <w:spacing w:after="0" w:line="175"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The Company is providing forward-looking guidance regarding adjusted earnings per diluted share but is not providing a reconciliation to GAAP earnings per share, because certain GAAP expense items are highly variable, and management is unable to predict them with reasonable certainty and without unreasonable effort. Specifically, the financial impact and timing of divestitures, acquisitions, integrations, structural optimization and efforts to comply with the EU Medical Device Regulation are uncertain, depend on various dynamic factors and are not reasonably ascertainable at this time. These expense items could have a material impact on GAAP results.</w:t>
      </w:r>
    </w:p>
    <w:p>
      <w:pPr>
        <w:spacing w:after="0" w:line="19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The Company believes that the presentation of organic revenues and the other non-GAAP measures provide important supplemental information to management and investors regarding financial and business trends relating to the Company's financial condition and results of operations. For further information regarding why Integra believes that these non-GAAP financial measures provide useful information to investors, the specific manner in which management uses these measures, and some of the limitations associated with the use of these measures, please refer to the Company's Current Report on Form 8-K regarding this earnings press release filed today with the Securities and Exchange Commission. This Current Report on Form 8-K is available on the SEC's website at www.sec.gov or on our website at www.integralife.com.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 Contact</w:t>
      </w:r>
      <w:r>
        <w:rPr>
          <w:rFonts w:ascii="Times New Roman" w:cs="Times New Roman" w:eastAsia="Times New Roman" w:hAnsi="Times New Roman"/>
          <w:sz w:val="17"/>
          <w:szCs w:val="17"/>
          <w:b w:val="1"/>
          <w:bCs w:val="1"/>
          <w:color w:val="auto"/>
        </w:rPr>
        <w:t>:</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Chris Ward</w:t>
      </w:r>
    </w:p>
    <w:p>
      <w:pPr>
        <w:spacing w:after="0" w:line="22" w:lineRule="exact"/>
        <w:rPr>
          <w:sz w:val="20"/>
          <w:szCs w:val="20"/>
          <w:color w:val="auto"/>
        </w:rPr>
      </w:pPr>
    </w:p>
    <w:p>
      <w:pPr>
        <w:ind w:right="8960" w:firstLine="8"/>
        <w:spacing w:after="0" w:line="286" w:lineRule="auto"/>
        <w:tabs>
          <w:tab w:leader="none" w:pos="478"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772-7736 chris.ward@integralife.com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Laurene Isip</w:t>
      </w:r>
    </w:p>
    <w:p>
      <w:pPr>
        <w:spacing w:after="0" w:line="22" w:lineRule="exact"/>
        <w:rPr>
          <w:sz w:val="20"/>
          <w:szCs w:val="20"/>
          <w:color w:val="auto"/>
        </w:rPr>
      </w:pPr>
    </w:p>
    <w:p>
      <w:pPr>
        <w:ind w:right="8860" w:firstLine="8"/>
        <w:spacing w:after="0" w:line="286" w:lineRule="auto"/>
        <w:tabs>
          <w:tab w:leader="none" w:pos="478"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208-8121 laurene.isip@integralife.com</w:t>
      </w:r>
    </w:p>
    <w:p>
      <w:pPr>
        <w:sectPr>
          <w:pgSz w:w="11900" w:h="16838" w:orient="portrait"/>
          <w:cols w:equalWidth="0" w:num="1">
            <w:col w:w="11180"/>
          </w:cols>
          <w:pgMar w:left="320" w:top="886" w:right="399" w:bottom="1440" w:gutter="0" w:footer="0" w:header="0"/>
        </w:sectPr>
      </w:pPr>
    </w:p>
    <w:bookmarkStart w:id="11" w:name="page12"/>
    <w:bookmarkEnd w:id="11"/>
    <w:p>
      <w:pPr>
        <w:jc w:val="center"/>
        <w:ind w:right="-1120"/>
        <w:spacing w:after="0"/>
        <w:rPr>
          <w:sz w:val="20"/>
          <w:szCs w:val="20"/>
          <w:color w:val="auto"/>
        </w:rPr>
      </w:pPr>
      <w:r>
        <w:rPr>
          <w:rFonts w:ascii="Times New Roman" w:cs="Times New Roman" w:eastAsia="Times New Roman" w:hAnsi="Times New Roman"/>
          <w:sz w:val="18"/>
          <w:szCs w:val="18"/>
          <w:color w:val="auto"/>
        </w:rPr>
        <w:t>INTEGRA LIFESCIENCES HOLDINGS CORPORATION</w:t>
      </w:r>
    </w:p>
    <w:p>
      <w:pPr>
        <w:spacing w:after="0" w:line="18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CONDENSED CONSOLIDATED STATEMENTS OF OPERATIONS</w:t>
      </w:r>
    </w:p>
    <w:p>
      <w:pPr>
        <w:sectPr>
          <w:pgSz w:w="11900" w:h="16838" w:orient="portrait"/>
          <w:cols w:equalWidth="0" w:num="1">
            <w:col w:w="10139"/>
          </w:cols>
          <w:pgMar w:left="320" w:top="891" w:right="1440" w:bottom="1440" w:gutter="0" w:footer="0" w:header="0"/>
        </w:sect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(UNAUDITED)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Total revenues, net</w:t>
      </w:r>
    </w:p>
    <w:p>
      <w:pPr>
        <w:spacing w:after="0" w:line="1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Costs and expenses:</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Cost of goods sold</w:t>
      </w:r>
    </w:p>
    <w:p>
      <w:pPr>
        <w:spacing w:after="0" w:line="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Intangible asset amortization</w:t>
      </w:r>
    </w:p>
    <w:p>
      <w:pPr>
        <w:spacing w:after="0" w:line="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Goodwill impairment charge</w:t>
      </w:r>
    </w:p>
    <w:p>
      <w:pPr>
        <w:spacing w:after="0" w:line="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Total costs and expenses</w:t>
      </w:r>
    </w:p>
    <w:p>
      <w:pPr>
        <w:spacing w:after="0" w:line="2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Operating Loss</w:t>
      </w:r>
    </w:p>
    <w:p>
      <w:pPr>
        <w:spacing w:after="0" w:line="2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Interest income</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Income benefit</w:t>
      </w:r>
    </w:p>
    <w:p>
      <w:pPr>
        <w:spacing w:after="0" w:line="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310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Three Months Ended June 30,</w:t>
            </w:r>
          </w:p>
        </w:tc>
      </w:tr>
      <w:tr>
        <w:trPr>
          <w:trHeight w:val="257"/>
        </w:trPr>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r>
      <w:tr>
        <w:trPr>
          <w:trHeight w:val="228"/>
        </w:trPr>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415,605</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418,175</w:t>
            </w:r>
          </w:p>
        </w:tc>
      </w:tr>
      <w:tr>
        <w:trPr>
          <w:trHeight w:val="557"/>
        </w:trPr>
        <w:tc>
          <w:tcPr>
            <w:tcW w:w="300" w:type="dxa"/>
            <w:vAlign w:val="bottom"/>
          </w:tcPr>
          <w:p>
            <w:pPr>
              <w:spacing w:after="0"/>
              <w:rPr>
                <w:sz w:val="24"/>
                <w:szCs w:val="24"/>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206,273</w:t>
            </w:r>
          </w:p>
        </w:tc>
        <w:tc>
          <w:tcPr>
            <w:tcW w:w="6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192,258</w:t>
            </w:r>
          </w:p>
        </w:tc>
      </w:tr>
      <w:tr>
        <w:trPr>
          <w:trHeight w:val="229"/>
        </w:trPr>
        <w:tc>
          <w:tcPr>
            <w:tcW w:w="300" w:type="dxa"/>
            <w:vAlign w:val="bottom"/>
          </w:tcPr>
          <w:p>
            <w:pPr>
              <w:spacing w:after="0"/>
              <w:rPr>
                <w:sz w:val="19"/>
                <w:szCs w:val="19"/>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26,997</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29,767</w:t>
            </w:r>
          </w:p>
        </w:tc>
      </w:tr>
      <w:tr>
        <w:trPr>
          <w:trHeight w:val="230"/>
        </w:trPr>
        <w:tc>
          <w:tcPr>
            <w:tcW w:w="300" w:type="dxa"/>
            <w:vAlign w:val="bottom"/>
          </w:tcPr>
          <w:p>
            <w:pPr>
              <w:spacing w:after="0"/>
              <w:rPr>
                <w:sz w:val="19"/>
                <w:szCs w:val="19"/>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179,890</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195,472</w:t>
            </w:r>
          </w:p>
        </w:tc>
      </w:tr>
      <w:tr>
        <w:trPr>
          <w:trHeight w:val="229"/>
        </w:trPr>
        <w:tc>
          <w:tcPr>
            <w:tcW w:w="300" w:type="dxa"/>
            <w:vAlign w:val="bottom"/>
          </w:tcPr>
          <w:p>
            <w:pPr>
              <w:spacing w:after="0"/>
              <w:rPr>
                <w:sz w:val="19"/>
                <w:szCs w:val="19"/>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3,754</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r>
      <w:tr>
        <w:trPr>
          <w:trHeight w:val="234"/>
        </w:trPr>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511,365</w:t>
            </w:r>
          </w:p>
        </w:tc>
        <w:tc>
          <w:tcPr>
            <w:tcW w:w="6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23"/>
        </w:trPr>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928,279</w:t>
            </w:r>
          </w:p>
        </w:tc>
        <w:tc>
          <w:tcPr>
            <w:tcW w:w="6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421,204</w:t>
            </w:r>
          </w:p>
        </w:tc>
      </w:tr>
      <w:tr>
        <w:trPr>
          <w:trHeight w:val="466"/>
        </w:trPr>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(512,674)</w:t>
            </w:r>
          </w:p>
        </w:tc>
        <w:tc>
          <w:tcPr>
            <w:tcW w:w="6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w:t>
            </w:r>
          </w:p>
        </w:tc>
      </w:tr>
      <w:tr>
        <w:trPr>
          <w:trHeight w:val="461"/>
        </w:trPr>
        <w:tc>
          <w:tcPr>
            <w:tcW w:w="300" w:type="dxa"/>
            <w:vAlign w:val="bottom"/>
          </w:tcPr>
          <w:p>
            <w:pPr>
              <w:spacing w:after="0"/>
              <w:rPr>
                <w:sz w:val="24"/>
                <w:szCs w:val="24"/>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4,710</w:t>
            </w:r>
          </w:p>
        </w:tc>
        <w:tc>
          <w:tcPr>
            <w:tcW w:w="6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w:t>
            </w:r>
          </w:p>
        </w:tc>
      </w:tr>
      <w:tr>
        <w:trPr>
          <w:trHeight w:val="230"/>
        </w:trPr>
        <w:tc>
          <w:tcPr>
            <w:tcW w:w="300" w:type="dxa"/>
            <w:vAlign w:val="bottom"/>
          </w:tcPr>
          <w:p>
            <w:pPr>
              <w:spacing w:after="0"/>
              <w:rPr>
                <w:sz w:val="19"/>
                <w:szCs w:val="19"/>
                <w:color w:val="auto"/>
              </w:rPr>
            </w:pP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(21,042)</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(18,651)</w:t>
            </w:r>
          </w:p>
        </w:tc>
      </w:tr>
      <w:tr>
        <w:trPr>
          <w:trHeight w:val="234"/>
        </w:trPr>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(1,946)</w:t>
            </w:r>
          </w:p>
        </w:tc>
        <w:tc>
          <w:tcPr>
            <w:tcW w:w="6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w:t>
            </w:r>
          </w:p>
        </w:tc>
      </w:tr>
      <w:tr>
        <w:trPr>
          <w:trHeight w:val="218"/>
        </w:trPr>
        <w:tc>
          <w:tcPr>
            <w:tcW w:w="300" w:type="dxa"/>
            <w:vAlign w:val="bottom"/>
          </w:tcPr>
          <w:p>
            <w:pPr>
              <w:spacing w:after="0"/>
              <w:rPr>
                <w:sz w:val="18"/>
                <w:szCs w:val="18"/>
                <w:color w:val="auto"/>
              </w:rPr>
            </w:pP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(530,952)</w:t>
            </w: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(15,185)</w:t>
            </w:r>
          </w:p>
        </w:tc>
      </w:tr>
      <w:tr>
        <w:trPr>
          <w:trHeight w:val="234"/>
        </w:trPr>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(46,879)</w:t>
            </w:r>
          </w:p>
        </w:tc>
        <w:tc>
          <w:tcPr>
            <w:tcW w:w="6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w:t>
            </w:r>
          </w:p>
        </w:tc>
      </w:tr>
      <w:tr>
        <w:trPr>
          <w:trHeight w:val="223"/>
        </w:trPr>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(484,073)</w:t>
            </w: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(12,402)</w:t>
            </w:r>
          </w:p>
        </w:tc>
      </w:tr>
    </w:tbl>
    <w:p>
      <w:pPr>
        <w:spacing w:after="0" w:line="200" w:lineRule="exact"/>
        <w:rPr>
          <w:sz w:val="20"/>
          <w:szCs w:val="20"/>
          <w:color w:val="auto"/>
        </w:rPr>
      </w:pPr>
    </w:p>
    <w:p>
      <w:pPr>
        <w:sectPr>
          <w:pgSz w:w="11900" w:h="16838" w:orient="portrait"/>
          <w:cols w:equalWidth="0" w:num="2">
            <w:col w:w="6220" w:space="320"/>
            <w:col w:w="3599"/>
          </w:cols>
          <w:pgMar w:left="320" w:top="891" w:right="1440" w:bottom="1440" w:gutter="0" w:footer="0" w:header="0"/>
          <w:type w:val="continuous"/>
        </w:sectPr>
      </w:pPr>
    </w:p>
    <w:p>
      <w:pPr>
        <w:spacing w:after="0" w:line="38" w:lineRule="exact"/>
        <w:rPr>
          <w:sz w:val="20"/>
          <w:szCs w:val="20"/>
          <w:color w:val="auto"/>
        </w:rPr>
      </w:pPr>
    </w:p>
    <w:tbl>
      <w:tblPr>
        <w:tblLayout w:type="fixed"/>
        <w:tblInd w:w="1340" w:type="dxa"/>
        <w:tblCellMar>
          <w:top w:w="0" w:type="dxa"/>
          <w:left w:w="0" w:type="dxa"/>
          <w:bottom w:w="0" w:type="dxa"/>
          <w:right w:w="0" w:type="dxa"/>
        </w:tblCellMar>
      </w:tblP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0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20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$(6.31)</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4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for diluted net income</w:t>
            </w:r>
          </w:p>
        </w:tc>
        <w:tc>
          <w:tcPr>
            <w:tcW w:w="20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per share</w:t>
            </w:r>
          </w:p>
        </w:tc>
        <w:tc>
          <w:tcPr>
            <w:tcW w:w="2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76,695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77,409</w:t>
            </w:r>
          </w:p>
        </w:tc>
      </w:tr>
    </w:tbl>
    <w:p>
      <w:pPr>
        <w:sectPr>
          <w:pgSz w:w="11900" w:h="16838" w:orient="portrait"/>
          <w:cols w:equalWidth="0" w:num="1">
            <w:col w:w="10139"/>
          </w:cols>
          <w:pgMar w:left="320" w:top="891" w:right="1440"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following table presents revenues disaggregated by the major sources for the three months ended June 30, 2025 and 2024 (amounts 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6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Neurosurgery</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27"/>
        </w:trPr>
        <w:tc>
          <w:tcPr>
            <w:tcW w:w="6080" w:type="dxa"/>
            <w:vAlign w:val="bottom"/>
            <w:vMerge w:val="continue"/>
          </w:tcPr>
          <w:p>
            <w:pPr>
              <w:spacing w:after="0"/>
              <w:rPr>
                <w:sz w:val="19"/>
                <w:szCs w:val="19"/>
                <w:color w:val="auto"/>
              </w:rPr>
            </w:pP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208,992</w:t>
            </w:r>
          </w:p>
        </w:tc>
        <w:tc>
          <w:tcPr>
            <w:tcW w:w="380" w:type="dxa"/>
            <w:vAlign w:val="bottom"/>
          </w:tcPr>
          <w:p>
            <w:pPr>
              <w:spacing w:after="0"/>
              <w:rPr>
                <w:sz w:val="19"/>
                <w:szCs w:val="19"/>
                <w:color w:val="auto"/>
              </w:rPr>
            </w:pP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205,502</w:t>
            </w:r>
          </w:p>
        </w:tc>
        <w:tc>
          <w:tcPr>
            <w:tcW w:w="12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57"/>
        </w:trPr>
        <w:tc>
          <w:tcPr>
            <w:tcW w:w="6080" w:type="dxa"/>
            <w:vAlign w:val="bottom"/>
          </w:tcPr>
          <w:p>
            <w:pPr>
              <w:spacing w:after="0" w:line="257" w:lineRule="exact"/>
              <w:rPr>
                <w:sz w:val="20"/>
                <w:szCs w:val="20"/>
                <w:color w:val="auto"/>
              </w:rPr>
            </w:pPr>
            <w:r>
              <w:rPr>
                <w:rFonts w:ascii="Times New Roman" w:cs="Times New Roman" w:eastAsia="Times New Roman" w:hAnsi="Times New Roman"/>
                <w:sz w:val="20"/>
                <w:szCs w:val="20"/>
                <w:color w:val="auto"/>
              </w:rPr>
              <w:t>Instruments</w:t>
            </w:r>
            <w:r>
              <w:rPr>
                <w:rFonts w:ascii="Times New Roman" w:cs="Times New Roman" w:eastAsia="Times New Roman" w:hAnsi="Times New Roman"/>
                <w:sz w:val="25"/>
                <w:szCs w:val="25"/>
                <w:color w:val="auto"/>
                <w:vertAlign w:val="superscript"/>
              </w:rPr>
              <w:t>(1)</w:t>
            </w:r>
          </w:p>
        </w:tc>
        <w:tc>
          <w:tcPr>
            <w:tcW w:w="1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53,080</w:t>
            </w:r>
          </w:p>
        </w:tc>
        <w:tc>
          <w:tcPr>
            <w:tcW w:w="380" w:type="dxa"/>
            <w:vAlign w:val="bottom"/>
          </w:tcPr>
          <w:p>
            <w:pPr>
              <w:spacing w:after="0"/>
              <w:rPr>
                <w:sz w:val="22"/>
                <w:szCs w:val="22"/>
                <w:color w:val="auto"/>
              </w:rPr>
            </w:pP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54,537</w:t>
            </w: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66"/>
        </w:trPr>
        <w:tc>
          <w:tcPr>
            <w:tcW w:w="6080" w:type="dxa"/>
            <w:vAlign w:val="bottom"/>
          </w:tcPr>
          <w:p>
            <w:pPr>
              <w:spacing w:after="0" w:line="265" w:lineRule="exact"/>
              <w:rPr>
                <w:sz w:val="20"/>
                <w:szCs w:val="20"/>
                <w:color w:val="auto"/>
              </w:rPr>
            </w:pPr>
            <w:r>
              <w:rPr>
                <w:rFonts w:ascii="Times New Roman" w:cs="Times New Roman" w:eastAsia="Times New Roman" w:hAnsi="Times New Roman"/>
                <w:sz w:val="20"/>
                <w:szCs w:val="20"/>
                <w:color w:val="auto"/>
              </w:rPr>
              <w:t>ENT</w:t>
            </w:r>
            <w:r>
              <w:rPr>
                <w:rFonts w:ascii="Times New Roman" w:cs="Times New Roman" w:eastAsia="Times New Roman" w:hAnsi="Times New Roman"/>
                <w:sz w:val="25"/>
                <w:szCs w:val="25"/>
                <w:color w:val="auto"/>
                <w:vertAlign w:val="superscript"/>
              </w:rPr>
              <w:t>(1)</w:t>
            </w:r>
          </w:p>
        </w:tc>
        <w:tc>
          <w:tcPr>
            <w:tcW w:w="1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41,886</w:t>
            </w:r>
          </w:p>
        </w:tc>
        <w:tc>
          <w:tcPr>
            <w:tcW w:w="3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41,722</w:t>
            </w: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Total Codman Specialty Surgical</w:t>
            </w:r>
          </w:p>
        </w:tc>
        <w:tc>
          <w:tcPr>
            <w:tcW w:w="1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303,958</w:t>
            </w:r>
          </w:p>
        </w:tc>
        <w:tc>
          <w:tcPr>
            <w:tcW w:w="380" w:type="dxa"/>
            <w:vAlign w:val="bottom"/>
          </w:tcPr>
          <w:p>
            <w:pPr>
              <w:spacing w:after="0"/>
              <w:rPr>
                <w:sz w:val="20"/>
                <w:szCs w:val="20"/>
                <w:color w:val="auto"/>
              </w:rPr>
            </w:pP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301,761</w:t>
            </w:r>
          </w:p>
        </w:tc>
        <w:tc>
          <w:tcPr>
            <w:tcW w:w="12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407"/>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Wound Reconstruction and Care</w:t>
            </w:r>
          </w:p>
        </w:tc>
        <w:tc>
          <w:tcPr>
            <w:tcW w:w="1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84,747</w:t>
            </w:r>
          </w:p>
        </w:tc>
        <w:tc>
          <w:tcPr>
            <w:tcW w:w="380" w:type="dxa"/>
            <w:vAlign w:val="bottom"/>
          </w:tcPr>
          <w:p>
            <w:pPr>
              <w:spacing w:after="0"/>
              <w:rPr>
                <w:sz w:val="24"/>
                <w:szCs w:val="24"/>
                <w:color w:val="auto"/>
              </w:rPr>
            </w:pP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87,695</w:t>
            </w: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66"/>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Private Label</w:t>
            </w:r>
          </w:p>
        </w:tc>
        <w:tc>
          <w:tcPr>
            <w:tcW w:w="1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26,900</w:t>
            </w:r>
          </w:p>
        </w:tc>
        <w:tc>
          <w:tcPr>
            <w:tcW w:w="3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28,719</w:t>
            </w: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6"/>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Total Tissue Technologies</w:t>
            </w:r>
          </w:p>
        </w:tc>
        <w:tc>
          <w:tcPr>
            <w:tcW w:w="1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111,647</w:t>
            </w:r>
          </w:p>
        </w:tc>
        <w:tc>
          <w:tcPr>
            <w:tcW w:w="3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116,414</w:t>
            </w: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6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Total reported revenues</w:t>
            </w: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415,605</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418,175</w:t>
            </w: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
        </w:trPr>
        <w:tc>
          <w:tcPr>
            <w:tcW w:w="6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Impact of changes in currency exchange rates</w:t>
            </w: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6080" w:type="dxa"/>
            <w:vAlign w:val="bottom"/>
            <w:vMerge w:val="continue"/>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3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8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Total organic revenues</w:t>
            </w:r>
            <w:r>
              <w:rPr>
                <w:rFonts w:ascii="Times New Roman" w:cs="Times New Roman" w:eastAsia="Times New Roman" w:hAnsi="Times New Roman"/>
                <w:sz w:val="25"/>
                <w:szCs w:val="25"/>
                <w:color w:val="auto"/>
                <w:vertAlign w:val="superscript"/>
              </w:rPr>
              <w:t>(2)</w:t>
            </w: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412,368</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418,175</w:t>
            </w: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Organic revenues have been adjusted to exclude foreign currency (current period), acquisitions and to account for divested and discontinued products.</w:t>
      </w:r>
    </w:p>
    <w:p>
      <w:pPr>
        <w:sectPr>
          <w:pgSz w:w="11900" w:h="16838" w:orient="portrait"/>
          <w:cols w:equalWidth="0" w:num="1">
            <w:col w:w="11220"/>
          </w:cols>
          <w:pgMar w:left="320" w:top="89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Items included in GAAP net income and location where each item is recorded are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Three Months Ended June 30, 2025</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40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Item</w:t>
            </w:r>
          </w:p>
        </w:tc>
        <w:tc>
          <w:tcPr>
            <w:tcW w:w="114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Total Amount</w:t>
            </w: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COGS(a)</w:t>
            </w:r>
          </w:p>
        </w:tc>
        <w:tc>
          <w:tcPr>
            <w:tcW w:w="11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SG&amp;A(b)</w:t>
            </w: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rPr>
              <w:t>R&amp;D(c)</w:t>
            </w:r>
          </w:p>
        </w:tc>
        <w:tc>
          <w:tcPr>
            <w:tcW w:w="8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Amort (d)</w:t>
            </w:r>
          </w:p>
        </w:tc>
        <w:tc>
          <w:tcPr>
            <w:tcW w:w="90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rPr>
              <w:t>OI&amp;E(e)</w:t>
            </w:r>
          </w:p>
        </w:tc>
        <w:tc>
          <w:tcPr>
            <w:tcW w:w="10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Tax(f)</w:t>
            </w:r>
          </w:p>
        </w:tc>
      </w:tr>
      <w:tr>
        <w:trPr>
          <w:trHeight w:val="225"/>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Boston Recall/Braintree Transition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40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Estimated income tax impact from above adjustments</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and other items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(54,940)</w:t>
            </w: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COGS - Cost of goods sold</w:t>
      </w:r>
    </w:p>
    <w:p>
      <w:pPr>
        <w:spacing w:after="0" w:line="27"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 Selling, general and administrative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 Research &amp; development</w:t>
      </w:r>
    </w:p>
    <w:p>
      <w:pPr>
        <w:spacing w:after="0" w:line="9"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 - Intangible asset amortization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OI&amp;E - Other income &amp; expense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 Income tax expense (benefit)</w:t>
      </w:r>
    </w:p>
    <w:p>
      <w:pPr>
        <w:sectPr>
          <w:pgSz w:w="11900" w:h="16838" w:orient="portrait"/>
          <w:cols w:equalWidth="0" w:num="1">
            <w:col w:w="11220"/>
          </w:cols>
          <w:pgMar w:left="320" w:top="89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Items included in GAAP net income and location where each item is recorded are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Three Months Ended June 30, 2024</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Item</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Total Amount</w:t>
            </w: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99"/>
              </w:rPr>
              <w:t>COGS(a)</w:t>
            </w:r>
          </w:p>
        </w:tc>
        <w:tc>
          <w:tcPr>
            <w:tcW w:w="11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SG&amp;A(b)</w:t>
            </w: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R&amp;D(c)</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Amort (d)</w:t>
            </w:r>
          </w:p>
        </w:tc>
        <w:tc>
          <w:tcPr>
            <w:tcW w:w="9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OI&amp;E(e)</w:t>
            </w:r>
          </w:p>
        </w:tc>
        <w:tc>
          <w:tcPr>
            <w:tcW w:w="10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Tax(f)</w:t>
            </w:r>
          </w:p>
        </w:tc>
      </w:tr>
      <w:tr>
        <w:trPr>
          <w:trHeight w:val="21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(34)</w:t>
            </w: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Boston Recall/Braintree Transition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9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40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Estimated income tax impact from above adjustments</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other items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(14,942)</w:t>
            </w: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COGS - Cost of goods sold</w:t>
      </w:r>
    </w:p>
    <w:p>
      <w:pPr>
        <w:spacing w:after="0" w:line="27"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 Selling, general and administrative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 Research &amp; development</w:t>
      </w:r>
    </w:p>
    <w:p>
      <w:pPr>
        <w:spacing w:after="0" w:line="9"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 - Intangible asset amortization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OI&amp;E - Other income &amp; expense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 Income tax expense (benefit)</w:t>
      </w:r>
    </w:p>
    <w:p>
      <w:pPr>
        <w:sectPr>
          <w:pgSz w:w="11900" w:h="16838" w:orient="portrait"/>
          <w:cols w:equalWidth="0" w:num="1">
            <w:col w:w="11220"/>
          </w:cols>
          <w:pgMar w:left="320" w:top="891" w:right="359" w:bottom="1440" w:gutter="0" w:footer="0" w:header="0"/>
        </w:sectPr>
      </w:pPr>
    </w:p>
    <w:bookmarkStart w:id="15" w:name="page16"/>
    <w:bookmarkEnd w:id="15"/>
    <w:p>
      <w:pPr>
        <w:jc w:val="center"/>
        <w:ind w:right="-1100"/>
        <w:spacing w:after="0"/>
        <w:rPr>
          <w:sz w:val="20"/>
          <w:szCs w:val="20"/>
          <w:color w:val="auto"/>
        </w:rPr>
      </w:pPr>
      <w:r>
        <w:rPr>
          <w:rFonts w:ascii="Times New Roman" w:cs="Times New Roman" w:eastAsia="Times New Roman" w:hAnsi="Times New Roman"/>
          <w:sz w:val="18"/>
          <w:szCs w:val="18"/>
          <w:color w:val="auto"/>
        </w:rPr>
        <w:t>RECONCILIATION OF NON-GAAP ADJUSTMENTS - GAAP NET INCOME TO ADJUSTED EBITDA</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Three Months Ended June 30,</w:t>
            </w:r>
          </w:p>
        </w:tc>
      </w:tr>
      <w:tr>
        <w:trPr>
          <w:trHeight w:val="223"/>
        </w:trPr>
        <w:tc>
          <w:tcPr>
            <w:tcW w:w="6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r>
      <w:tr>
        <w:trPr>
          <w:trHeight w:val="5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GAAP 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(484,073)</w:t>
            </w:r>
          </w:p>
        </w:tc>
        <w:tc>
          <w:tcPr>
            <w:tcW w:w="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(12,402)</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2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511,365</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intangible asset amortization expense</w:t>
            </w:r>
          </w:p>
        </w:tc>
        <w:tc>
          <w:tcPr>
            <w:tcW w:w="2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37,750</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35,782</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1,511</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16,332</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13,592</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19"/>
                <w:szCs w:val="19"/>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(46,879)</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2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5,944</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2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10,681</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12,508</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Boston Recall/ Braintree transition</w:t>
            </w:r>
          </w:p>
        </w:tc>
        <w:tc>
          <w:tcPr>
            <w:tcW w:w="2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13,630</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14,698</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2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4,963</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18,666</w:t>
            </w:r>
          </w:p>
        </w:tc>
      </w:tr>
      <w:tr>
        <w:trPr>
          <w:trHeight w:val="23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Total of non-GAAP adjustments</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555,297</w:t>
            </w: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96,157</w:t>
            </w:r>
          </w:p>
        </w:tc>
      </w:tr>
      <w:tr>
        <w:trPr>
          <w:trHeight w:val="228"/>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71,224</w:t>
            </w:r>
          </w:p>
        </w:tc>
        <w:tc>
          <w:tcPr>
            <w:tcW w:w="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83,755</w:t>
            </w:r>
          </w:p>
        </w:tc>
      </w:tr>
    </w:tbl>
    <w:p>
      <w:pPr>
        <w:sectPr>
          <w:pgSz w:w="11900" w:h="16838" w:orient="portrait"/>
          <w:cols w:equalWidth="0" w:num="1">
            <w:col w:w="10139"/>
          </w:cols>
          <w:pgMar w:left="320" w:top="891" w:right="144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color w:val="auto"/>
        </w:rPr>
        <w:t>RECONCILIATION OF NON-GAAP ADJUSTMENTS - GAAP NET INCOME TO MEASURES OF ADJUSTED NET INCOME AND ADJUSTED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EARNINGS PER SHARE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Three Months Ended June 30,</w:t>
            </w:r>
          </w:p>
        </w:tc>
      </w:tr>
      <w:tr>
        <w:trPr>
          <w:trHeight w:val="223"/>
        </w:trPr>
        <w:tc>
          <w:tcPr>
            <w:tcW w:w="78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r>
      <w:tr>
        <w:trPr>
          <w:trHeight w:val="691"/>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GAAP 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(484,073)</w:t>
            </w:r>
          </w:p>
        </w:tc>
        <w:tc>
          <w:tcPr>
            <w:tcW w:w="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(12,402)</w:t>
            </w:r>
          </w:p>
        </w:tc>
      </w:tr>
      <w:tr>
        <w:trPr>
          <w:trHeight w:val="22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280" w:type="dxa"/>
            <w:vAlign w:val="bottom"/>
          </w:tcPr>
          <w:p>
            <w:pPr>
              <w:spacing w:after="0"/>
              <w:rPr>
                <w:sz w:val="19"/>
                <w:szCs w:val="19"/>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5,944</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w:t>
            </w: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280" w:type="dxa"/>
            <w:vAlign w:val="bottom"/>
          </w:tcPr>
          <w:p>
            <w:pPr>
              <w:spacing w:after="0"/>
              <w:rPr>
                <w:sz w:val="19"/>
                <w:szCs w:val="19"/>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4,963</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18,666</w:t>
            </w:r>
          </w:p>
        </w:tc>
      </w:tr>
      <w:tr>
        <w:trPr>
          <w:trHeight w:val="22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280" w:type="dxa"/>
            <w:vAlign w:val="bottom"/>
          </w:tcPr>
          <w:p>
            <w:pPr>
              <w:spacing w:after="0"/>
              <w:rPr>
                <w:sz w:val="19"/>
                <w:szCs w:val="19"/>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10,681</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12,508</w:t>
            </w: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Boston Recall/Braintree Transition</w:t>
            </w:r>
          </w:p>
        </w:tc>
        <w:tc>
          <w:tcPr>
            <w:tcW w:w="280" w:type="dxa"/>
            <w:vAlign w:val="bottom"/>
          </w:tcPr>
          <w:p>
            <w:pPr>
              <w:spacing w:after="0"/>
              <w:rPr>
                <w:sz w:val="19"/>
                <w:szCs w:val="19"/>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13,630</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14,698</w:t>
            </w:r>
          </w:p>
        </w:tc>
      </w:tr>
      <w:tr>
        <w:trPr>
          <w:trHeight w:val="22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280" w:type="dxa"/>
            <w:vAlign w:val="bottom"/>
          </w:tcPr>
          <w:p>
            <w:pPr>
              <w:spacing w:after="0"/>
              <w:rPr>
                <w:sz w:val="19"/>
                <w:szCs w:val="19"/>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511,365</w:t>
            </w: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280" w:type="dxa"/>
            <w:vAlign w:val="bottom"/>
          </w:tcPr>
          <w:p>
            <w:pPr>
              <w:spacing w:after="0"/>
              <w:rPr>
                <w:sz w:val="19"/>
                <w:szCs w:val="19"/>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26,795</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25,383</w:t>
            </w: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Estimated income tax impact from adjustments and other items</w:t>
            </w:r>
          </w:p>
        </w:tc>
        <w:tc>
          <w:tcPr>
            <w:tcW w:w="280" w:type="dxa"/>
            <w:vAlign w:val="bottom"/>
          </w:tcPr>
          <w:p>
            <w:pPr>
              <w:spacing w:after="0"/>
              <w:rPr>
                <w:sz w:val="19"/>
                <w:szCs w:val="19"/>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(54,940)</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(14,942)</w:t>
            </w:r>
          </w:p>
        </w:tc>
      </w:tr>
      <w:tr>
        <w:trPr>
          <w:trHeight w:val="23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Total of non-GAAP adjustments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518,438</w:t>
            </w:r>
          </w:p>
        </w:tc>
        <w:tc>
          <w:tcPr>
            <w:tcW w:w="6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61,409</w:t>
            </w:r>
          </w:p>
        </w:tc>
      </w:tr>
      <w:tr>
        <w:trPr>
          <w:trHeight w:val="22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34,365</w:t>
            </w:r>
          </w:p>
        </w:tc>
        <w:tc>
          <w:tcPr>
            <w:tcW w:w="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49,007</w:t>
            </w:r>
          </w:p>
        </w:tc>
      </w:tr>
      <w:tr>
        <w:trPr>
          <w:trHeight w:val="461"/>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Adjusted diluted net income per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0.45</w:t>
            </w:r>
          </w:p>
        </w:tc>
        <w:tc>
          <w:tcPr>
            <w:tcW w:w="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r>
      <w:tr>
        <w:trPr>
          <w:trHeight w:val="23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for diluted net income per share</w:t>
            </w:r>
          </w:p>
        </w:tc>
        <w:tc>
          <w:tcPr>
            <w:tcW w:w="28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76,769</w:t>
            </w:r>
          </w:p>
        </w:tc>
        <w:tc>
          <w:tcPr>
            <w:tcW w:w="6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77,449</w:t>
            </w:r>
          </w:p>
        </w:tc>
      </w:tr>
    </w:tbl>
    <w:p>
      <w:pPr>
        <w:sectPr>
          <w:pgSz w:w="11900" w:h="16838" w:orient="portrait"/>
          <w:cols w:equalWidth="0" w:num="1">
            <w:col w:w="11220"/>
          </w:cols>
          <w:pgMar w:left="320" w:top="1134" w:right="35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color w:val="auto"/>
        </w:rPr>
        <w:t>CONDENSED BALANCE SHEET DATA</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June 30,</w:t>
            </w:r>
          </w:p>
        </w:tc>
        <w:tc>
          <w:tcPr>
            <w:tcW w:w="620" w:type="dxa"/>
            <w:vAlign w:val="bottom"/>
          </w:tcPr>
          <w:p>
            <w:pPr>
              <w:spacing w:after="0"/>
              <w:rPr>
                <w:sz w:val="24"/>
                <w:szCs w:val="24"/>
                <w:color w:val="auto"/>
              </w:rPr>
            </w:pP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9"/>
        </w:trPr>
        <w:tc>
          <w:tcPr>
            <w:tcW w:w="70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425"/>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 term investments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35,694</w:t>
            </w: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27,192</w:t>
            </w:r>
          </w:p>
        </w:tc>
        <w:tc>
          <w:tcPr>
            <w:tcW w:w="0" w:type="dxa"/>
            <w:vAlign w:val="bottom"/>
          </w:tcPr>
          <w:p>
            <w:pPr>
              <w:spacing w:after="0"/>
              <w:rPr>
                <w:sz w:val="1"/>
                <w:szCs w:val="1"/>
                <w:color w:val="auto"/>
              </w:rPr>
            </w:pPr>
          </w:p>
        </w:tc>
      </w:tr>
      <w:tr>
        <w:trPr>
          <w:trHeight w:val="230"/>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spacing w:after="0"/>
              <w:rPr>
                <w:sz w:val="19"/>
                <w:szCs w:val="19"/>
                <w:color w:val="auto"/>
              </w:rPr>
            </w:pP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217,914</w:t>
            </w:r>
          </w:p>
        </w:tc>
        <w:tc>
          <w:tcPr>
            <w:tcW w:w="6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246,375</w:t>
            </w:r>
          </w:p>
        </w:tc>
        <w:tc>
          <w:tcPr>
            <w:tcW w:w="0" w:type="dxa"/>
            <w:vAlign w:val="bottom"/>
          </w:tcPr>
          <w:p>
            <w:pPr>
              <w:spacing w:after="0"/>
              <w:rPr>
                <w:sz w:val="1"/>
                <w:szCs w:val="1"/>
                <w:color w:val="auto"/>
              </w:rPr>
            </w:pPr>
          </w:p>
        </w:tc>
      </w:tr>
      <w:tr>
        <w:trPr>
          <w:trHeight w:val="229"/>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320" w:type="dxa"/>
            <w:vAlign w:val="bottom"/>
          </w:tcPr>
          <w:p>
            <w:pPr>
              <w:spacing w:after="0"/>
              <w:rPr>
                <w:sz w:val="19"/>
                <w:szCs w:val="19"/>
                <w:color w:val="auto"/>
              </w:rPr>
            </w:pP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284,507</w:t>
            </w:r>
          </w:p>
        </w:tc>
        <w:tc>
          <w:tcPr>
            <w:tcW w:w="6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272,370</w:t>
            </w:r>
          </w:p>
        </w:tc>
        <w:tc>
          <w:tcPr>
            <w:tcW w:w="0" w:type="dxa"/>
            <w:vAlign w:val="bottom"/>
          </w:tcPr>
          <w:p>
            <w:pPr>
              <w:spacing w:after="0"/>
              <w:rPr>
                <w:sz w:val="1"/>
                <w:szCs w:val="1"/>
                <w:color w:val="auto"/>
              </w:rPr>
            </w:pPr>
          </w:p>
        </w:tc>
      </w:tr>
      <w:tr>
        <w:trPr>
          <w:trHeight w:val="234"/>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Inventories, net</w:t>
            </w:r>
          </w:p>
        </w:tc>
        <w:tc>
          <w:tcPr>
            <w:tcW w:w="320" w:type="dxa"/>
            <w:vAlign w:val="bottom"/>
          </w:tcPr>
          <w:p>
            <w:pPr>
              <w:spacing w:after="0"/>
              <w:rPr>
                <w:sz w:val="20"/>
                <w:szCs w:val="20"/>
                <w:color w:val="auto"/>
              </w:rPr>
            </w:pP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465,127</w:t>
            </w:r>
          </w:p>
        </w:tc>
        <w:tc>
          <w:tcPr>
            <w:tcW w:w="6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429,090</w:t>
            </w:r>
          </w:p>
        </w:tc>
        <w:tc>
          <w:tcPr>
            <w:tcW w:w="0" w:type="dxa"/>
            <w:vAlign w:val="bottom"/>
          </w:tcPr>
          <w:p>
            <w:pPr>
              <w:spacing w:after="0"/>
              <w:rPr>
                <w:sz w:val="1"/>
                <w:szCs w:val="1"/>
                <w:color w:val="auto"/>
              </w:rPr>
            </w:pPr>
          </w:p>
        </w:tc>
      </w:tr>
      <w:tr>
        <w:trPr>
          <w:trHeight w:val="441"/>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and long-term borrowing under senior credit facility</w:t>
            </w:r>
          </w:p>
        </w:tc>
        <w:tc>
          <w:tcPr>
            <w:tcW w:w="320" w:type="dxa"/>
            <w:vAlign w:val="bottom"/>
          </w:tcPr>
          <w:p>
            <w:pPr>
              <w:spacing w:after="0"/>
              <w:rPr>
                <w:sz w:val="24"/>
                <w:szCs w:val="24"/>
                <w:color w:val="auto"/>
              </w:rPr>
            </w:pP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1,156,892</w:t>
            </w:r>
          </w:p>
        </w:tc>
        <w:tc>
          <w:tcPr>
            <w:tcW w:w="6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1,121,823</w:t>
            </w:r>
          </w:p>
        </w:tc>
        <w:tc>
          <w:tcPr>
            <w:tcW w:w="0" w:type="dxa"/>
            <w:vAlign w:val="bottom"/>
          </w:tcPr>
          <w:p>
            <w:pPr>
              <w:spacing w:after="0"/>
              <w:rPr>
                <w:sz w:val="1"/>
                <w:szCs w:val="1"/>
                <w:color w:val="auto"/>
              </w:rPr>
            </w:pPr>
          </w:p>
        </w:tc>
      </w:tr>
      <w:tr>
        <w:trPr>
          <w:trHeight w:val="229"/>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Borrowings under securitization facility</w:t>
            </w:r>
          </w:p>
        </w:tc>
        <w:tc>
          <w:tcPr>
            <w:tcW w:w="320" w:type="dxa"/>
            <w:vAlign w:val="bottom"/>
          </w:tcPr>
          <w:p>
            <w:pPr>
              <w:spacing w:after="0"/>
              <w:rPr>
                <w:sz w:val="19"/>
                <w:szCs w:val="19"/>
                <w:color w:val="auto"/>
              </w:rPr>
            </w:pP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108,800</w:t>
            </w:r>
          </w:p>
        </w:tc>
        <w:tc>
          <w:tcPr>
            <w:tcW w:w="6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108,100</w:t>
            </w:r>
          </w:p>
        </w:tc>
        <w:tc>
          <w:tcPr>
            <w:tcW w:w="0" w:type="dxa"/>
            <w:vAlign w:val="bottom"/>
          </w:tcPr>
          <w:p>
            <w:pPr>
              <w:spacing w:after="0"/>
              <w:rPr>
                <w:sz w:val="1"/>
                <w:szCs w:val="1"/>
                <w:color w:val="auto"/>
              </w:rPr>
            </w:pPr>
          </w:p>
        </w:tc>
      </w:tr>
      <w:tr>
        <w:trPr>
          <w:trHeight w:val="234"/>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Convertible securities</w:t>
            </w:r>
          </w:p>
        </w:tc>
        <w:tc>
          <w:tcPr>
            <w:tcW w:w="320" w:type="dxa"/>
            <w:vAlign w:val="bottom"/>
          </w:tcPr>
          <w:p>
            <w:pPr>
              <w:spacing w:after="0"/>
              <w:rPr>
                <w:sz w:val="20"/>
                <w:szCs w:val="20"/>
                <w:color w:val="auto"/>
              </w:rPr>
            </w:pP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574,628</w:t>
            </w:r>
          </w:p>
        </w:tc>
        <w:tc>
          <w:tcPr>
            <w:tcW w:w="6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573,170</w:t>
            </w:r>
          </w:p>
        </w:tc>
        <w:tc>
          <w:tcPr>
            <w:tcW w:w="0" w:type="dxa"/>
            <w:vAlign w:val="bottom"/>
          </w:tcPr>
          <w:p>
            <w:pPr>
              <w:spacing w:after="0"/>
              <w:rPr>
                <w:sz w:val="1"/>
                <w:szCs w:val="1"/>
                <w:color w:val="auto"/>
              </w:rPr>
            </w:pPr>
          </w:p>
        </w:tc>
      </w:tr>
      <w:tr>
        <w:trPr>
          <w:trHeight w:val="432"/>
        </w:trPr>
        <w:tc>
          <w:tcPr>
            <w:tcW w:w="7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60" w:type="dxa"/>
            <w:vAlign w:val="bottom"/>
            <w:vMerge w:val="continue"/>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1,038,661</w:t>
            </w:r>
          </w:p>
        </w:tc>
        <w:tc>
          <w:tcPr>
            <w:tcW w:w="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1,545,280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CONDENSED STATEMENT OF CASH FLOWS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980" w:type="dxa"/>
            <w:vAlign w:val="bottom"/>
          </w:tcPr>
          <w:p>
            <w:pPr>
              <w:spacing w:after="0"/>
              <w:rPr>
                <w:sz w:val="19"/>
                <w:szCs w:val="19"/>
                <w:color w:val="auto"/>
              </w:rPr>
            </w:pPr>
          </w:p>
        </w:tc>
        <w:tc>
          <w:tcPr>
            <w:tcW w:w="418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color w:val="auto"/>
              </w:rPr>
              <w:t>Three Months Ended June 30,</w:t>
            </w:r>
          </w:p>
        </w:tc>
      </w:tr>
      <w:tr>
        <w:trPr>
          <w:trHeight w:val="234"/>
        </w:trPr>
        <w:tc>
          <w:tcPr>
            <w:tcW w:w="698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9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2024</w:t>
            </w:r>
          </w:p>
        </w:tc>
      </w:tr>
      <w:tr>
        <w:trPr>
          <w:trHeight w:val="421"/>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provided by operating activities</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(2,338)</w:t>
            </w: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56,157</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4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(57,568)</w:t>
            </w:r>
          </w:p>
        </w:tc>
        <w:tc>
          <w:tcPr>
            <w:tcW w:w="7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(376,163)</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4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14,238</w:t>
            </w:r>
          </w:p>
        </w:tc>
        <w:tc>
          <w:tcPr>
            <w:tcW w:w="7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264,928</w:t>
            </w: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17,207</w:t>
            </w:r>
          </w:p>
        </w:tc>
        <w:tc>
          <w:tcPr>
            <w:tcW w:w="7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(6,088)</w:t>
            </w:r>
          </w:p>
        </w:tc>
      </w:tr>
      <w:tr>
        <w:trPr>
          <w:trHeight w:val="318"/>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7"/>
              </w:rPr>
              <w:t>(28,461)</w:t>
            </w: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(61,166)</w:t>
            </w:r>
          </w:p>
        </w:tc>
      </w:tr>
    </w:tbl>
    <w:p>
      <w:pPr>
        <w:sectPr>
          <w:pgSz w:w="11900" w:h="16838" w:orient="portrait"/>
          <w:cols w:equalWidth="0" w:num="1">
            <w:col w:w="11220"/>
          </w:cols>
          <w:pgMar w:left="320" w:top="891" w:right="359" w:bottom="1440" w:gutter="0" w:footer="0" w:header="0"/>
        </w:sectPr>
      </w:pPr>
    </w:p>
    <w:bookmarkStart w:id="18" w:name="page19"/>
    <w:bookmarkEnd w:id="18"/>
    <w:p>
      <w:pPr>
        <w:jc w:val="center"/>
        <w:ind w:left="380" w:right="2000"/>
        <w:spacing w:after="0" w:line="257" w:lineRule="auto"/>
        <w:rPr>
          <w:sz w:val="20"/>
          <w:szCs w:val="20"/>
          <w:color w:val="auto"/>
        </w:rPr>
      </w:pPr>
      <w:r>
        <w:rPr>
          <w:rFonts w:ascii="Times New Roman" w:cs="Times New Roman" w:eastAsia="Times New Roman" w:hAnsi="Times New Roman"/>
          <w:sz w:val="18"/>
          <w:szCs w:val="18"/>
          <w:color w:val="auto"/>
        </w:rPr>
        <w:t>RECONCILIATION OF NON-GAAP ADJUSTMENTS - GAAP OPERATING CASH FLOW TO MEASURES OF FREE CASH FLOW AND ADJUSTED FREE CASH FLOW CONVERSION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7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0" w:type="dxa"/>
            <w:vAlign w:val="bottom"/>
          </w:tcPr>
          <w:p>
            <w:pPr>
              <w:spacing w:after="0"/>
              <w:rPr>
                <w:sz w:val="1"/>
                <w:szCs w:val="1"/>
                <w:color w:val="auto"/>
              </w:rPr>
            </w:pPr>
          </w:p>
        </w:tc>
      </w:tr>
      <w:tr>
        <w:trPr>
          <w:trHeight w:val="234"/>
        </w:trPr>
        <w:tc>
          <w:tcPr>
            <w:tcW w:w="73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8,919</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40,400</w:t>
            </w:r>
          </w:p>
        </w:tc>
        <w:tc>
          <w:tcPr>
            <w:tcW w:w="0" w:type="dxa"/>
            <w:vAlign w:val="bottom"/>
          </w:tcPr>
          <w:p>
            <w:pPr>
              <w:spacing w:after="0"/>
              <w:rPr>
                <w:sz w:val="1"/>
                <w:szCs w:val="1"/>
                <w:color w:val="auto"/>
              </w:rPr>
            </w:pPr>
          </w:p>
        </w:tc>
      </w:tr>
      <w:tr>
        <w:trPr>
          <w:trHeight w:val="520"/>
        </w:trPr>
        <w:tc>
          <w:tcPr>
            <w:tcW w:w="73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360" w:type="dxa"/>
            <w:vAlign w:val="bottom"/>
            <w:vMerge w:val="continue"/>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(20,146)</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(29,707)</w:t>
            </w:r>
          </w:p>
        </w:tc>
        <w:tc>
          <w:tcPr>
            <w:tcW w:w="0" w:type="dxa"/>
            <w:vAlign w:val="bottom"/>
          </w:tcPr>
          <w:p>
            <w:pPr>
              <w:spacing w:after="0"/>
              <w:rPr>
                <w:sz w:val="1"/>
                <w:szCs w:val="1"/>
                <w:color w:val="auto"/>
              </w:rPr>
            </w:pPr>
          </w:p>
        </w:tc>
      </w:tr>
      <w:tr>
        <w:trPr>
          <w:trHeight w:val="228"/>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Free cash flow</w:t>
            </w:r>
          </w:p>
        </w:tc>
        <w:tc>
          <w:tcPr>
            <w:tcW w:w="38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(11,227)</w:t>
            </w:r>
          </w:p>
        </w:tc>
        <w:tc>
          <w:tcPr>
            <w:tcW w:w="48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10,693</w:t>
            </w:r>
          </w:p>
        </w:tc>
        <w:tc>
          <w:tcPr>
            <w:tcW w:w="0" w:type="dxa"/>
            <w:vAlign w:val="bottom"/>
          </w:tcPr>
          <w:p>
            <w:pPr>
              <w:spacing w:after="0"/>
              <w:rPr>
                <w:sz w:val="1"/>
                <w:szCs w:val="1"/>
                <w:color w:val="auto"/>
              </w:rPr>
            </w:pPr>
          </w:p>
        </w:tc>
      </w:tr>
      <w:tr>
        <w:trPr>
          <w:trHeight w:val="265"/>
        </w:trPr>
        <w:tc>
          <w:tcPr>
            <w:tcW w:w="73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360" w:type="dxa"/>
            <w:vAlign w:val="bottom"/>
            <w:vMerge w:val="continue"/>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34,365</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49,007</w:t>
            </w:r>
          </w:p>
        </w:tc>
        <w:tc>
          <w:tcPr>
            <w:tcW w:w="0" w:type="dxa"/>
            <w:vAlign w:val="bottom"/>
          </w:tcPr>
          <w:p>
            <w:pPr>
              <w:spacing w:after="0"/>
              <w:rPr>
                <w:sz w:val="1"/>
                <w:szCs w:val="1"/>
                <w:color w:val="auto"/>
              </w:rPr>
            </w:pPr>
          </w:p>
        </w:tc>
      </w:tr>
      <w:tr>
        <w:trPr>
          <w:trHeight w:val="228"/>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free cash flow conversion</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140" w:type="dxa"/>
        <w:tblCellMar>
          <w:top w:w="0" w:type="dxa"/>
          <w:left w:w="0" w:type="dxa"/>
          <w:bottom w:w="0" w:type="dxa"/>
          <w:right w:w="0" w:type="dxa"/>
        </w:tblCellMar>
      </w:tblPr>
      <w:tr>
        <w:trPr>
          <w:trHeight w:val="229"/>
        </w:trPr>
        <w:tc>
          <w:tcPr>
            <w:tcW w:w="7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Twelve Months Ended June 30,</w:t>
            </w:r>
          </w:p>
        </w:tc>
        <w:tc>
          <w:tcPr>
            <w:tcW w:w="0" w:type="dxa"/>
            <w:vAlign w:val="bottom"/>
          </w:tcPr>
          <w:p>
            <w:pPr>
              <w:spacing w:after="0"/>
              <w:rPr>
                <w:sz w:val="1"/>
                <w:szCs w:val="1"/>
                <w:color w:val="auto"/>
              </w:rPr>
            </w:pPr>
          </w:p>
        </w:tc>
      </w:tr>
      <w:tr>
        <w:trPr>
          <w:trHeight w:val="234"/>
        </w:trPr>
        <w:tc>
          <w:tcPr>
            <w:tcW w:w="7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70,888</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141,672</w:t>
            </w:r>
          </w:p>
        </w:tc>
        <w:tc>
          <w:tcPr>
            <w:tcW w:w="0" w:type="dxa"/>
            <w:vAlign w:val="bottom"/>
          </w:tcPr>
          <w:p>
            <w:pPr>
              <w:spacing w:after="0"/>
              <w:rPr>
                <w:sz w:val="1"/>
                <w:szCs w:val="1"/>
                <w:color w:val="auto"/>
              </w:rPr>
            </w:pPr>
          </w:p>
        </w:tc>
      </w:tr>
      <w:tr>
        <w:trPr>
          <w:trHeight w:val="250"/>
        </w:trPr>
        <w:tc>
          <w:tcPr>
            <w:tcW w:w="7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220" w:type="dxa"/>
            <w:vAlign w:val="bottom"/>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(108,311)</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(82,797)</w:t>
            </w:r>
          </w:p>
        </w:tc>
        <w:tc>
          <w:tcPr>
            <w:tcW w:w="0" w:type="dxa"/>
            <w:vAlign w:val="bottom"/>
          </w:tcPr>
          <w:p>
            <w:pPr>
              <w:spacing w:after="0"/>
              <w:rPr>
                <w:sz w:val="1"/>
                <w:szCs w:val="1"/>
                <w:color w:val="auto"/>
              </w:rPr>
            </w:pPr>
          </w:p>
        </w:tc>
      </w:tr>
      <w:tr>
        <w:trPr>
          <w:trHeight w:val="228"/>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(37,423)</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58,875</w:t>
            </w:r>
          </w:p>
        </w:tc>
        <w:tc>
          <w:tcPr>
            <w:tcW w:w="0" w:type="dxa"/>
            <w:vAlign w:val="bottom"/>
          </w:tcPr>
          <w:p>
            <w:pPr>
              <w:spacing w:after="0"/>
              <w:rPr>
                <w:sz w:val="1"/>
                <w:szCs w:val="1"/>
                <w:color w:val="auto"/>
              </w:rPr>
            </w:pPr>
          </w:p>
        </w:tc>
      </w:tr>
      <w:tr>
        <w:trPr>
          <w:trHeight w:val="265"/>
        </w:trPr>
        <w:tc>
          <w:tcPr>
            <w:tcW w:w="7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220" w:type="dxa"/>
            <w:vAlign w:val="bottom"/>
            <w:vMerge w:val="continue"/>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171,011</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221,594</w:t>
            </w:r>
          </w:p>
        </w:tc>
        <w:tc>
          <w:tcPr>
            <w:tcW w:w="0" w:type="dxa"/>
            <w:vAlign w:val="bottom"/>
          </w:tcPr>
          <w:p>
            <w:pPr>
              <w:spacing w:after="0"/>
              <w:rPr>
                <w:sz w:val="1"/>
                <w:szCs w:val="1"/>
                <w:color w:val="auto"/>
              </w:rPr>
            </w:pPr>
          </w:p>
        </w:tc>
      </w:tr>
      <w:tr>
        <w:trPr>
          <w:trHeight w:val="228"/>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Adjusted free cash flow conversion</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ind w:firstLine="8"/>
        <w:spacing w:after="0" w:line="266"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for quarters ended June 30, 2025 and 2024 are reconciled above. Adjusted net income for remaining quarters in the trailing twelve months calculation have been previously reconciled and are publicly available in the Quarterly Earnings Call Presentations on our website at investor.integralife.com under Events &amp; Presentations.</w:t>
      </w:r>
    </w:p>
    <w:p>
      <w:pPr>
        <w:spacing w:after="0" w:line="200" w:lineRule="exact"/>
        <w:rPr>
          <w:sz w:val="20"/>
          <w:szCs w:val="20"/>
          <w:color w:val="auto"/>
        </w:rPr>
      </w:pPr>
    </w:p>
    <w:p>
      <w:pPr>
        <w:spacing w:after="0" w:line="24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calculates adjusted free cash flow conversion by dividing its free cash flow by adjusted net income. The Company believes this measure is useful in evaluating the significance of the cash special charges in its adjusted earnings measures.</w:t>
      </w:r>
    </w:p>
    <w:p>
      <w:pPr>
        <w:sectPr>
          <w:pgSz w:w="11900" w:h="16838" w:orient="portrait"/>
          <w:cols w:equalWidth="0" w:num="1">
            <w:col w:w="11180"/>
          </w:cols>
          <w:pgMar w:left="320" w:top="891" w:right="39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color w:val="auto"/>
        </w:rPr>
        <w:t>RECONCILIATION OF NON-GAAP ADJUSTMENTS - NET DEBT CALCULATION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20"/>
                <w:szCs w:val="20"/>
                <w:color w:val="auto"/>
              </w:rPr>
            </w:pPr>
          </w:p>
        </w:tc>
        <w:tc>
          <w:tcPr>
            <w:tcW w:w="12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June 30,</w:t>
            </w:r>
          </w:p>
        </w:tc>
        <w:tc>
          <w:tcPr>
            <w:tcW w:w="280" w:type="dxa"/>
            <w:vAlign w:val="bottom"/>
          </w:tcPr>
          <w:p>
            <w:pPr>
              <w:spacing w:after="0"/>
              <w:rPr>
                <w:sz w:val="20"/>
                <w:szCs w:val="20"/>
                <w:color w:val="auto"/>
              </w:rPr>
            </w:pPr>
          </w:p>
        </w:tc>
        <w:tc>
          <w:tcPr>
            <w:tcW w:w="16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175"/>
        </w:trPr>
        <w:tc>
          <w:tcPr>
            <w:tcW w:w="7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4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5"/>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 under senior credit facility</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38,750</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33,906</w:t>
            </w:r>
          </w:p>
        </w:tc>
        <w:tc>
          <w:tcPr>
            <w:tcW w:w="0" w:type="dxa"/>
            <w:vAlign w:val="bottom"/>
          </w:tcPr>
          <w:p>
            <w:pPr>
              <w:spacing w:after="0"/>
              <w:rPr>
                <w:sz w:val="1"/>
                <w:szCs w:val="1"/>
                <w:color w:val="auto"/>
              </w:rPr>
            </w:pPr>
          </w:p>
        </w:tc>
      </w:tr>
      <w:tr>
        <w:trPr>
          <w:trHeight w:val="22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 under senior credit facility</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1,118,142</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1,087,917</w:t>
            </w:r>
          </w:p>
        </w:tc>
        <w:tc>
          <w:tcPr>
            <w:tcW w:w="0" w:type="dxa"/>
            <w:vAlign w:val="bottom"/>
          </w:tcPr>
          <w:p>
            <w:pPr>
              <w:spacing w:after="0"/>
              <w:rPr>
                <w:sz w:val="1"/>
                <w:szCs w:val="1"/>
                <w:color w:val="auto"/>
              </w:rPr>
            </w:pP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securitization facility</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108,800</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108,100</w:t>
            </w:r>
          </w:p>
        </w:tc>
        <w:tc>
          <w:tcPr>
            <w:tcW w:w="0" w:type="dxa"/>
            <w:vAlign w:val="bottom"/>
          </w:tcPr>
          <w:p>
            <w:pPr>
              <w:spacing w:after="0"/>
              <w:rPr>
                <w:sz w:val="1"/>
                <w:szCs w:val="1"/>
                <w:color w:val="auto"/>
              </w:rPr>
            </w:pPr>
          </w:p>
        </w:tc>
      </w:tr>
      <w:tr>
        <w:trPr>
          <w:trHeight w:val="22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574,628</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573,170</w:t>
            </w:r>
          </w:p>
        </w:tc>
        <w:tc>
          <w:tcPr>
            <w:tcW w:w="0" w:type="dxa"/>
            <w:vAlign w:val="bottom"/>
          </w:tcPr>
          <w:p>
            <w:pPr>
              <w:spacing w:after="0"/>
              <w:rPr>
                <w:sz w:val="1"/>
                <w:szCs w:val="1"/>
                <w:color w:val="auto"/>
              </w:rPr>
            </w:pPr>
          </w:p>
        </w:tc>
      </w:tr>
      <w:tr>
        <w:trPr>
          <w:trHeight w:val="22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 netted in the above</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0" w:type="dxa"/>
            <w:vAlign w:val="bottom"/>
          </w:tcPr>
          <w:p>
            <w:pPr>
              <w:spacing w:after="0"/>
              <w:rPr>
                <w:sz w:val="1"/>
                <w:szCs w:val="1"/>
                <w:color w:val="auto"/>
              </w:rPr>
            </w:pP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Short term investments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(35,694)</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(27,192)</w:t>
            </w:r>
          </w:p>
        </w:tc>
        <w:tc>
          <w:tcPr>
            <w:tcW w:w="0" w:type="dxa"/>
            <w:vAlign w:val="bottom"/>
          </w:tcPr>
          <w:p>
            <w:pPr>
              <w:spacing w:after="0"/>
              <w:rPr>
                <w:sz w:val="1"/>
                <w:szCs w:val="1"/>
                <w:color w:val="auto"/>
              </w:rPr>
            </w:pPr>
          </w:p>
        </w:tc>
      </w:tr>
      <w:tr>
        <w:trPr>
          <w:trHeight w:val="241"/>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Cash &amp; Cash Equivalents</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(217,914)</w:t>
            </w: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(246,375)</w:t>
            </w:r>
          </w:p>
        </w:tc>
        <w:tc>
          <w:tcPr>
            <w:tcW w:w="0" w:type="dxa"/>
            <w:vAlign w:val="bottom"/>
          </w:tcPr>
          <w:p>
            <w:pPr>
              <w:spacing w:after="0"/>
              <w:rPr>
                <w:sz w:val="1"/>
                <w:szCs w:val="1"/>
                <w:color w:val="auto"/>
              </w:rPr>
            </w:pPr>
          </w:p>
        </w:tc>
      </w:tr>
      <w:tr>
        <w:trPr>
          <w:trHeight w:val="23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Debt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1,591,130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1,535,001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340"/>
        <w:spacing w:after="0" w:line="253" w:lineRule="auto"/>
        <w:rPr>
          <w:sz w:val="20"/>
          <w:szCs w:val="20"/>
          <w:color w:val="auto"/>
        </w:rPr>
      </w:pPr>
      <w:r>
        <w:rPr>
          <w:rFonts w:ascii="Times New Roman" w:cs="Times New Roman" w:eastAsia="Times New Roman" w:hAnsi="Times New Roman"/>
          <w:sz w:val="18"/>
          <w:szCs w:val="18"/>
          <w:color w:val="auto"/>
        </w:rPr>
        <w:t>RECONCILIATION OF NON-GAAP ADJUSTMENTS - GAAP GROSS PROFIT TO MEASURES OF ADJUSTED GROSS PROFIT AND ADJUSTED GROSS MARGIN</w:t>
      </w: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percentages)</w:t>
      </w:r>
    </w:p>
    <w:p>
      <w:pPr>
        <w:spacing w:after="0" w:line="112"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7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 June 30,</w:t>
            </w:r>
          </w:p>
        </w:tc>
      </w:tr>
      <w:tr>
        <w:trPr>
          <w:trHeight w:val="234"/>
        </w:trPr>
        <w:tc>
          <w:tcPr>
            <w:tcW w:w="7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r>
      <w:tr>
        <w:trPr>
          <w:trHeight w:val="461"/>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415,605</w:t>
            </w:r>
          </w:p>
        </w:tc>
        <w:tc>
          <w:tcPr>
            <w:tcW w:w="54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418,175</w:t>
            </w: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206,273</w:t>
            </w:r>
          </w:p>
        </w:tc>
        <w:tc>
          <w:tcPr>
            <w:tcW w:w="5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192,258</w:t>
            </w:r>
          </w:p>
        </w:tc>
      </w:tr>
      <w:tr>
        <w:trPr>
          <w:trHeight w:val="218"/>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Reported Gross Profit</w:t>
            </w:r>
          </w:p>
        </w:tc>
        <w:tc>
          <w:tcPr>
            <w:tcW w:w="30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209,332</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225,917</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3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5,187</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4,900</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300" w:type="dxa"/>
            <w:vAlign w:val="bottom"/>
          </w:tcPr>
          <w:p>
            <w:pPr>
              <w:spacing w:after="0"/>
              <w:rPr>
                <w:sz w:val="19"/>
                <w:szCs w:val="19"/>
                <w:color w:val="auto"/>
              </w:rPr>
            </w:pPr>
          </w:p>
        </w:tc>
        <w:tc>
          <w:tcPr>
            <w:tcW w:w="16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4,865</w:t>
            </w:r>
          </w:p>
        </w:tc>
      </w:tr>
      <w:tr>
        <w:trPr>
          <w:trHeight w:val="22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Boston Recall/Braintree Transition</w:t>
            </w:r>
          </w:p>
        </w:tc>
        <w:tc>
          <w:tcPr>
            <w:tcW w:w="3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13,532</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14,398</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EU Medical Device Regulation</w:t>
            </w:r>
          </w:p>
        </w:tc>
        <w:tc>
          <w:tcPr>
            <w:tcW w:w="3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1,142</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702</w:t>
            </w: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23,041</w:t>
            </w:r>
          </w:p>
        </w:tc>
        <w:tc>
          <w:tcPr>
            <w:tcW w:w="5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21,676</w:t>
            </w:r>
          </w:p>
        </w:tc>
      </w:tr>
      <w:tr>
        <w:trPr>
          <w:trHeight w:val="218"/>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252,234</w:t>
            </w:r>
          </w:p>
        </w:tc>
        <w:tc>
          <w:tcPr>
            <w:tcW w:w="5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272,458</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415,605</w:t>
            </w:r>
          </w:p>
        </w:tc>
        <w:tc>
          <w:tcPr>
            <w:tcW w:w="5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418,175</w:t>
            </w: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Margin</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60.7 %</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65.2 %</w:t>
            </w:r>
          </w:p>
        </w:tc>
      </w:tr>
    </w:tbl>
    <w:p>
      <w:pPr>
        <w:spacing w:after="0" w:line="1" w:lineRule="exact"/>
        <w:rPr>
          <w:sz w:val="20"/>
          <w:szCs w:val="20"/>
          <w:color w:val="auto"/>
        </w:rPr>
      </w:pPr>
    </w:p>
    <w:sectPr>
      <w:pgSz w:w="11900" w:h="16838" w:orient="portrait"/>
      <w:cols w:equalWidth="0" w:num="1">
        <w:col w:w="11220"/>
      </w:cols>
      <w:pgMar w:left="320" w:top="113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lowerRoman"/>
      <w:start w:val="7"/>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lvl w:ilvl="1">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lowerRoman"/>
      <w:start w:val="2"/>
    </w:lvl>
  </w:abstractNum>
  <w:abstractNum w:abstractNumId="13">
    <w:nsid w:val="6B68079A"/>
    <w:multiLevelType w:val="hybridMultilevel"/>
    <w:lvl w:ilvl="0">
      <w:lvlJc w:val="left"/>
      <w:lvlText w:val="(%1)"/>
      <w:numFmt w:val="decimal"/>
      <w:start w:val="609"/>
    </w:lvl>
  </w:abstractNum>
  <w:abstractNum w:abstractNumId="14">
    <w:nsid w:val="4E6AFB66"/>
    <w:multiLevelType w:val="hybridMultilevel"/>
    <w:lvl w:ilvl="0">
      <w:lvlJc w:val="left"/>
      <w:lvlText w:val="(%1)"/>
      <w:numFmt w:val="decimal"/>
      <w:start w:val="609"/>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2025-07-31T05:26:28Z</dcterms:created>
  <dcterms:modified xsi:type="dcterms:W3CDTF">2025-07-31T05:26:28Z</dcterms:modified>
</cp:coreProperties>
</file>