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2025</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18"/>
        </w:rPr>
        <w:t>For the transition period from              to  </w:t>
      </w: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000-26224 </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INTEGRA LIFESCIENCES HOLDINGS CORPORATION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6292" w:type="dxa"/>
        <w:jc w:val="left"/>
        <w:tblInd w:w="0" w:type="dxa"/>
        <w:tblLayout w:type="fixed"/>
        <w:tblCellMar>
          <w:top w:w="28" w:type="dxa"/>
          <w:left w:w="28" w:type="dxa"/>
          <w:bottom w:w="28" w:type="dxa"/>
          <w:right w:w="28" w:type="dxa"/>
        </w:tblCellMar>
      </w:tblPr>
      <w:tblGrid>
        <w:gridCol w:w="500"/>
        <w:gridCol w:w="438"/>
        <w:gridCol w:w="438"/>
        <w:gridCol w:w="438"/>
        <w:gridCol w:w="438"/>
        <w:gridCol w:w="438"/>
        <w:gridCol w:w="438"/>
        <w:gridCol w:w="438"/>
        <w:gridCol w:w="449"/>
        <w:gridCol w:w="109"/>
        <w:gridCol w:w="109"/>
        <w:gridCol w:w="109"/>
        <w:gridCol w:w="569"/>
        <w:gridCol w:w="569"/>
        <w:gridCol w:w="812"/>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51-0317849</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40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1100 Campus Road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08540</w:t>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Princeton</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(609) 275-0500 </w:t>
      </w:r>
    </w:p>
    <w:p>
      <w:pPr>
        <w:pStyle w:val="TextBody"/>
        <w:bidi w:val="0"/>
        <w:spacing w:lineRule="auto" w:line="288" w:before="120" w:after="120"/>
        <w:jc w:val="center"/>
        <w:rPr>
          <w:rFonts w:ascii="Times New Roman;sans-serif" w:hAnsi="Times New Roman;sans-serif"/>
          <w:b/>
          <w:color w:val="000000"/>
          <w:sz w:val="18"/>
        </w:rPr>
      </w:pPr>
      <w:r>
        <w:rPr>
          <w:rFonts w:ascii="Times New Roman;sans-serif" w:hAnsi="Times New Roman;sans-serif"/>
          <w:b/>
          <w:color w:val="000000"/>
          <w:sz w:val="18"/>
        </w:rPr>
        <w:t xml:space="preserve">Former Name, Former Address and Former Fiscal Year, if Changed Since Last Report: </w:t>
      </w:r>
    </w:p>
    <w:p>
      <w:pPr>
        <w:pStyle w:val="TextBody"/>
        <w:bidi w:val="0"/>
        <w:spacing w:lineRule="auto" w:line="288" w:before="120" w:after="12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9838" w:type="dxa"/>
        <w:jc w:val="center"/>
        <w:tblInd w:w="0" w:type="dxa"/>
        <w:tblLayout w:type="fixed"/>
        <w:tblCellMar>
          <w:top w:w="28" w:type="dxa"/>
          <w:left w:w="28" w:type="dxa"/>
          <w:bottom w:w="28" w:type="dxa"/>
          <w:right w:w="28" w:type="dxa"/>
        </w:tblCellMar>
      </w:tblPr>
      <w:tblGrid>
        <w:gridCol w:w="1129"/>
        <w:gridCol w:w="991"/>
        <w:gridCol w:w="1000"/>
        <w:gridCol w:w="599"/>
        <w:gridCol w:w="599"/>
        <w:gridCol w:w="601"/>
        <w:gridCol w:w="1438"/>
        <w:gridCol w:w="1438"/>
        <w:gridCol w:w="2043"/>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$.01 Per Share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IART</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512" w:type="dxa"/>
        <w:jc w:val="left"/>
        <w:tblInd w:w="0" w:type="dxa"/>
        <w:tblLayout w:type="fixed"/>
        <w:tblCellMar>
          <w:top w:w="28" w:type="dxa"/>
          <w:left w:w="28" w:type="dxa"/>
          <w:bottom w:w="28" w:type="dxa"/>
          <w:right w:w="28" w:type="dxa"/>
        </w:tblCellMar>
      </w:tblPr>
      <w:tblGrid>
        <w:gridCol w:w="603"/>
        <w:gridCol w:w="530"/>
        <w:gridCol w:w="532"/>
        <w:gridCol w:w="145"/>
        <w:gridCol w:w="145"/>
        <w:gridCol w:w="146"/>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120"/>
        <w:jc w:val="both"/>
        <w:rPr/>
      </w:pPr>
      <w:r>
        <w:rPr>
          <w:rFonts w:ascii="Times New Roman;sans-serif" w:hAnsi="Times New Roman;sans-serif"/>
          <w:b w:val="false"/>
          <w:color w:val="000000"/>
          <w:sz w:val="18"/>
        </w:rPr>
        <w:t xml:space="preserve">The number of shares of the registrant’s Common Stock, $0.01 par value, outstanding as of </w:t>
      </w:r>
      <w:r>
        <w:rPr>
          <w:rFonts w:ascii="Times New Roman;sans-serif" w:hAnsi="Times New Roman;sans-serif"/>
          <w:b w:val="false"/>
          <w:color w:val="000000"/>
          <w:sz w:val="20"/>
        </w:rPr>
        <w:t>May 2, 2025</w:t>
      </w:r>
      <w:r>
        <w:rPr>
          <w:color w:val="000000"/>
        </w:rPr>
        <w:t xml:space="preserve"> </w:t>
      </w:r>
      <w:r>
        <w:rPr>
          <w:rFonts w:ascii="Times New Roman;sans-serif" w:hAnsi="Times New Roman;sans-serif"/>
          <w:b w:val="false"/>
          <w:color w:val="000000"/>
          <w:sz w:val="18"/>
        </w:rPr>
        <w:t>was 77,712,274.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10"/>
        <w:gridCol w:w="2995"/>
        <w:gridCol w:w="3002"/>
        <w:gridCol w:w="233"/>
        <w:gridCol w:w="233"/>
        <w:gridCol w:w="332"/>
      </w:tblGrid>
      <w:tr>
        <w:trPr/>
        <w:tc>
          <w:tcPr>
            <w:tcW w:w="3410"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br/>
              <w:t>Number</w:t>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0">
              <w:r>
                <w:rPr>
                  <w:rStyle w:val="InternetLink"/>
                  <w:rFonts w:ascii="Times New Roman;sans-serif" w:hAnsi="Times New Roman;sans-serif"/>
                  <w:b w:val="false"/>
                  <w:color w:val="0000FF"/>
                  <w:sz w:val="18"/>
                  <w:u w:val="single"/>
                </w:rPr>
                <w:t>PART I. FINANCIAL INFORMATION</w:t>
              </w:r>
            </w:hyperlink>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3">
              <w:r>
                <w:rPr>
                  <w:rStyle w:val="InternetLink"/>
                  <w:rFonts w:ascii="Times New Roman;sans-serif" w:hAnsi="Times New Roman;sans-serif"/>
                  <w:b w:val="false"/>
                  <w:color w:val="0000FF"/>
                  <w:sz w:val="18"/>
                  <w:u w:val="single"/>
                </w:rPr>
                <w:t>Item 1. Financial Statements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3">
              <w:r>
                <w:rPr>
                  <w:rStyle w:val="InternetLink"/>
                  <w:rFonts w:ascii="Times New Roman;sans-serif" w:hAnsi="Times New Roman;sans-serif"/>
                  <w:b w:val="false"/>
                  <w:color w:val="0000FF"/>
                  <w:sz w:val="18"/>
                  <w:u w:val="single"/>
                </w:rPr>
                <w:t>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6">
              <w:r>
                <w:rPr>
                  <w:rStyle w:val="InternetLink"/>
                  <w:rFonts w:ascii="Times New Roman;sans-serif" w:hAnsi="Times New Roman;sans-serif"/>
                  <w:b w:val="false"/>
                  <w:color w:val="000080"/>
                  <w:sz w:val="18"/>
                  <w:u w:val="single"/>
                </w:rPr>
                <w:t>Condensed Consolidated Statements of Operations and Comprehensive Income for the Three</w:t>
              </w:r>
            </w:hyperlink>
            <w:hyperlink w:anchor="i83433ffaecf946f5800da34455a9bbd0_16">
              <w:r>
                <w:rPr>
                  <w:rStyle w:val="InternetLink"/>
                  <w:rFonts w:ascii="Times New Roman;sans-serif" w:hAnsi="Times New Roman;sans-serif"/>
                  <w:b w:val="false"/>
                  <w:color w:val="000080"/>
                  <w:sz w:val="18"/>
                  <w:u w:val="single"/>
                </w:rPr>
                <w:t xml:space="preserve"> Months Ended </w:t>
              </w:r>
            </w:hyperlink>
            <w:hyperlink w:anchor="i83433ffaecf946f5800da34455a9bbd0_16">
              <w:r>
                <w:rPr>
                  <w:rStyle w:val="InternetLink"/>
                  <w:rFonts w:ascii="Times New Roman;sans-serif" w:hAnsi="Times New Roman;sans-serif"/>
                  <w:b w:val="false"/>
                  <w:color w:val="000080"/>
                  <w:sz w:val="18"/>
                  <w:u w:val="single"/>
                </w:rPr>
                <w:t>March 31,</w:t>
              </w:r>
            </w:hyperlink>
            <w:hyperlink w:anchor="i83433ffaecf946f5800da34455a9bbd0_16">
              <w:r>
                <w:rPr>
                  <w:rStyle w:val="InternetLink"/>
                  <w:rFonts w:ascii="Times New Roman;sans-serif" w:hAnsi="Times New Roman;sans-serif"/>
                  <w:b w:val="false"/>
                  <w:color w:val="000080"/>
                  <w:sz w:val="18"/>
                  <w:u w:val="single"/>
                </w:rPr>
                <w:t xml:space="preserve"> 2025</w:t>
              </w:r>
            </w:hyperlink>
            <w:hyperlink w:anchor="i83433ffaecf946f5800da34455a9bbd0_16">
              <w:r>
                <w:rPr>
                  <w:rStyle w:val="InternetLink"/>
                  <w:rFonts w:ascii="Times New Roman;sans-serif" w:hAnsi="Times New Roman;sans-serif"/>
                  <w:b w:val="false"/>
                  <w:color w:val="000080"/>
                  <w:sz w:val="18"/>
                  <w:u w:val="single"/>
                </w:rPr>
                <w:t xml:space="preserve"> </w:t>
              </w:r>
            </w:hyperlink>
            <w:hyperlink w:anchor="i83433ffaecf946f5800da34455a9bbd0_16">
              <w:r>
                <w:rPr>
                  <w:rStyle w:val="InternetLink"/>
                  <w:rFonts w:ascii="Times New Roman;sans-serif" w:hAnsi="Times New Roman;sans-serif"/>
                  <w:b w:val="false"/>
                  <w:color w:val="000080"/>
                  <w:sz w:val="18"/>
                  <w:u w:val="single"/>
                </w:rPr>
                <w:t xml:space="preserve">and 2024 </w:t>
              </w:r>
            </w:hyperlink>
            <w:hyperlink w:anchor="i83433ffaecf946f5800da34455a9bbd0_16">
              <w:r>
                <w:rPr>
                  <w:rStyle w:val="InternetLink"/>
                  <w:rFonts w:ascii="Times New Roman;sans-serif" w:hAnsi="Times New Roman;sans-serif"/>
                  <w:b w:val="false"/>
                  <w:color w:val="000080"/>
                  <w:sz w:val="18"/>
                  <w:u w:val="single"/>
                </w:rPr>
                <w:t>(Unaudited)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6">
              <w:r>
                <w:rPr>
                  <w:rStyle w:val="InternetLink"/>
                  <w:rFonts w:ascii="Times New Roman;sans-serif" w:hAnsi="Times New Roman;sans-serif"/>
                  <w:b w:val="false"/>
                  <w:color w:val="0000FF"/>
                  <w:sz w:val="18"/>
                  <w:u w:val="single"/>
                </w:rPr>
                <w:t>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9">
              <w:r>
                <w:rPr>
                  <w:rStyle w:val="InternetLink"/>
                  <w:rFonts w:ascii="Times New Roman;sans-serif" w:hAnsi="Times New Roman;sans-serif"/>
                  <w:b w:val="false"/>
                  <w:color w:val="000080"/>
                  <w:sz w:val="18"/>
                  <w:u w:val="single"/>
                </w:rPr>
                <w:t xml:space="preserve">Condensed Consolidated Balance Sheets as of </w:t>
              </w:r>
            </w:hyperlink>
            <w:hyperlink w:anchor="i83433ffaecf946f5800da34455a9bbd0_19">
              <w:r>
                <w:rPr>
                  <w:rStyle w:val="InternetLink"/>
                  <w:rFonts w:ascii="Times New Roman;sans-serif" w:hAnsi="Times New Roman;sans-serif"/>
                  <w:b w:val="false"/>
                  <w:color w:val="000080"/>
                  <w:sz w:val="18"/>
                  <w:u w:val="single"/>
                </w:rPr>
                <w:t>March 31, 2025</w:t>
              </w:r>
            </w:hyperlink>
            <w:hyperlink w:anchor="i83433ffaecf946f5800da34455a9bbd0_19">
              <w:r>
                <w:rPr>
                  <w:rStyle w:val="InternetLink"/>
                  <w:rFonts w:ascii="Times New Roman;sans-serif" w:hAnsi="Times New Roman;sans-serif"/>
                  <w:b w:val="false"/>
                  <w:color w:val="000080"/>
                  <w:sz w:val="18"/>
                  <w:u w:val="single"/>
                </w:rPr>
                <w:t xml:space="preserve"> and December 31, 202</w:t>
              </w:r>
            </w:hyperlink>
            <w:hyperlink w:anchor="i83433ffaecf946f5800da34455a9bbd0_19">
              <w:r>
                <w:rPr>
                  <w:rStyle w:val="InternetLink"/>
                  <w:rFonts w:ascii="Times New Roman;sans-serif" w:hAnsi="Times New Roman;sans-serif"/>
                  <w:b w:val="false"/>
                  <w:color w:val="000080"/>
                  <w:sz w:val="18"/>
                  <w:u w:val="single"/>
                </w:rPr>
                <w:t>4</w:t>
              </w:r>
            </w:hyperlink>
            <w:hyperlink w:anchor="i83433ffaecf946f5800da34455a9bbd0_19">
              <w:r>
                <w:rPr>
                  <w:rStyle w:val="InternetLink"/>
                  <w:rFonts w:ascii="Times New Roman;sans-serif" w:hAnsi="Times New Roman;sans-serif"/>
                  <w:b w:val="false"/>
                  <w:color w:val="000080"/>
                  <w:sz w:val="18"/>
                  <w:u w:val="single"/>
                </w:rPr>
                <w:t xml:space="preserve">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9">
              <w:r>
                <w:rPr>
                  <w:rStyle w:val="InternetLink"/>
                  <w:rFonts w:ascii="Times New Roman;sans-serif" w:hAnsi="Times New Roman;sans-serif"/>
                  <w:b w:val="false"/>
                  <w:color w:val="0000FF"/>
                  <w:sz w:val="18"/>
                  <w:u w:val="single"/>
                </w:rPr>
                <w:t>4</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25">
              <w:r>
                <w:rPr>
                  <w:rStyle w:val="InternetLink"/>
                  <w:rFonts w:ascii="Times New Roman;sans-serif" w:hAnsi="Times New Roman;sans-serif"/>
                  <w:b w:val="false"/>
                  <w:color w:val="000080"/>
                  <w:sz w:val="18"/>
                  <w:u w:val="single"/>
                </w:rPr>
                <w:t xml:space="preserve">Condensed Consolidated Statements of Cash Flows for the </w:t>
              </w:r>
            </w:hyperlink>
            <w:hyperlink w:anchor="i83433ffaecf946f5800da34455a9bbd0_25">
              <w:r>
                <w:rPr>
                  <w:rStyle w:val="InternetLink"/>
                  <w:rFonts w:ascii="Times New Roman;sans-serif" w:hAnsi="Times New Roman;sans-serif"/>
                  <w:b w:val="false"/>
                  <w:color w:val="000080"/>
                  <w:sz w:val="18"/>
                  <w:u w:val="single"/>
                </w:rPr>
                <w:t>Three</w:t>
              </w:r>
            </w:hyperlink>
            <w:hyperlink w:anchor="i83433ffaecf946f5800da34455a9bbd0_25">
              <w:r>
                <w:rPr>
                  <w:rStyle w:val="InternetLink"/>
                  <w:rFonts w:ascii="Times New Roman;sans-serif" w:hAnsi="Times New Roman;sans-serif"/>
                  <w:b w:val="false"/>
                  <w:color w:val="000080"/>
                  <w:sz w:val="18"/>
                  <w:u w:val="single"/>
                </w:rPr>
                <w:t xml:space="preserve"> Months Ended </w:t>
              </w:r>
            </w:hyperlink>
            <w:hyperlink w:anchor="i83433ffaecf946f5800da34455a9bbd0_25">
              <w:r>
                <w:rPr>
                  <w:rStyle w:val="InternetLink"/>
                  <w:rFonts w:ascii="Times New Roman;sans-serif" w:hAnsi="Times New Roman;sans-serif"/>
                  <w:b w:val="false"/>
                  <w:color w:val="000080"/>
                  <w:sz w:val="18"/>
                  <w:u w:val="single"/>
                </w:rPr>
                <w:t>March 31, 2025</w:t>
              </w:r>
            </w:hyperlink>
            <w:hyperlink w:anchor="i83433ffaecf946f5800da34455a9bbd0_25">
              <w:r>
                <w:rPr>
                  <w:rStyle w:val="InternetLink"/>
                  <w:rFonts w:ascii="Times New Roman;sans-serif" w:hAnsi="Times New Roman;sans-serif"/>
                  <w:b w:val="false"/>
                  <w:color w:val="000080"/>
                  <w:sz w:val="18"/>
                  <w:u w:val="single"/>
                </w:rPr>
                <w:t xml:space="preserve"> and 202</w:t>
              </w:r>
            </w:hyperlink>
            <w:hyperlink w:anchor="i83433ffaecf946f5800da34455a9bbd0_25">
              <w:r>
                <w:rPr>
                  <w:rStyle w:val="InternetLink"/>
                  <w:rFonts w:ascii="Times New Roman;sans-serif" w:hAnsi="Times New Roman;sans-serif"/>
                  <w:b w:val="false"/>
                  <w:color w:val="000080"/>
                  <w:sz w:val="18"/>
                  <w:u w:val="single"/>
                </w:rPr>
                <w:t>4</w:t>
              </w:r>
            </w:hyperlink>
            <w:hyperlink w:anchor="i83433ffaecf946f5800da34455a9bbd0_25">
              <w:r>
                <w:rPr>
                  <w:rStyle w:val="InternetLink"/>
                  <w:rFonts w:ascii="Times New Roman;sans-serif" w:hAnsi="Times New Roman;sans-serif"/>
                  <w:b w:val="false"/>
                  <w:color w:val="000080"/>
                  <w:sz w:val="18"/>
                  <w:u w:val="single"/>
                </w:rPr>
                <w:t xml:space="preserve">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25">
              <w:r>
                <w:rPr>
                  <w:rStyle w:val="InternetLink"/>
                  <w:rFonts w:ascii="Times New Roman;sans-serif" w:hAnsi="Times New Roman;sans-serif"/>
                  <w:b w:val="false"/>
                  <w:color w:val="0000FF"/>
                  <w:sz w:val="18"/>
                  <w:u w:val="single"/>
                </w:rPr>
                <w:t>5</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28">
              <w:r>
                <w:rPr>
                  <w:rStyle w:val="InternetLink"/>
                  <w:rFonts w:ascii="Times New Roman;sans-serif" w:hAnsi="Times New Roman;sans-serif"/>
                  <w:b w:val="false"/>
                  <w:color w:val="000080"/>
                  <w:sz w:val="18"/>
                  <w:u w:val="single"/>
                </w:rPr>
                <w:t xml:space="preserve">Condensed Consolidated Statements of Changes in Shareholders' Equity for the </w:t>
              </w:r>
            </w:hyperlink>
            <w:hyperlink w:anchor="i83433ffaecf946f5800da34455a9bbd0_28">
              <w:r>
                <w:rPr>
                  <w:rStyle w:val="InternetLink"/>
                  <w:rFonts w:ascii="Times New Roman;sans-serif" w:hAnsi="Times New Roman;sans-serif"/>
                  <w:b w:val="false"/>
                  <w:color w:val="000080"/>
                  <w:sz w:val="18"/>
                  <w:u w:val="single"/>
                </w:rPr>
                <w:t>Three</w:t>
              </w:r>
            </w:hyperlink>
            <w:hyperlink w:anchor="i83433ffaecf946f5800da34455a9bbd0_28">
              <w:r>
                <w:rPr>
                  <w:rStyle w:val="InternetLink"/>
                  <w:rFonts w:ascii="Times New Roman;sans-serif" w:hAnsi="Times New Roman;sans-serif"/>
                  <w:b w:val="false"/>
                  <w:color w:val="000080"/>
                  <w:sz w:val="18"/>
                  <w:u w:val="single"/>
                </w:rPr>
                <w:t xml:space="preserve"> Months Ended </w:t>
              </w:r>
            </w:hyperlink>
            <w:hyperlink w:anchor="i83433ffaecf946f5800da34455a9bbd0_28">
              <w:r>
                <w:rPr>
                  <w:rStyle w:val="InternetLink"/>
                  <w:rFonts w:ascii="Times New Roman;sans-serif" w:hAnsi="Times New Roman;sans-serif"/>
                  <w:b w:val="false"/>
                  <w:color w:val="000080"/>
                  <w:sz w:val="18"/>
                  <w:u w:val="single"/>
                </w:rPr>
                <w:t>March 31, 2025</w:t>
              </w:r>
            </w:hyperlink>
            <w:hyperlink w:anchor="i83433ffaecf946f5800da34455a9bbd0_28">
              <w:r>
                <w:rPr>
                  <w:rStyle w:val="InternetLink"/>
                  <w:rFonts w:ascii="Times New Roman;sans-serif" w:hAnsi="Times New Roman;sans-serif"/>
                  <w:b w:val="false"/>
                  <w:color w:val="000080"/>
                  <w:sz w:val="18"/>
                  <w:u w:val="single"/>
                </w:rPr>
                <w:t xml:space="preserve"> and 202</w:t>
              </w:r>
            </w:hyperlink>
            <w:hyperlink w:anchor="i83433ffaecf946f5800da34455a9bbd0_28">
              <w:r>
                <w:rPr>
                  <w:rStyle w:val="InternetLink"/>
                  <w:rFonts w:ascii="Times New Roman;sans-serif" w:hAnsi="Times New Roman;sans-serif"/>
                  <w:b w:val="false"/>
                  <w:color w:val="000080"/>
                  <w:sz w:val="18"/>
                  <w:u w:val="single"/>
                </w:rPr>
                <w:t>4</w:t>
              </w:r>
            </w:hyperlink>
            <w:hyperlink w:anchor="i83433ffaecf946f5800da34455a9bbd0_28">
              <w:r>
                <w:rPr>
                  <w:rStyle w:val="InternetLink"/>
                  <w:rFonts w:ascii="Times New Roman;sans-serif" w:hAnsi="Times New Roman;sans-serif"/>
                  <w:b w:val="false"/>
                  <w:color w:val="000080"/>
                  <w:sz w:val="18"/>
                  <w:u w:val="single"/>
                </w:rPr>
                <w:t xml:space="preserve">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28">
              <w:r>
                <w:rPr>
                  <w:rStyle w:val="InternetLink"/>
                  <w:rFonts w:ascii="Times New Roman;sans-serif" w:hAnsi="Times New Roman;sans-serif"/>
                  <w:b w:val="false"/>
                  <w:color w:val="0000FF"/>
                  <w:sz w:val="18"/>
                  <w:u w:val="single"/>
                </w:rPr>
                <w:t>6</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31">
              <w:r>
                <w:rPr>
                  <w:rStyle w:val="InternetLink"/>
                  <w:rFonts w:ascii="Times New Roman;sans-serif" w:hAnsi="Times New Roman;sans-serif"/>
                  <w:b w:val="false"/>
                  <w:color w:val="0000FF"/>
                  <w:sz w:val="18"/>
                  <w:u w:val="single"/>
                </w:rPr>
                <w:t>Notes to Unaudited Condensed Consolidated Financial Statements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31">
              <w:r>
                <w:rPr>
                  <w:rStyle w:val="InternetLink"/>
                  <w:rFonts w:ascii="Times New Roman;sans-serif" w:hAnsi="Times New Roman;sans-serif"/>
                  <w:b w:val="false"/>
                  <w:color w:val="0000FF"/>
                  <w:sz w:val="18"/>
                  <w:u w:val="single"/>
                </w:rPr>
                <w:t>7</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85">
              <w:r>
                <w:rPr>
                  <w:rStyle w:val="InternetLink"/>
                  <w:rFonts w:ascii="Times New Roman;sans-serif" w:hAnsi="Times New Roman;sans-serif"/>
                  <w:b w:val="false"/>
                  <w:color w:val="0000FF"/>
                  <w:sz w:val="18"/>
                  <w:u w:val="single"/>
                </w:rPr>
                <w:t>Item 2. Management’s Discussion and Analysis of Financial Condition and Results of Operations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85">
              <w:r>
                <w:rPr>
                  <w:rStyle w:val="InternetLink"/>
                  <w:rFonts w:ascii="Times New Roman;sans-serif" w:hAnsi="Times New Roman;sans-serif"/>
                  <w:b w:val="false"/>
                  <w:color w:val="0000FF"/>
                  <w:sz w:val="18"/>
                  <w:u w:val="single"/>
                </w:rPr>
                <w:t>38</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09">
              <w:r>
                <w:rPr>
                  <w:rStyle w:val="InternetLink"/>
                  <w:rFonts w:ascii="Times New Roman;sans-serif" w:hAnsi="Times New Roman;sans-serif"/>
                  <w:b w:val="false"/>
                  <w:color w:val="0000FF"/>
                  <w:sz w:val="18"/>
                  <w:u w:val="single"/>
                </w:rPr>
                <w:t>Item 3. Quantitative and Qualitative Disclosures About Market Risk</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09">
              <w:r>
                <w:rPr>
                  <w:rStyle w:val="InternetLink"/>
                  <w:rFonts w:ascii="Times New Roman;sans-serif" w:hAnsi="Times New Roman;sans-serif"/>
                  <w:b w:val="false"/>
                  <w:color w:val="0000FF"/>
                  <w:sz w:val="18"/>
                  <w:u w:val="single"/>
                </w:rPr>
                <w:t>50</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12">
              <w:r>
                <w:rPr>
                  <w:rStyle w:val="InternetLink"/>
                  <w:rFonts w:ascii="Times New Roman;sans-serif" w:hAnsi="Times New Roman;sans-serif"/>
                  <w:b w:val="false"/>
                  <w:color w:val="0000FF"/>
                  <w:sz w:val="18"/>
                  <w:u w:val="single"/>
                </w:rPr>
                <w:t>Item 4. Controls and Procedures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12">
              <w:r>
                <w:rPr>
                  <w:rStyle w:val="InternetLink"/>
                  <w:rFonts w:ascii="Times New Roman;sans-serif" w:hAnsi="Times New Roman;sans-serif"/>
                  <w:b w:val="false"/>
                  <w:color w:val="0000FF"/>
                  <w:sz w:val="18"/>
                  <w:u w:val="single"/>
                </w:rPr>
                <w:t>51</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15">
              <w:r>
                <w:rPr>
                  <w:rStyle w:val="InternetLink"/>
                  <w:rFonts w:ascii="Times New Roman;sans-serif" w:hAnsi="Times New Roman;sans-serif"/>
                  <w:b w:val="false"/>
                  <w:color w:val="0000FF"/>
                  <w:sz w:val="18"/>
                  <w:u w:val="single"/>
                </w:rPr>
                <w:t>PART II. OTHER INFORMATION</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18">
              <w:r>
                <w:rPr>
                  <w:rStyle w:val="InternetLink"/>
                  <w:rFonts w:ascii="Times New Roman;sans-serif" w:hAnsi="Times New Roman;sans-serif"/>
                  <w:b w:val="false"/>
                  <w:color w:val="0000FF"/>
                  <w:sz w:val="18"/>
                  <w:u w:val="single"/>
                </w:rPr>
                <w:t>Item 1. Legal Proceedings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18">
              <w:r>
                <w:rPr>
                  <w:rStyle w:val="InternetLink"/>
                  <w:rFonts w:ascii="Times New Roman;sans-serif" w:hAnsi="Times New Roman;sans-serif"/>
                  <w:b w:val="false"/>
                  <w:color w:val="0000FF"/>
                  <w:sz w:val="18"/>
                  <w:u w:val="single"/>
                </w:rPr>
                <w:t>51</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21">
              <w:r>
                <w:rPr>
                  <w:rStyle w:val="InternetLink"/>
                  <w:rFonts w:ascii="Times New Roman;sans-serif" w:hAnsi="Times New Roman;sans-serif"/>
                  <w:b w:val="false"/>
                  <w:color w:val="0000FF"/>
                  <w:sz w:val="18"/>
                  <w:u w:val="single"/>
                </w:rPr>
                <w:t>Item 1A. Risk Factors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21">
              <w:r>
                <w:rPr>
                  <w:rStyle w:val="InternetLink"/>
                  <w:rFonts w:ascii="Times New Roman;sans-serif" w:hAnsi="Times New Roman;sans-serif"/>
                  <w:b w:val="false"/>
                  <w:color w:val="0000FF"/>
                  <w:sz w:val="18"/>
                  <w:u w:val="single"/>
                </w:rPr>
                <w:t>52</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24">
              <w:r>
                <w:rPr>
                  <w:rStyle w:val="InternetLink"/>
                  <w:rFonts w:ascii="Times New Roman;sans-serif" w:hAnsi="Times New Roman;sans-serif"/>
                  <w:b w:val="false"/>
                  <w:color w:val="0000FF"/>
                  <w:sz w:val="18"/>
                  <w:u w:val="single"/>
                </w:rPr>
                <w:t>Item 2. Unregistered Sales of Equity Securities and Use of Proceeds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24">
              <w:r>
                <w:rPr>
                  <w:rStyle w:val="InternetLink"/>
                  <w:rFonts w:ascii="Times New Roman;sans-serif" w:hAnsi="Times New Roman;sans-serif"/>
                  <w:b w:val="false"/>
                  <w:color w:val="0000FF"/>
                  <w:sz w:val="18"/>
                  <w:u w:val="single"/>
                </w:rPr>
                <w:t>53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27">
              <w:r>
                <w:rPr>
                  <w:rStyle w:val="InternetLink"/>
                  <w:rFonts w:ascii="Times New Roman;sans-serif" w:hAnsi="Times New Roman;sans-serif"/>
                  <w:b w:val="false"/>
                  <w:color w:val="0000FF"/>
                  <w:sz w:val="18"/>
                  <w:u w:val="single"/>
                </w:rPr>
                <w:t>Item 3. Defaults Upon Senior Securities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27">
              <w:r>
                <w:rPr>
                  <w:rStyle w:val="InternetLink"/>
                  <w:rFonts w:ascii="Times New Roman;sans-serif" w:hAnsi="Times New Roman;sans-serif"/>
                  <w:b w:val="false"/>
                  <w:color w:val="0000FF"/>
                  <w:sz w:val="18"/>
                  <w:u w:val="single"/>
                </w:rPr>
                <w:t>53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30">
              <w:r>
                <w:rPr>
                  <w:rStyle w:val="InternetLink"/>
                  <w:rFonts w:ascii="Times New Roman;sans-serif" w:hAnsi="Times New Roman;sans-serif"/>
                  <w:b w:val="false"/>
                  <w:color w:val="0000FF"/>
                  <w:sz w:val="18"/>
                  <w:u w:val="single"/>
                </w:rPr>
                <w:t>Item 4. Mine Safety Disclosures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30">
              <w:r>
                <w:rPr>
                  <w:rStyle w:val="InternetLink"/>
                  <w:rFonts w:ascii="Times New Roman;sans-serif" w:hAnsi="Times New Roman;sans-serif"/>
                  <w:b w:val="false"/>
                  <w:color w:val="0000FF"/>
                  <w:sz w:val="18"/>
                  <w:u w:val="single"/>
                </w:rPr>
                <w:t>53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33">
              <w:r>
                <w:rPr>
                  <w:rStyle w:val="InternetLink"/>
                  <w:rFonts w:ascii="Times New Roman;sans-serif" w:hAnsi="Times New Roman;sans-serif"/>
                  <w:b w:val="false"/>
                  <w:color w:val="0000FF"/>
                  <w:sz w:val="18"/>
                  <w:u w:val="single"/>
                </w:rPr>
                <w:t>Item 5. Other Information</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33">
              <w:r>
                <w:rPr>
                  <w:rStyle w:val="InternetLink"/>
                  <w:rFonts w:ascii="Times New Roman;sans-serif" w:hAnsi="Times New Roman;sans-serif"/>
                  <w:b w:val="false"/>
                  <w:color w:val="0000FF"/>
                  <w:sz w:val="18"/>
                  <w:u w:val="single"/>
                </w:rPr>
                <w:t>53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36">
              <w:r>
                <w:rPr>
                  <w:rStyle w:val="InternetLink"/>
                  <w:rFonts w:ascii="Times New Roman;sans-serif" w:hAnsi="Times New Roman;sans-serif"/>
                  <w:b w:val="false"/>
                  <w:color w:val="0000FF"/>
                  <w:sz w:val="18"/>
                  <w:u w:val="single"/>
                </w:rPr>
                <w:t>Item 6. Exhibits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36">
              <w:r>
                <w:rPr>
                  <w:rStyle w:val="InternetLink"/>
                  <w:rFonts w:ascii="Times New Roman;sans-serif" w:hAnsi="Times New Roman;sans-serif"/>
                  <w:b w:val="false"/>
                  <w:color w:val="0000FF"/>
                  <w:sz w:val="18"/>
                  <w:u w:val="single"/>
                </w:rPr>
                <w:t>54</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33ffaecf946f5800da34455a9bbd0_139">
              <w:r>
                <w:rPr>
                  <w:rStyle w:val="InternetLink"/>
                  <w:rFonts w:ascii="Times New Roman;sans-serif" w:hAnsi="Times New Roman;sans-serif"/>
                  <w:b w:val="false"/>
                  <w:color w:val="0000FF"/>
                  <w:sz w:val="18"/>
                  <w:u w:val="single"/>
                </w:rPr>
                <w:t>SIGNATURES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33ffaecf946f5800da34455a9bbd0_139">
              <w:r>
                <w:rPr>
                  <w:rStyle w:val="InternetLink"/>
                  <w:rFonts w:ascii="Times New Roman;sans-serif" w:hAnsi="Times New Roman;sans-serif"/>
                  <w:b w:val="false"/>
                  <w:color w:val="0000FF"/>
                  <w:sz w:val="18"/>
                  <w:u w:val="single"/>
                </w:rPr>
                <w:t>55</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per share amounts)</w:t>
      </w:r>
    </w:p>
    <w:tbl>
      <w:tblPr>
        <w:tblW w:w="7705" w:type="dxa"/>
        <w:jc w:val="left"/>
        <w:tblInd w:w="0" w:type="dxa"/>
        <w:tblLayout w:type="fixed"/>
        <w:tblCellMar>
          <w:top w:w="28" w:type="dxa"/>
          <w:left w:w="28" w:type="dxa"/>
          <w:bottom w:w="28" w:type="dxa"/>
          <w:right w:w="28" w:type="dxa"/>
        </w:tblCellMar>
      </w:tblPr>
      <w:tblGrid>
        <w:gridCol w:w="1741"/>
        <w:gridCol w:w="1533"/>
        <w:gridCol w:w="1541"/>
        <w:gridCol w:w="196"/>
        <w:gridCol w:w="736"/>
        <w:gridCol w:w="109"/>
        <w:gridCol w:w="109"/>
        <w:gridCol w:w="109"/>
        <w:gridCol w:w="109"/>
        <w:gridCol w:w="196"/>
        <w:gridCol w:w="736"/>
        <w:gridCol w:w="109"/>
        <w:gridCol w:w="109"/>
        <w:gridCol w:w="109"/>
        <w:gridCol w:w="109"/>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bookmarkStart w:id="0" w:name="if670eb6d5f8941a9b0c42e0b509906b0_2-3-25"/>
            <w:bookmarkEnd w:id="0"/>
            <w:r>
              <w:rPr>
                <w:rFonts w:ascii="Times New Roman;sans-serif" w:hAnsi="Times New Roman;sans-serif"/>
                <w:b w:val="false"/>
                <w:color w:val="000000"/>
                <w:sz w:val="18"/>
              </w:rPr>
              <w:t>368,872 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 (See Note 13):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Comprehensive (loss) income (See Note 14)</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2804"/>
        <w:gridCol w:w="2180"/>
        <w:gridCol w:w="2188"/>
        <w:gridCol w:w="208"/>
        <w:gridCol w:w="925"/>
        <w:gridCol w:w="115"/>
        <w:gridCol w:w="109"/>
        <w:gridCol w:w="109"/>
        <w:gridCol w:w="109"/>
        <w:gridCol w:w="233"/>
        <w:gridCol w:w="1038"/>
        <w:gridCol w:w="187"/>
      </w:tblGrid>
      <w:tr>
        <w:trPr/>
        <w:tc>
          <w:tcPr>
            <w:tcW w:w="280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net of allowances of $6,482 and $6,917</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272,370 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445,418 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429,090 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77,001 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1,107,247 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1,081,681 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405,723 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 - operating leases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1,187,535 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1,105,386 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1,096,952 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4,052,751 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4,037,424 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borrowings under senior credit facility</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lease liability - operating leases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securities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573,170 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trade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82,502 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85,617 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918,452 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922,126 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 under senior credit facility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1,128,541 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1,087,917 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 under securitization facility</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liability - operating leases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60,833 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2,528,612 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2,492,144 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no par value; 15,000 authorized shares; none outstanding</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240,000 authorized shares; 92,136 and 91,610 issued at March 31, 2025 and December 31, 2024, respectively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1,323,081 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1,323,431 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14,424 shares and 14,445 shares at March 31, 2025 and December 31, 2024, respectively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(690,379)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(691,411)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914,622 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939,915 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1,524,139 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1,545,280 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4,052,751 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4,037,424 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w:t>
      </w:r>
    </w:p>
    <w:tbl>
      <w:tblPr>
        <w:tblW w:w="8560" w:type="dxa"/>
        <w:jc w:val="center"/>
        <w:tblInd w:w="0" w:type="dxa"/>
        <w:tblLayout w:type="fixed"/>
        <w:tblCellMar>
          <w:top w:w="28" w:type="dxa"/>
          <w:left w:w="28" w:type="dxa"/>
          <w:bottom w:w="28" w:type="dxa"/>
          <w:right w:w="28" w:type="dxa"/>
        </w:tblCellMar>
      </w:tblPr>
      <w:tblGrid>
        <w:gridCol w:w="2151"/>
        <w:gridCol w:w="1890"/>
        <w:gridCol w:w="1899"/>
        <w:gridCol w:w="209"/>
        <w:gridCol w:w="787"/>
        <w:gridCol w:w="116"/>
        <w:gridCol w:w="116"/>
        <w:gridCol w:w="116"/>
        <w:gridCol w:w="116"/>
        <w:gridCol w:w="209"/>
        <w:gridCol w:w="787"/>
        <w:gridCol w:w="164"/>
      </w:tblGrid>
      <w:tr>
        <w:trPr/>
        <w:tc>
          <w:tcPr>
            <w:tcW w:w="2151"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impairment charges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expenses associated with debt refinancing</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 and others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current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operating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 term investments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(53,965)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of long-term indebtedness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debt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for contingent considerations </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exercised stock options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taxes paid in net equity settlement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increase in cash and cash equivalents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315,504 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beginning of period</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246,375 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276,402 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end of period</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239,104 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591,906 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w:t>
      </w:r>
    </w:p>
    <w:tbl>
      <w:tblPr>
        <w:tblW w:w="11610" w:type="dxa"/>
        <w:jc w:val="center"/>
        <w:tblInd w:w="0" w:type="dxa"/>
        <w:tblLayout w:type="fixed"/>
        <w:tblCellMar>
          <w:top w:w="28" w:type="dxa"/>
          <w:left w:w="28" w:type="dxa"/>
          <w:bottom w:w="28" w:type="dxa"/>
          <w:right w:w="28" w:type="dxa"/>
        </w:tblCellMar>
      </w:tblPr>
      <w:tblGrid>
        <w:gridCol w:w="689"/>
        <w:gridCol w:w="266"/>
        <w:gridCol w:w="231"/>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871"/>
        <w:gridCol w:w="109"/>
        <w:gridCol w:w="109"/>
        <w:gridCol w:w="109"/>
        <w:gridCol w:w="109"/>
        <w:gridCol w:w="246"/>
        <w:gridCol w:w="832"/>
        <w:gridCol w:w="138"/>
        <w:gridCol w:w="109"/>
        <w:gridCol w:w="109"/>
        <w:gridCol w:w="109"/>
        <w:gridCol w:w="196"/>
        <w:gridCol w:w="736"/>
        <w:gridCol w:w="109"/>
        <w:gridCol w:w="109"/>
        <w:gridCol w:w="109"/>
        <w:gridCol w:w="109"/>
        <w:gridCol w:w="196"/>
        <w:gridCol w:w="871"/>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January 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91,609 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through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vesting of share based awards, net of shares withheld for taxes and forfeitures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92,136 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(690,379)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(24,106)</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1,524,139 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11610" w:type="dxa"/>
        <w:jc w:val="center"/>
        <w:tblInd w:w="0" w:type="dxa"/>
        <w:tblLayout w:type="fixed"/>
        <w:tblCellMar>
          <w:top w:w="28" w:type="dxa"/>
          <w:left w:w="28" w:type="dxa"/>
          <w:bottom w:w="28" w:type="dxa"/>
          <w:right w:w="28" w:type="dxa"/>
        </w:tblCellMar>
      </w:tblPr>
      <w:tblGrid>
        <w:gridCol w:w="689"/>
        <w:gridCol w:w="266"/>
        <w:gridCol w:w="231"/>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871"/>
        <w:gridCol w:w="109"/>
        <w:gridCol w:w="109"/>
        <w:gridCol w:w="109"/>
        <w:gridCol w:w="109"/>
        <w:gridCol w:w="246"/>
        <w:gridCol w:w="832"/>
        <w:gridCol w:w="138"/>
        <w:gridCol w:w="109"/>
        <w:gridCol w:w="109"/>
        <w:gridCol w:w="109"/>
        <w:gridCol w:w="196"/>
        <w:gridCol w:w="736"/>
        <w:gridCol w:w="109"/>
        <w:gridCol w:w="109"/>
        <w:gridCol w:w="109"/>
        <w:gridCol w:w="109"/>
        <w:gridCol w:w="196"/>
        <w:gridCol w:w="871"/>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January 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through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vesting of share based awards, net of shares withheld for taxes and forfeitures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91,484 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(646,422)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(10,646)</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1,597,952 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terms “we,” “our,” “us,” “Company” and “Integra” refer to Integra LifeSciences Holdings Corporation, a Delaware corporation, and its subsidiaries unless the context suggests otherwise.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March 31, 2025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for the periods presented.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2024 included in the Company’s Annual Report on Form 10-K. The consolidated balance sheet as of December 31, 2024 was derived from audited financial statements, but does not include all disclosures required by GAAP. Operating results for the three-month period ended March 31, 2025 are not necessarily indicative of the results to be expected for the entire year.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unaudited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w:t>
      </w:r>
    </w:p>
    <w:p>
      <w:pPr>
        <w:pStyle w:val="TextBody"/>
        <w:bidi w:val="0"/>
        <w:spacing w:lineRule="auto" w:line="288" w:before="120" w:after="120"/>
        <w:jc w:val="left"/>
        <w:rPr/>
      </w:pPr>
      <w:r>
        <w:rPr>
          <w:rFonts w:ascii="Times New Roman;sans-serif" w:hAnsi="Times New Roman;sans-serif"/>
          <w:b/>
          <w:i/>
          <w:color w:val="000000"/>
          <w:sz w:val="20"/>
        </w:rPr>
        <w:t>Recent Accounting Pronouncements</w:t>
      </w:r>
      <w:r>
        <w:rPr>
          <w:color w:val="000000"/>
        </w:rPr>
        <w:t xml:space="preserve"> </w:t>
      </w:r>
    </w:p>
    <w:p>
      <w:pPr>
        <w:pStyle w:val="TextBody"/>
        <w:bidi w:val="0"/>
        <w:spacing w:lineRule="auto" w:line="288" w:before="120" w:after="12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(“ASU 2023-09”) which enhances the transparency of income tax disclosures by expanding annual disclosure requirements related to the rate reconciliation and income taxes paid. The amendments are effective for fiscal years beginning after December 15, 2024. Early adoption is permitted. The amendments should be applied on a prospective basis. Retrospective application to all prior periods presented in the financial statements is permitted. The Company will adopt ASU 2023-09 for the annual period ending on December 31, 2025. We are currently evaluating the impact that the adoption of this guidance will have on our disclosures.</w:t>
      </w:r>
    </w:p>
    <w:p>
      <w:pPr>
        <w:pStyle w:val="TextBody"/>
        <w:bidi w:val="0"/>
        <w:spacing w:lineRule="auto" w:line="288" w:before="120" w:after="12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 xml:space="preserve">(“ASU 2023-07”),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The amendments should be applied retrospectively to all prior periods presented in the financial statements. The Company adopted ASU 2023-07 as of December 31, 2024 on a retrospective basis to all prior periods presented. The adoption did not have a material impact on the Company’s consolidated financial statements. </w:t>
      </w:r>
    </w:p>
    <w:p>
      <w:pPr>
        <w:pStyle w:val="TextBody"/>
        <w:bidi w:val="0"/>
        <w:spacing w:lineRule="auto" w:line="288" w:before="120" w:after="120"/>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rFonts w:ascii="Times New Roman;sans-serif" w:hAnsi="Times New Roman;sans-serif"/>
          <w:b w:val="false"/>
          <w:color w:val="000000"/>
          <w:sz w:val="20"/>
        </w:rPr>
        <w:t>,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the Company's disclosures.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other recently issued accounting pronouncements that are expected to have any significant effect on the Company’s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cash and cash equivalents, primarily consisting of cash on-hand, as well as time deposits with original maturities of three months or less and money market funds, which are highly liquid and readily convertible to cash, totaling approximately $239.1 million and $246.4 million at March 31, 2025 and December 31, 2024, respectively.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short term investments, primarily consisting of time deposits with original maturities between three months and one year, totaling approximately $34.2 million at March 31, 2025 compared to $27.2 million at December 31, 2024. The short term investments are valued based on Level 1 measurements in the fair value hierarchy.</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assuming that the Company will continue as a going concern, which contemplates the realization of assets and satisfaction of liabilities in the normal course of business. Management evaluated whether there are any conditions and events, considered in the aggregate, that raise substantial doubt about the Company’s ability to continue as a going concern over the next twelve months from the issuance of the accompanying unaudited condensed consolidated financial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Recent tariff changes imposed by the U.S. and China have created increased risks and uncertainties surrounding the Company’s future results of operations. The impact of tariffs in the first quarter of 2025 was not material. However, should universal tariffs be implemented as initially announced in April 2025, the Company anticipates a significant adverse impact on its future costs of revenue, which will impact its results of operations. Particularly, the U.S. import tariffs and the reciprocal measures by China, are expected to increase the Company’s cost of goods sold. The Company anticipates that some of its suppliers will incur incremental tariff-related costs, which may be passed on to the Company. The extent and duration of the tariffs and the resulting impact on general economic conditions and on the business are uncertain and are expected to be impacted by various factors, such as negotiations between the U.S. and affected countries, the responses of other countries or regions, exemptions or exclusions that already exist or may be granted, availability and cost of alternative sources of the products and materials, and the Company’s ability to offset the effects of any tariffs that might be imposed.</w:t>
      </w:r>
    </w:p>
    <w:p>
      <w:pPr>
        <w:pStyle w:val="TextBody"/>
        <w:bidi w:val="0"/>
        <w:spacing w:lineRule="auto" w:line="288" w:before="120" w:after="120"/>
        <w:jc w:val="both"/>
        <w:rPr/>
      </w:pPr>
      <w:r>
        <w:rPr>
          <w:rFonts w:ascii="Times New Roman;sans-serif" w:hAnsi="Times New Roman;sans-serif"/>
          <w:b w:val="false"/>
          <w:color w:val="000000"/>
          <w:sz w:val="20"/>
        </w:rPr>
        <w:t xml:space="preserve">Compliance with the financial covenants contained in the seventh amendment and restatement entered into by the Company on March 24, 2023 (the “March 2023 Amendment”) of the Senior Credit Facility (the “Senior Credit Facility”) (as discussed in </w:t>
      </w:r>
      <w:r>
        <w:rPr>
          <w:rFonts w:ascii="Times New Roman;sans-serif" w:hAnsi="Times New Roman;sans-serif"/>
          <w:b w:val="false"/>
          <w:i/>
          <w:color w:val="000000"/>
          <w:sz w:val="20"/>
        </w:rPr>
        <w:t>Note 6. Debt</w:t>
      </w:r>
      <w:r>
        <w:rPr>
          <w:rFonts w:ascii="Times New Roman;sans-serif" w:hAnsi="Times New Roman;sans-serif"/>
          <w:b w:val="false"/>
          <w:color w:val="000000"/>
          <w:sz w:val="20"/>
        </w:rPr>
        <w:t>) is measured quarterly and failure to meet the covenant requirements would constitute an event of default under the Senior Credit Facility. Due to risks and uncertainties concerning tariffs with regards to the Company’s operations, industry, financial condition, performance, operating results and liquidity, the Company may not maintain compliance with the financial covenants over the next twelve months from the issuance of the accompanying interim unaudited condensed consolidated financial statements, which noncompliance, should it occur, would raise substantial doubt about the Company’s ability to continue as a going concern. If an event of default occurs and the Company is unable to obtain necessary waivers or amendments, the lenders may elect to declare all outstanding borrowings, together with accrued and unpaid interest and other amounts payable thereunder, to be immediately due and payable. Further, if an event of default occurs, the lenders will have the right to proceed against the collateral granted to them to secure that debt. If the debt under the Senior Credit Facility were to be accelerated, the Company’s assets may not be sufficient to repay in full the debt that may become due as a result of that acceleration. The Company could seek replacement financing at prevailing market rates or raise additional capital by issuing equity or debt securities; however, this may not be on terms favorable to the Company, or available at all.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was in compliance with the financial covenants in the Senior Credit Facility. In response to the risks and uncertainties surrounding the Company’s future results of operations due to tariffs, the Company has taken actions to reduce expenses and maintain compliance with its financial covenants. In the event that performance is below the forecasted levels, the Company may also implement certain additional initiatives, such as price increases to offset tariff costs and rationalization of selling, general and administrative expenses, which would allow it to continue to comply with the financial covenants. The Company may consider taking other actions, including negotiating with its lenders for an amendment or modification to the financial covenants, as deemed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Employee termination benefits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 written severance plan, but has a history of providing benefits for employees in the case of involuntary termination. In situations outside the U.S., there are minimum statutory termination benefits requirements by country that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situations where the Company pays out termination benefits in excess of statutory minimum amounts based on management’s discretion, the Company records these termination costs once communication is made to the affected employees.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employee termination costs on restructuring activities in the consolidated statement of operations for the three months ended March 31, 2025 and 2024. The following table summarizes the activity in the restructuring related accrual balances included within accrued expenses and other current liabilities in the consolidated balance sheet for the three months ended March 31, 2025 and 2024.</w:t>
      </w:r>
    </w:p>
    <w:tbl>
      <w:tblPr>
        <w:tblW w:w="5498"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245"/>
        <w:gridCol w:w="697"/>
        <w:gridCol w:w="136"/>
        <w:gridCol w:w="136"/>
        <w:gridCol w:w="136"/>
        <w:gridCol w:w="136"/>
        <w:gridCol w:w="245"/>
        <w:gridCol w:w="697"/>
        <w:gridCol w:w="193"/>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2. ACQUISITIONS AND DIVESTITURES</w:t>
      </w:r>
    </w:p>
    <w:p>
      <w:pPr>
        <w:pStyle w:val="TextBody"/>
        <w:bidi w:val="0"/>
        <w:spacing w:lineRule="auto" w:line="256" w:before="120" w:after="120"/>
        <w:jc w:val="both"/>
        <w:rPr>
          <w:rFonts w:ascii="Times New Roman;sans-serif" w:hAnsi="Times New Roman;sans-serif"/>
          <w:b/>
          <w:i/>
          <w:color w:val="000000"/>
          <w:sz w:val="20"/>
        </w:rPr>
      </w:pPr>
      <w:r>
        <w:rPr>
          <w:rFonts w:ascii="Times New Roman;sans-serif" w:hAnsi="Times New Roman;sans-serif"/>
          <w:b/>
          <w:i/>
          <w:color w:val="000000"/>
          <w:sz w:val="20"/>
        </w:rPr>
        <w:t>Acquisition of Durepair®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 2024, the Company completed the acquisition of the product rights for Durepair Regeneration Matrix (“Durepair”), a non-synthetic dura substitute for repair of the dura mater during neurosurgical procedures, from Medtronic plc for total consideration of $45.0 million. The Company made a cash payment of $10.0 million upon the closing of the acquisition and will make additional cash payments of $15.0 million upon the first anniversary of the acquisition and $20.0 million upon the second anniversary of the acquisition. The additional cash payments to be paid in October 2025 and October 2026 were included at their present values in accrued expenses and other current liabilities and other liabilities, respectively, as of March 31, 2025.</w:t>
      </w:r>
    </w:p>
    <w:p>
      <w:pPr>
        <w:pStyle w:val="TextBody"/>
        <w:bidi w:val="0"/>
        <w:spacing w:lineRule="auto" w:line="288" w:before="120" w:after="120"/>
        <w:jc w:val="both"/>
        <w:rPr/>
      </w:pPr>
      <w:r>
        <w:rPr>
          <w:rFonts w:ascii="Times New Roman;sans-serif" w:hAnsi="Times New Roman;sans-serif"/>
          <w:b w:val="false"/>
          <w:color w:val="000000"/>
          <w:sz w:val="20"/>
        </w:rPr>
        <w:t xml:space="preserve">The acquisition of the product rights for Durepair, which consist of certain patents and trademarks, regulatory approvals, and other records, has been accounted for as an asset acquisition in accordance with ASC 805, </w:t>
      </w:r>
      <w:r>
        <w:rPr>
          <w:rFonts w:ascii="Times New Roman;sans-serif" w:hAnsi="Times New Roman;sans-serif"/>
          <w:b w:val="false"/>
          <w:i/>
          <w:color w:val="000000"/>
          <w:sz w:val="20"/>
        </w:rPr>
        <w:t xml:space="preserve">Business Combinations </w:t>
      </w:r>
      <w:r>
        <w:rPr>
          <w:rFonts w:ascii="Times New Roman;sans-serif" w:hAnsi="Times New Roman;sans-serif"/>
          <w:b w:val="false"/>
          <w:color w:val="000000"/>
          <w:sz w:val="20"/>
        </w:rPr>
        <w:t xml:space="preserve">(“ASC 805”) as the acquisition does not include an assembled workforce and substantially all of the fair value of the assets acquired is concentrated in a single identifiable intangible asset. </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Acquisition of Acclarent, Inc.</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the Company completed the acquisition of all of the outstanding capital stock of Acclarent, Inc. (“Acclarent”), a developer and marketer of medical devices used in ear, nose, throat (“ENT”) procedures, from Ethicon, Inc., a subsidiary of Johnson &amp; Johnson, for approximately $282.0 million in cash, subject to customary adjustments set forth in the purchase agreement related to working capital balances transferred to the Company. In the second half of 2024, the Company finalized and settled the working capital adjustment in the amount of $4.2 million, which resulted in a reduction to goodwill and also recognized a measurement period adjustment to recognize deferred tax liabilities of $1.1 million with a corresponding increase to goodwill as a result of a change to the estimated deferred tax rate applied and the book-to-tax difference associated with fixed assets acquired.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addition of Acclarent’s ENT </w:t>
      </w:r>
      <w:bookmarkStart w:id="1" w:name="i35ecb578b12a481b81181a1218996b9d_15952"/>
      <w:bookmarkEnd w:id="1"/>
      <w:r>
        <w:rPr>
          <w:rFonts w:ascii="Times New Roman;sans-serif" w:hAnsi="Times New Roman;sans-serif"/>
          <w:b w:val="false"/>
          <w:color w:val="000000"/>
          <w:sz w:val="20"/>
        </w:rPr>
        <w:t>product portfolio, including sinus balloon dilation, eustachian tube balloon dilation, and surgical navigation systems technologies, and dedicated salesforce will enhance the Company’s position in the ENT specialty device market.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Acclarent’s results of operations have been reported in the Company’s Codman Specialty Surgical reportable segment from the date of acquisition. The Company recorded revenue from Acclarent of approximately $29.1 million, in the consolidated statements of operations and comprehensive income for the three months ended March 31, 2025. The net income or loss attributable to this acquisition cannot be identified on a stand-alone basis because it is in the process of being integrated into the Company’s operations.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Acquired and Liabilities Assumed at Fair Value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Acclarent acquisition has been accounted for using the acquisition method of accounting in accordance with ASC 805. This method requires that assets acquired and liabilities assumed in a business combination are recognized at their fair values as of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values of the assets acquired and liabilities assumed at the acquisition date:</w:t>
      </w:r>
    </w:p>
    <w:tbl>
      <w:tblPr>
        <w:tblW w:w="8197" w:type="dxa"/>
        <w:jc w:val="left"/>
        <w:tblInd w:w="0" w:type="dxa"/>
        <w:tblLayout w:type="fixed"/>
        <w:tblCellMar>
          <w:top w:w="28" w:type="dxa"/>
          <w:left w:w="28" w:type="dxa"/>
          <w:bottom w:w="28" w:type="dxa"/>
          <w:right w:w="28" w:type="dxa"/>
        </w:tblCellMar>
      </w:tblPr>
      <w:tblGrid>
        <w:gridCol w:w="1443"/>
        <w:gridCol w:w="1272"/>
        <w:gridCol w:w="1275"/>
        <w:gridCol w:w="342"/>
        <w:gridCol w:w="1220"/>
        <w:gridCol w:w="177"/>
        <w:gridCol w:w="109"/>
        <w:gridCol w:w="109"/>
        <w:gridCol w:w="109"/>
        <w:gridCol w:w="589"/>
        <w:gridCol w:w="589"/>
        <w:gridCol w:w="591"/>
        <w:gridCol w:w="109"/>
        <w:gridCol w:w="109"/>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Life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net of allowances of $3,885</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 - operating leases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Completed technology</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Trademarks/brand names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 acquired</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344,841</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trade</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lease liability - operating leases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liability - operating leases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assumed</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67,030</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277,811</w:t>
            </w: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trade accounts receivable, prepaid expenses, other current assets, accounts payable, contract liabilities, accrued compensation, accrued expenses and other current liabilities, as well as certain other current and non-current assets and liabilities, generally represented the fair value at the date of acquisition.</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intangible assets acquired was determined using the multi-period, excess earnings method of the income approach, which estimates value based on the present value of future economic benefits attributable to the intangible assets. The significant assumptions used in developing the valuation included the estimated annual net cash flows including application of revenue growth rates, cost of sales, the discount rate that appropriately reflects the risk inherent in each future cash flow stream, obsolescence rate, and an assessment of the asset’s life cycle, as well as other factors. The assumptions used in the financial forecasts were based on historical data, supplemented by current and anticipated growth rates, management plans, and market-comparable information. Fair value determinations require considerable judgment and are sensitive to changes in underlying assumptions and factors. The intangible assets acquired have a weighted average useful life of 11 years.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a discount rate of 12.2%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120" w:after="120"/>
        <w:jc w:val="both"/>
        <w:rPr/>
      </w:pPr>
      <w:r>
        <w:rPr>
          <w:rFonts w:ascii="Times New Roman;sans-serif" w:hAnsi="Times New Roman;sans-serif"/>
          <w:b w:val="false"/>
          <w:color w:val="000000"/>
          <w:sz w:val="20"/>
        </w:rPr>
        <w:t xml:space="preserve">Goodwill is the excess of the consideration transferred over the net assets recognized and represents the expected synergies of the combined company and assembled workforce. Goodwill has been allocated to the Codman Specialty Surgical segment, as shown in </w:t>
      </w:r>
      <w:r>
        <w:rPr>
          <w:rFonts w:ascii="Times New Roman;sans-serif" w:hAnsi="Times New Roman;sans-serif"/>
          <w:b w:val="false"/>
          <w:i/>
          <w:color w:val="000000"/>
          <w:sz w:val="20"/>
        </w:rPr>
        <w:t>Note 5. Goodwill and Other Intangible Assets</w:t>
      </w:r>
      <w:r>
        <w:rPr>
          <w:rFonts w:ascii="Times New Roman;sans-serif" w:hAnsi="Times New Roman;sans-serif"/>
          <w:b w:val="false"/>
          <w:color w:val="000000"/>
          <w:sz w:val="20"/>
        </w:rPr>
        <w:t>. Goodwill recognized as a result of this acquisition is non-deductible for income tax purposes.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Tax Liabilities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result from identifiable intangible assets’ fair value adjustments. These adjustments create excess book basis over tax basis which is tax-effected by the statutory tax rates of applicable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3. REVENUES FROM CONTRACTS WITH CUSTOMERS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Summary of Accounting Policies on Revenue Recognition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upon the transfer of control of promised products or services to the customers in an amount that reflects the consideration the Company expects to receive in exchange for those products and services.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performance obligations consist mainly of transferring control of goods and services identified in the contracts, purchase orders, or invoices. The Company has no significant multi-element contracts with customers.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Significant Estimates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returns, price concessions, and discount allowances using the expected value method based on historical trends and other known factors. Rebate allowances are estimated using the most likely method based on each customer contract.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Contract Assets and Liabilities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 Upon invoicing to the customer, the balance is recorded in trade receivable, net in the consolidated balance sheet.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contract asset and liability balances for the three months ended March 31, 2025:</w:t>
      </w:r>
    </w:p>
    <w:tbl>
      <w:tblPr>
        <w:tblW w:w="8981" w:type="dxa"/>
        <w:jc w:val="center"/>
        <w:tblInd w:w="0" w:type="dxa"/>
        <w:tblLayout w:type="fixed"/>
        <w:tblCellMar>
          <w:top w:w="28" w:type="dxa"/>
          <w:left w:w="28" w:type="dxa"/>
          <w:bottom w:w="28" w:type="dxa"/>
          <w:right w:w="28" w:type="dxa"/>
        </w:tblCellMar>
      </w:tblPr>
      <w:tblGrid>
        <w:gridCol w:w="2541"/>
        <w:gridCol w:w="2230"/>
        <w:gridCol w:w="2233"/>
        <w:gridCol w:w="109"/>
        <w:gridCol w:w="109"/>
        <w:gridCol w:w="109"/>
        <w:gridCol w:w="109"/>
        <w:gridCol w:w="109"/>
        <w:gridCol w:w="109"/>
        <w:gridCol w:w="196"/>
        <w:gridCol w:w="646"/>
        <w:gridCol w:w="109"/>
        <w:gridCol w:w="109"/>
        <w:gridCol w:w="109"/>
        <w:gridCol w:w="154"/>
      </w:tblGrid>
      <w:tr>
        <w:trPr/>
        <w:tc>
          <w:tcPr>
            <w:tcW w:w="2541"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Contract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Transferred to trade receivable from contract asset included in beginning of the year contract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 net of transferred to trade receivables on contracts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Contract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liability,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revenue included in beginning of year contract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liability, net of revenue recognized on contracts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liability,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short-term portion of the contract liability of $10.5 million and the long-term portion of $9.4 million are included in current liabilities and other liabilities, respectively, in the consolidated balance sheet.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is expected to recognize revenue of approximately 53% of unsatisfied or partially unsatisfied performance obligations as revenue within 12 months, with the remaining balance to be recognized thereafter.</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Shipping and Handling Fees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Product Warranties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Taxes Collected from Customers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exclude from the measurement of the transaction price all taxes assessed by a governmental authority that are both imposed on and concurrent with a specific revenue-producing transaction and collected by the entity from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revenues disaggregated by the major sources of revenues for the three months ended March 31, 2025 and 2024 (dollar amounts in thousands):</w:t>
      </w:r>
    </w:p>
    <w:tbl>
      <w:tblPr>
        <w:tblW w:w="8861" w:type="dxa"/>
        <w:jc w:val="center"/>
        <w:tblInd w:w="0" w:type="dxa"/>
        <w:tblLayout w:type="fixed"/>
        <w:tblCellMar>
          <w:top w:w="28" w:type="dxa"/>
          <w:left w:w="28" w:type="dxa"/>
          <w:bottom w:w="28" w:type="dxa"/>
          <w:right w:w="28" w:type="dxa"/>
        </w:tblCellMar>
      </w:tblPr>
      <w:tblGrid>
        <w:gridCol w:w="885"/>
        <w:gridCol w:w="779"/>
        <w:gridCol w:w="781"/>
        <w:gridCol w:w="528"/>
        <w:gridCol w:w="1983"/>
        <w:gridCol w:w="293"/>
        <w:gridCol w:w="109"/>
        <w:gridCol w:w="109"/>
        <w:gridCol w:w="109"/>
        <w:gridCol w:w="528"/>
        <w:gridCol w:w="1983"/>
        <w:gridCol w:w="293"/>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Neurosurgery</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190,912 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202,268 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Instruments</w:t>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44,373 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ENT</w:t>
            </w:r>
            <w:r>
              <w:rPr>
                <w:rFonts w:ascii="Times New Roman;sans-serif" w:hAnsi="Times New Roman;sans-serif"/>
                <w:b w:val="false"/>
                <w:color w:val="000000"/>
                <w:sz w:val="12"/>
              </w:rPr>
              <w:t>(1)</w:t>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38,802 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Codman Specialty Surgical</w:t>
            </w:r>
          </w:p>
        </w:tc>
        <w:tc>
          <w:tcPr>
            <w:tcW w:w="251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280,664 </w:t>
            </w:r>
          </w:p>
        </w:tc>
        <w:tc>
          <w:tcPr>
            <w:tcW w:w="293"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256,434 </w:t>
            </w:r>
          </w:p>
        </w:tc>
        <w:tc>
          <w:tcPr>
            <w:tcW w:w="293"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Wound Reconstruction and Care</w:t>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74,779 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80,877 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Label</w:t>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Tissue Technologies</w:t>
            </w:r>
          </w:p>
        </w:tc>
        <w:tc>
          <w:tcPr>
            <w:tcW w:w="2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101,989 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112,438 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382,653 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368,872 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13"/>
        </w:rPr>
      </w:pPr>
      <w:r>
        <w:rPr>
          <w:rFonts w:ascii="Times New Roman;sans-serif" w:hAnsi="Times New Roman;sans-serif"/>
          <w:b w:val="false"/>
          <w:color w:val="000000"/>
          <w:sz w:val="13"/>
        </w:rPr>
        <w:t>(1) Prior period revenues included within our instruments business have been reclassified under the ENT business.</w:t>
      </w:r>
    </w:p>
    <w:p>
      <w:pPr>
        <w:pStyle w:val="TextBody"/>
        <w:bidi w:val="0"/>
        <w:spacing w:lineRule="auto" w:line="288" w:before="120" w:after="120"/>
        <w:jc w:val="left"/>
        <w:rPr/>
      </w:pPr>
      <w:r>
        <w:rPr>
          <w:rFonts w:ascii="Times New Roman;sans-serif" w:hAnsi="Times New Roman;sans-serif"/>
          <w:b w:val="false"/>
          <w:color w:val="000000"/>
          <w:sz w:val="20"/>
        </w:rPr>
        <w:t>See</w:t>
      </w:r>
      <w:r>
        <w:rPr>
          <w:color w:val="000000"/>
        </w:rPr>
        <w:t xml:space="preserve"> </w:t>
      </w:r>
      <w:r>
        <w:rPr>
          <w:rFonts w:ascii="Times New Roman;sans-serif" w:hAnsi="Times New Roman;sans-serif"/>
          <w:b w:val="false"/>
          <w:i/>
          <w:color w:val="000000"/>
          <w:sz w:val="20"/>
        </w:rPr>
        <w:t>Note 15. Segment and Geographic Information</w:t>
      </w:r>
      <w:r>
        <w:rPr>
          <w:rFonts w:ascii="Times New Roman;sans-serif" w:hAnsi="Times New Roman;sans-serif"/>
          <w:b w:val="false"/>
          <w:color w:val="000000"/>
          <w:sz w:val="20"/>
        </w:rPr>
        <w:t>, for details of revenues based on the location of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INVENTORIES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 consisted of the following:</w:t>
      </w:r>
    </w:p>
    <w:tbl>
      <w:tblPr>
        <w:tblW w:w="4737" w:type="dxa"/>
        <w:jc w:val="left"/>
        <w:tblInd w:w="0" w:type="dxa"/>
        <w:tblLayout w:type="fixed"/>
        <w:tblCellMar>
          <w:top w:w="28" w:type="dxa"/>
          <w:left w:w="28" w:type="dxa"/>
          <w:bottom w:w="28" w:type="dxa"/>
          <w:right w:w="28" w:type="dxa"/>
        </w:tblCellMar>
      </w:tblPr>
      <w:tblGrid>
        <w:gridCol w:w="582"/>
        <w:gridCol w:w="511"/>
        <w:gridCol w:w="512"/>
        <w:gridCol w:w="237"/>
        <w:gridCol w:w="891"/>
        <w:gridCol w:w="132"/>
        <w:gridCol w:w="109"/>
        <w:gridCol w:w="109"/>
        <w:gridCol w:w="109"/>
        <w:gridCol w:w="279"/>
        <w:gridCol w:w="1047"/>
        <w:gridCol w:w="219"/>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225,362 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223,729 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 net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445,418 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429,090 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5. GOODWILL AND OTHER INTANGIBLE ASSETS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for the three-month period ended March 31, 2025 were as follows:</w:t>
      </w:r>
    </w:p>
    <w:tbl>
      <w:tblPr>
        <w:tblW w:w="7258" w:type="dxa"/>
        <w:jc w:val="left"/>
        <w:tblInd w:w="0" w:type="dxa"/>
        <w:tblLayout w:type="fixed"/>
        <w:tblCellMar>
          <w:top w:w="28" w:type="dxa"/>
          <w:left w:w="28" w:type="dxa"/>
          <w:bottom w:w="28" w:type="dxa"/>
          <w:right w:w="28" w:type="dxa"/>
        </w:tblCellMar>
      </w:tblPr>
      <w:tblGrid>
        <w:gridCol w:w="870"/>
        <w:gridCol w:w="764"/>
        <w:gridCol w:w="765"/>
        <w:gridCol w:w="276"/>
        <w:gridCol w:w="1040"/>
        <w:gridCol w:w="154"/>
        <w:gridCol w:w="109"/>
        <w:gridCol w:w="109"/>
        <w:gridCol w:w="109"/>
        <w:gridCol w:w="285"/>
        <w:gridCol w:w="1071"/>
        <w:gridCol w:w="158"/>
        <w:gridCol w:w="109"/>
        <w:gridCol w:w="109"/>
        <w:gridCol w:w="109"/>
        <w:gridCol w:w="196"/>
        <w:gridCol w:w="871"/>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Codman Specialty </w:t>
              <w:br/>
              <w:t>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Tissue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at December 31, 2024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at March 31, 2025</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721,233 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384,153 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1,105,386 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000000"/>
          <w:sz w:val="20"/>
        </w:rPr>
        <w:t xml:space="preserve">In accordance with FASB Topic 350, </w:t>
      </w:r>
      <w:r>
        <w:rPr>
          <w:rFonts w:ascii="Times New Roman;sans-serif" w:hAnsi="Times New Roman;sans-serif"/>
          <w:b w:val="false"/>
          <w:i/>
          <w:color w:val="000000"/>
          <w:sz w:val="20"/>
        </w:rPr>
        <w:t xml:space="preserve">Intangibles—Goodwill and Other </w:t>
      </w:r>
      <w:r>
        <w:rPr>
          <w:rFonts w:ascii="Times New Roman;sans-serif" w:hAnsi="Times New Roman;sans-serif"/>
          <w:b w:val="false"/>
          <w:color w:val="000000"/>
          <w:sz w:val="20"/>
        </w:rPr>
        <w:t xml:space="preserve">(“ASC 350”), goodwill is not subject to amortization but is tested for impairment at the reporting unit level annually in the third quarter. Additionally, the Company may perform interim tests of goodwill for impairment if an event occurs or circumstances change that could potentially reduce the fair value of a reporting unit below its carrying amount. The carrying value of each reporting unit is determined by assigning the assets and liabilities, including the existing goodwill and intangible assets, to those reporting units.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uses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earnings before interest, taxes, depreciation, and amortization (“EBITDA”) multiples. Estimates and assumptions used in the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approach to calculate projected future discounted cash flows included revenue growth rates, cost of sales, terminal growth rates, and a discount rate for each reporting unit. Discount rates are determined using a weighted average cost of capital for risk factors specific to each reporting unit and other market and industry data. The assumptions used are inherently subject to uncertainty and slight changes in these assumptions could have a significant impact on the concluded value. The estimates and assumptions applied represent a Level 3 measurement in the fair value hierarchy. Level 3 inputs are supported by limited or no market activity and reflect the Company’s assumptions in measuring fair value.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2024, the Company elected to bypass the qualitative evaluations of its Tissue Technologies, Neurosurgery, and Instruments and ENT reporting units and perform quantitative tests. The quantitative test for the Tissue Technologies reporting unit utilized a terminal growth rate of 2.5% and a discount rate of 12.5% in the income approach. The Company determined, after performing the quantitative analysis, that the fair value of the Tissue Technologies reporting unit was not less than its carrying amount, with 21.2% headroom. The quantitative test for the Neurosurgery reporting unit utilized a terminal growth rate of 2.5% and a discount rate of 12.0% in the income approach. The Company determined, after performing the quantitative analysis, that the fair value of the Neurosurgery reporting unit was not less than its carrying amount, with 11.7% headroom. The quantitative test for the Instruments and ENT reporting unit utilized a terminal growth rate of 2.5% and a discount rate of 11.5% in the income approach. The Company determined, after performing the quantitative analysis, that the fair value of the Instruments and ENT reporting unit was not less than its carrying amount, with 22.1% headroom. Based on the results of these quantitative tests, the Company recorded no impairment of goodwill for Tissue Technologies, Neurosurgery, or Instruments and ENT reporting units.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performed a hypothetical sensitivity analysis of the fair value for each reporting unit by increasing the discount rate by 50 basis points, decreasing the terminal growth rate by 50 basis points, and holding all other assumptions constant, which resulted in a decrease to the estimated fair value of the Tissue Technology reporting unit by 4.5%, a decrease to the estimated fair value of the Neurosurgery reporting unit by 3.8%, and a decrease to the estimated fair value of the Instruments and ENT reporting unit by 3.5%. Based on the results of the hypothetical sensitivity analyses, the Company would still not have recorded an impairment of goodwill for Tissue Technologies, Neurosurgery, or Instruments and ENT reporting units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due to third-party audit findings and an update to the estimated timeframe to resume the commercial distribution of products manufactured in the Company’s manufacturing facility located in Boston, Massachusetts (the “Boston facility”), the Company elected to perform a quantitative analysis of its Tissue Technologies reporting unit. The quantitative test utilized a terminal growth rate of 2.0% and a discount rate of 14.5% in the income approach. An impairment loss is recognized when the reporting unit’s carrying amount exceeds its estimated fair value. The Company determined, after performing the quantitative analysis, that the fair value of the Tissue Technologies reporting unit was not less than its carrying amount, with 19.9% headroom.</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Other Intangible Assets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identifiable intangible assets were as follows:</w:t>
      </w:r>
    </w:p>
    <w:tbl>
      <w:tblPr>
        <w:tblW w:w="7195" w:type="dxa"/>
        <w:jc w:val="left"/>
        <w:tblInd w:w="0" w:type="dxa"/>
        <w:tblLayout w:type="fixed"/>
        <w:tblCellMar>
          <w:top w:w="28" w:type="dxa"/>
          <w:left w:w="28" w:type="dxa"/>
          <w:bottom w:w="28" w:type="dxa"/>
          <w:right w:w="28" w:type="dxa"/>
        </w:tblCellMar>
      </w:tblPr>
      <w:tblGrid>
        <w:gridCol w:w="692"/>
        <w:gridCol w:w="606"/>
        <w:gridCol w:w="607"/>
        <w:gridCol w:w="265"/>
        <w:gridCol w:w="265"/>
        <w:gridCol w:w="266"/>
        <w:gridCol w:w="109"/>
        <w:gridCol w:w="109"/>
        <w:gridCol w:w="109"/>
        <w:gridCol w:w="196"/>
        <w:gridCol w:w="871"/>
        <w:gridCol w:w="109"/>
        <w:gridCol w:w="109"/>
        <w:gridCol w:w="109"/>
        <w:gridCol w:w="109"/>
        <w:gridCol w:w="196"/>
        <w:gridCol w:w="811"/>
        <w:gridCol w:w="109"/>
        <w:gridCol w:w="109"/>
        <w:gridCol w:w="109"/>
        <w:gridCol w:w="109"/>
        <w:gridCol w:w="196"/>
        <w:gridCol w:w="871"/>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Completed technology</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Trademarks/brand names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Codman tradename</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1,187,535 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tbl>
      <w:tblPr>
        <w:tblW w:w="7195" w:type="dxa"/>
        <w:jc w:val="center"/>
        <w:tblInd w:w="0" w:type="dxa"/>
        <w:tblLayout w:type="fixed"/>
        <w:tblCellMar>
          <w:top w:w="28" w:type="dxa"/>
          <w:left w:w="28" w:type="dxa"/>
          <w:bottom w:w="28" w:type="dxa"/>
          <w:right w:w="28" w:type="dxa"/>
        </w:tblCellMar>
      </w:tblPr>
      <w:tblGrid>
        <w:gridCol w:w="692"/>
        <w:gridCol w:w="606"/>
        <w:gridCol w:w="607"/>
        <w:gridCol w:w="265"/>
        <w:gridCol w:w="265"/>
        <w:gridCol w:w="266"/>
        <w:gridCol w:w="109"/>
        <w:gridCol w:w="109"/>
        <w:gridCol w:w="109"/>
        <w:gridCol w:w="196"/>
        <w:gridCol w:w="871"/>
        <w:gridCol w:w="109"/>
        <w:gridCol w:w="109"/>
        <w:gridCol w:w="109"/>
        <w:gridCol w:w="109"/>
        <w:gridCol w:w="196"/>
        <w:gridCol w:w="811"/>
        <w:gridCol w:w="109"/>
        <w:gridCol w:w="109"/>
        <w:gridCol w:w="109"/>
        <w:gridCol w:w="109"/>
        <w:gridCol w:w="196"/>
        <w:gridCol w:w="871"/>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Completed technology</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Trademarks/brand names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Codman tradename</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Intangible Assets with Indefinite Lives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amortize intangible assets with indefinite lives but tests its intangible assets with indefinite lives for impairment annually in the third quarter in accordance with ASC 350. Additionally, the Company performs interim tests of its intangible assets with indefinite lives for impairment if an event occurs or circumstances change that could potentially reduce the fair value of a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2024, the Company elected to bypass the qualitative evaluation for its Codman trade name intangible asset and perform a quantitative test. In performing this test, the Company utilized a discount rate of 13.0%. The assumptions used in evaluating the Codman trade name for impairment are subject to change and are tracked against historical results by management. Based on the results of the quantitative test, the Company recorded no impairment to the Codman trade name intangible asset.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Intangible Assets with Definite Lives</w:t>
      </w:r>
    </w:p>
    <w:p>
      <w:pPr>
        <w:pStyle w:val="TextBody"/>
        <w:bidi w:val="0"/>
        <w:spacing w:lineRule="auto" w:line="288" w:before="120" w:after="120"/>
        <w:jc w:val="both"/>
        <w:rPr/>
      </w:pPr>
      <w:r>
        <w:rPr>
          <w:rFonts w:ascii="Times New Roman;sans-serif" w:hAnsi="Times New Roman;sans-serif"/>
          <w:b w:val="false"/>
          <w:color w:val="000000"/>
          <w:sz w:val="20"/>
        </w:rPr>
        <w:t xml:space="preserve">Developed technologies and other definite-lived intangible assets are amortized over their estimated useful lives either using the straight-line method or, if reliably determinable, based on the pattern of which the economic benefit of the asset is expected to be utilized. Definite-lived intangible assets are periodically evaluated for impairment in accordance with FASB Topic 360, </w:t>
      </w:r>
      <w:r>
        <w:rPr>
          <w:rFonts w:ascii="Times New Roman;sans-serif" w:hAnsi="Times New Roman;sans-serif"/>
          <w:b w:val="false"/>
          <w:i/>
          <w:color w:val="000000"/>
          <w:sz w:val="20"/>
        </w:rPr>
        <w:t>Property, Plant and Equipment</w:t>
      </w:r>
      <w:r>
        <w:rPr>
          <w:color w:val="000000"/>
        </w:rPr>
        <w:t xml:space="preserve"> </w:t>
      </w:r>
      <w:r>
        <w:rPr>
          <w:rFonts w:ascii="Times New Roman;sans-serif" w:hAnsi="Times New Roman;sans-serif"/>
          <w:b w:val="false"/>
          <w:color w:val="000000"/>
          <w:sz w:val="20"/>
        </w:rPr>
        <w:t xml:space="preserve">(“ASC 360”) whenever events or changes in circumstances indicate that a definite-lived intangible asset’s carrying value may not be recoverable.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amortization of intangible assets for the three months ended March 31, 2025 was $26.5 million. Of this amount, $22.8 million was related to amortization of technology based intangibles and included in cost of goods sold.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Total amortization of intangible assets for the three months ended March 31, 2024 was $27.7 million. Of this amount, $17.6 million was related to amortization of technology based intangibles and included in cost of goods sold. $7.1 million related to the impairment of a customer relationship intangible and the remainder were included in intangible amortization in the statement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quarter-end exchange rates, amortization expense (including amounts reported in cost of goods sold) is expected to be approximately $79.6 million for the remainder of 2025, $106.0 million in 2026, $105.0 million in 2027, $101.4 million in 2028, $96.2 million in 2029, $90.1 million in 2030 and $439.2 million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ans-serif" w:hAnsi="Times New Roman;sans-serif"/>
          <w:b w:val="false"/>
          <w:color w:val="000000"/>
          <w:sz w:val="20"/>
        </w:rPr>
        <w:t xml:space="preserve">In the first quarter of 2024, due to third-party audit findings and an update to the estimated timeframe to resume the commercial distribution of products manufactured in the Boston facility, the Company elected to perform quantitative impairment testing on certain definite-lived intangible assets including completed technology and customer relationships in accordance with FASB ASC Topic 360, </w:t>
      </w:r>
      <w:r>
        <w:rPr>
          <w:rFonts w:ascii="Times New Roman;sans-serif" w:hAnsi="Times New Roman;sans-serif"/>
          <w:b w:val="false"/>
          <w:i/>
          <w:color w:val="000000"/>
          <w:sz w:val="20"/>
        </w:rPr>
        <w:t>Property, Plant and Equipment</w:t>
      </w:r>
      <w:r>
        <w:rPr>
          <w:rFonts w:ascii="Times New Roman;sans-serif" w:hAnsi="Times New Roman;sans-serif"/>
          <w:b w:val="false"/>
          <w:color w:val="000000"/>
          <w:sz w:val="20"/>
        </w:rPr>
        <w:t xml:space="preserve">. The Company recorded an impairment charge related to the definite-lived intangible asset associated with the customer relationships of $7.1 million in intangible asset amortization in the consolidated statement of operations. With respect to the definite-lived intangible assets associated with the completed technology of SurgiMend® and PriMatrix®, the Company determined that the carrying amount of these definite-lived intangible assets were recoverable and, therefore, the intangible assets were not deemed to be impaired. In the second quarter of 2024, the Company approved a plan to transition the commercial distribution of SurgiMend and PriMatrix from the Boston facility to the Company’s manufacturing facility in Braintree, Massachusetts (the “Braintree facility”). The Company considered the impact to the update to the estimated timeframe to resume the commercial distribution of products manufactured in the Boston facility on the assumptions used in the quantitative assessment of the definite-lived intangible assets completed in the first quarter of 2024, which did not require further evaluation for impairment. The carrying values of SurgiMend and PriMatrix are $31.0 million and $23.3 million, respectively, as of March 31, 2025.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Potential Impact of Risks and Uncertainties on Management’s Estimates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recent tariff changes imposed by the U.S. and other countries have created increased risks and uncertainties surrounding the Company’s future results of operations. In April 2025, President Trump announced reciprocal tariffs on many countries with additional tariffs on the pharmaceutical industry to be announced in the near future. Certain countries, such as China, have responded with retaliatory tariffs. The assumptions used by the Company in its quantitative tests of goodwill and intangible assets are inherently subject to uncertainty and slight changes in these assumptions, including the extent and duration of any subsequent changes in U.S. import tariffs and reciprocal measures by China and the resulting impact on general economic conditions and on the Company’s business, could have a significant impact on the concluded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6. DEBT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Amendment to the Seventh Amended and Restated Senior Credit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2023, the Company entered into the March 2023 Amendment of the Senior Credit Facility with a syndicate of lending banks with Bank of America, N.A., as Administrative Agent. The March 2023 Amendment extended the maturity date to March 24, 2028, amended the contractual repayments of the term loan component, and amended the interest rate from LIBOR to SOFR-indexed interest. The Company continues to have the aggregate principal amount of up to approximately $2.1 billion available to it through the following facilities: (i) a $775 million term loan facility, and (ii) a $1.3 billion revolving credit facility, which includes a $60 million sublimit for the issuance of standby letters of credit and a $60 million sublimit for swingline loans. The terms of the Senior Credit Facility limit the amount of dividends the Company may pay. </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Company’s maximum Consolidated Total Leverage Ratio (as defined in the March 2023 Amendment) in the financial covenants is outlined below. Concurrent with the Durepair acquisition (see </w:t>
      </w:r>
      <w:r>
        <w:rPr>
          <w:rFonts w:ascii="Times New Roman;sans-serif" w:hAnsi="Times New Roman;sans-serif"/>
          <w:b w:val="false"/>
          <w:i/>
          <w:color w:val="000000"/>
          <w:sz w:val="20"/>
        </w:rPr>
        <w:t>Note 2. Acquisitions and Divestitures),</w:t>
      </w:r>
      <w:r>
        <w:rPr>
          <w:color w:val="000000"/>
        </w:rPr>
        <w:t xml:space="preserve"> </w:t>
      </w:r>
      <w:r>
        <w:rPr>
          <w:rFonts w:ascii="Times New Roman;sans-serif" w:hAnsi="Times New Roman;sans-serif"/>
          <w:b w:val="false"/>
          <w:color w:val="000000"/>
          <w:sz w:val="20"/>
        </w:rPr>
        <w:t xml:space="preserve">in accordance with the terms of the March 2023 Amendment, the Company elected to increase the maximum Consolidated Total Leverage Ratio to 5.00 from the fiscal quarter ending December 31, 2024 through the fiscal quarter ending September 30, 2025. </w:t>
      </w:r>
    </w:p>
    <w:tbl>
      <w:tblPr>
        <w:tblW w:w="8892" w:type="dxa"/>
        <w:jc w:val="center"/>
        <w:tblInd w:w="0" w:type="dxa"/>
        <w:tblLayout w:type="fixed"/>
        <w:tblCellMar>
          <w:top w:w="28" w:type="dxa"/>
          <w:left w:w="28" w:type="dxa"/>
          <w:bottom w:w="28" w:type="dxa"/>
          <w:right w:w="28" w:type="dxa"/>
        </w:tblCellMar>
      </w:tblPr>
      <w:tblGrid>
        <w:gridCol w:w="1772"/>
        <w:gridCol w:w="1560"/>
        <w:gridCol w:w="1573"/>
        <w:gridCol w:w="109"/>
        <w:gridCol w:w="109"/>
        <w:gridCol w:w="109"/>
        <w:gridCol w:w="1072"/>
        <w:gridCol w:w="1072"/>
        <w:gridCol w:w="1516"/>
      </w:tblGrid>
      <w:tr>
        <w:trPr/>
        <w:tc>
          <w:tcPr>
            <w:tcW w:w="177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Quarter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Consolidated Total Leverage Ratio</w:t>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2024 through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5.00 to 1.00</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2025 through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4.25 to 1.00</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30, 2026 and the last day of each fiscal quarter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4.00 to 1.00</w:t>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Senior Credit Facility bear interest, at the Company’s option, at a rate equal to the following:</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i.Term SOFR in effect from time to time plus 0.10% plus the applicable rate (ranging from 1.00% to 1.75%), or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highest of: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weighted average overnight Federal funds rate, as published by the Federal Reserve Bank of New York, plus 0.50%;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prime lending rate of Bank of America, N.A.; or</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one-month Term SOFR plus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applicable rates are based on the Company’s Consolidated Total Leverage Ratio (defined, as of any date of determination, as the ratio of (a) Consolidated Funded Indebtedness as of such date (as defined in the Seventh Amended and Restated Credit Agreement (the “Credit Agreement”)) less cash that is not subject to any restriction on the use or investment thereof to (b) Consolidated EBITDA (as defined by the Credit Agreement)), for the period of four consecutive fiscal quarters ending on such date.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pay an annual commitment fee (ranging from 0.15% to 0.30%), based on the Company’s consolidated total leverage ratio, on the amount available for borrowing under the revolving credit facility component of the Senior Credit Facility.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is collateralized by substantially all of the assets of the Company’s U.S. subsidiaries, excluding intangible assets. The Senior Credit Facility is subject to various financial and negative covenants and, at March 31, 2025, the Company was in compliance with all such covenants. The Company capitalized $7.6 million in deferred financing costs in connection with the modification of the Senior Credit Facility and wrote off $0.2 million of previously capitalized financing costs during the first quarter of 2023.</w:t>
      </w:r>
    </w:p>
    <w:p>
      <w:pPr>
        <w:pStyle w:val="TextBody"/>
        <w:bidi w:val="0"/>
        <w:spacing w:lineRule="auto" w:line="288" w:before="120" w:after="120"/>
        <w:jc w:val="both"/>
        <w:rPr/>
      </w:pPr>
      <w:r>
        <w:rPr>
          <w:rFonts w:ascii="Times New Roman;sans-serif" w:hAnsi="Times New Roman;sans-serif"/>
          <w:b w:val="false"/>
          <w:color w:val="000000"/>
          <w:sz w:val="20"/>
        </w:rPr>
        <w:t>At March 31, 2025 and December 31, 2024, there wa</w:t>
      </w:r>
      <w:r>
        <w:rPr>
          <w:rFonts w:ascii="Times New Roman;sans-serif" w:hAnsi="Times New Roman;sans-serif"/>
          <w:b w:val="false"/>
          <w:color w:val="000000"/>
          <w:sz w:val="20"/>
          <w:shd w:fill="FFFFFF" w:val="clear"/>
        </w:rPr>
        <w:t xml:space="preserve">s </w:t>
      </w:r>
      <w:r>
        <w:rPr>
          <w:rFonts w:ascii="Times New Roman;sans-serif" w:hAnsi="Times New Roman;sans-serif"/>
          <w:b w:val="false"/>
          <w:color w:val="000000"/>
          <w:sz w:val="20"/>
        </w:rPr>
        <w:t>$415.0 million</w:t>
      </w:r>
      <w:r>
        <w:rPr>
          <w:color w:val="000000"/>
          <w:shd w:fill="FFFFFF" w:val="clear"/>
        </w:rPr>
        <w:t xml:space="preserve"> </w:t>
      </w:r>
      <w:r>
        <w:rPr>
          <w:rFonts w:ascii="Times New Roman;sans-serif" w:hAnsi="Times New Roman;sans-serif"/>
          <w:b w:val="false"/>
          <w:color w:val="000000"/>
          <w:sz w:val="20"/>
          <w:shd w:fill="FFFFFF" w:val="clear"/>
        </w:rPr>
        <w:t>and $365.0 million, respectively, ou</w:t>
      </w:r>
      <w:r>
        <w:rPr>
          <w:rFonts w:ascii="Times New Roman;sans-serif" w:hAnsi="Times New Roman;sans-serif"/>
          <w:b w:val="false"/>
          <w:color w:val="000000"/>
          <w:sz w:val="20"/>
        </w:rPr>
        <w:t>tstanding under the revolving credit facility component of the Senior Credit Facility. At March 31, 2025 and December 31, 2024, there was $755.6 million and $760.5 million outstanding under the term loan component of the Senior Credit Facility at a weighted average interest rate of 5.9% and 6.0%, respectively. As of March 31, 2025 and December 31, 2024 there was $38.8 million and $33.9 million, respectively, of the term loan component of the Senior Credit Facility classified as current on the condensed consolidated balance sheet.</w:t>
      </w:r>
    </w:p>
    <w:p>
      <w:pPr>
        <w:pStyle w:val="TextBody"/>
        <w:bidi w:val="0"/>
        <w:spacing w:lineRule="auto" w:line="288" w:before="120" w:after="120"/>
        <w:jc w:val="both"/>
        <w:rPr/>
      </w:pPr>
      <w:r>
        <w:rPr>
          <w:rFonts w:ascii="Times New Roman;sans-serif" w:hAnsi="Times New Roman;sans-serif"/>
          <w:b w:val="false"/>
          <w:color w:val="000000"/>
          <w:sz w:val="20"/>
        </w:rPr>
        <w:t>The fair value of the term loan and revolving portion of the Senior Credit Facility at March 31, 2025</w:t>
      </w:r>
      <w:r>
        <w:rPr>
          <w:color w:val="000000"/>
          <w:shd w:fill="FFFFFF" w:val="clear"/>
        </w:rPr>
        <w:t xml:space="preserve"> </w:t>
      </w:r>
      <w:r>
        <w:rPr>
          <w:rFonts w:ascii="Times New Roman;sans-serif" w:hAnsi="Times New Roman;sans-serif"/>
          <w:b w:val="false"/>
          <w:color w:val="000000"/>
          <w:sz w:val="20"/>
          <w:shd w:fill="FFFFFF" w:val="clear"/>
        </w:rPr>
        <w:t>was</w:t>
      </w:r>
      <w:r>
        <w:rPr>
          <w:color w:val="000000"/>
        </w:rPr>
        <w:t xml:space="preserve"> </w:t>
      </w:r>
      <w:r>
        <w:rPr>
          <w:rFonts w:ascii="Times New Roman;sans-serif" w:hAnsi="Times New Roman;sans-serif"/>
          <w:b w:val="false"/>
          <w:color w:val="000000"/>
          <w:sz w:val="20"/>
        </w:rPr>
        <w:t>$743.5 million, and $407.8 million, respectively. The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w:t>
      </w:r>
      <w:r>
        <w:rPr>
          <w:rFonts w:ascii="Times New Roman;sans-serif" w:hAnsi="Times New Roman;sans-serif"/>
          <w:b w:val="false"/>
          <w:color w:val="000000"/>
          <w:sz w:val="20"/>
          <w:shd w:fill="FFFFFF" w:val="clear"/>
        </w:rPr>
        <w:t>nputs that reflect unadjusted quoted prices for identical assets or liabilities.</w:t>
      </w:r>
    </w:p>
    <w:p>
      <w:pPr>
        <w:pStyle w:val="TextBody"/>
        <w:bidi w:val="0"/>
        <w:spacing w:lineRule="auto" w:line="288" w:before="120" w:after="120"/>
        <w:jc w:val="left"/>
        <w:rPr/>
      </w:pPr>
      <w:r>
        <w:rPr>
          <w:rFonts w:ascii="Times New Roman;sans-serif" w:hAnsi="Times New Roman;sans-serif"/>
          <w:b w:val="false"/>
          <w:color w:val="000000"/>
          <w:sz w:val="20"/>
          <w:shd w:fill="FFFFFF" w:val="clear"/>
        </w:rPr>
        <w:t xml:space="preserve">Letters of credit outstanding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and December 31, 2024 to</w:t>
      </w:r>
      <w:r>
        <w:rPr>
          <w:rFonts w:ascii="Times New Roman;sans-serif" w:hAnsi="Times New Roman;sans-serif"/>
          <w:b w:val="false"/>
          <w:color w:val="000000"/>
          <w:sz w:val="20"/>
        </w:rPr>
        <w:t>taled $1.7 million. There were no amounts drawn under the letters of credit outstanding as of March 31, 2025.</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Contractual repayments of the term loan component of the Senior Credit Facility are due as follows:</w:t>
      </w:r>
    </w:p>
    <w:tbl>
      <w:tblPr>
        <w:tblW w:w="3852" w:type="dxa"/>
        <w:jc w:val="center"/>
        <w:tblInd w:w="0" w:type="dxa"/>
        <w:tblLayout w:type="fixed"/>
        <w:tblCellMar>
          <w:top w:w="28" w:type="dxa"/>
          <w:left w:w="28" w:type="dxa"/>
          <w:bottom w:w="28" w:type="dxa"/>
          <w:right w:w="28" w:type="dxa"/>
        </w:tblCellMar>
      </w:tblPr>
      <w:tblGrid>
        <w:gridCol w:w="635"/>
        <w:gridCol w:w="559"/>
        <w:gridCol w:w="561"/>
        <w:gridCol w:w="109"/>
        <w:gridCol w:w="109"/>
        <w:gridCol w:w="109"/>
        <w:gridCol w:w="319"/>
        <w:gridCol w:w="1200"/>
        <w:gridCol w:w="251"/>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Repayment</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755,625 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Future interest payments on the term loan component of the Senior Credit Facility based on current interest rates are expected to approximate $33.1 million for the remainder of 2025, $42.2 million in 2026, $39.7 million in 2027, and $8.7 million in 2028. Interest is calculated on the term loan portion of the Senior Credit Facility based on SOFR plus the certain amounts set forth in the Credit Agreement. As the revolving credit facility and Securitization Facility (defined below) can be repaid at any time, no interest has been included in the calculation.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outstanding borrowings on the revolving credit facility component of the Senior Credit Facility are due on March 24, 2028.</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2020, the Company issued $575.0 million aggregate principal amount of its 0.5% Convertible Senior Notes due 2025 (the “2025 Notes”) pursuant to an indenture, dated as of February 7, 2020 (the “Original Indenture”), between the Company and Citibank, N.A., as trustee. The 2025 Notes will mature on August 15, 2025 and bear interest at a rate of 0.5% per annum payable semi-annually in arrears, unless earlier converted, repurchased or redeemed in accordance with the terms of the 2025 Notes. In connection with this offering, the Company capitalized $13.2 million of financing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2025 Notes are senior, unsecured obligations of the Company, and are convertible into cash and shares of its common stock based on an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specified in the Original Indenture; (3) if the Company calls the notes for optional redemption as described in the Original Indenture; or (4) if specified corporate transactions occur. As of March 31, 2025, none of these conditions existed and the 2025 Notes are classified as current convertible securities on the consolidated balance sheet, as they are due within one year.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9, 2020, the Company entered into the first supplemental indenture to the Original Indenture (the “First Supplemental Indenture” and, together with Original Indenture, the “Indenture”), pursuant to which the Company irrevocably elected (1) to eliminate the Company’s option to choose physical settlement on any conversion of the 2025 Notes that occurs on or after the date of the First Supplemental Indenture and (2) with respect to any Combination Settlement (as defined in the First Supplemental Indenture) for a conversion of the 2025 Notes, the Specified Dollar Amount (as defined in the First Supplemental Indenture) that will be settled in cash per $1,000 principal amount of the 2025 Notes shall be no lower than $1,000.</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2025 Notes will have the right to require the Company to repurchase for cash all or a portion of their 2025 Notes at 100% of their principal amount, plus any accrued and unpaid interest, upon the occurrence of a fundamental change (as defined in the Indenture). The Company will also be required to increase the conversion rate for holders who convert their 2025 Notes in connection with certain Fundamental Changes (as defined in the Original Indenture) occurring prior to the maturity date or following delivery by the Company of a notice of redemption.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the carrying amount of the liability of the 2025 Notes w</w:t>
      </w:r>
      <w:r>
        <w:rPr>
          <w:rFonts w:ascii="Times New Roman;sans-serif" w:hAnsi="Times New Roman;sans-serif"/>
          <w:b w:val="false"/>
          <w:color w:val="000000"/>
          <w:sz w:val="20"/>
        </w:rPr>
        <w:t>as $575.0 million</w:t>
      </w:r>
      <w:r>
        <w:rPr>
          <w:rFonts w:ascii="Times New Roman;sans-serif" w:hAnsi="Times New Roman;sans-serif"/>
          <w:b w:val="false"/>
          <w:color w:val="000000"/>
          <w:sz w:val="20"/>
          <w:shd w:fill="FFFFFF" w:val="clear"/>
        </w:rPr>
        <w:t xml:space="preserve">. The fair value of the 2025 Notes at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$564.9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Factors that the Company considered when estimating the fair value of the 2025 Notes included recent quoted market prices or dealer quotes. The 2025 Notes are valued based on Level 1 measurements in the fair value hierarchy. Level 1 inputs represent </w:t>
      </w:r>
      <w:r>
        <w:rPr>
          <w:rFonts w:ascii="Times New Roman;sans-serif" w:hAnsi="Times New Roman;sans-serif"/>
          <w:b w:val="false"/>
          <w:color w:val="000000"/>
          <w:sz w:val="20"/>
          <w:shd w:fill="FFFFFF" w:val="clear"/>
        </w:rPr>
        <w:t>quoted prices in active markets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Securitization Facility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March 31, 2025, the Company was in compliance with the covenants and none of the termination events had occurred.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2023, the Company entered into an amendment (the “December 2023 Amendment”) of the Securitization Facility which extended the maturity date from May 28, 2024 to December 15, 2026. The Company incurred approximately $0.3 million of new issuance costs associated with the December 2023 Amendment which will be amortized over 3 years, the length of the Securitization Agreement as amended by the December 2023 Amendment. Due to the increase in borrowing capacity, the remaining $0.1 million of unamortized costs from the previous agreement will also be amortized over the length of the amended agreement, three years. In addition, on April 17, 2023 the Company entered into an amendment (the “April 2023 Amendment”) of the Securitization Facility and amended the interest rate from LIBOR to SOFR-indexed rate. The December 2023 Amendment and April 2023 Amendment did not increase the Company’s total indebtedness.</w:t>
      </w:r>
    </w:p>
    <w:p>
      <w:pPr>
        <w:pStyle w:val="TextBody"/>
        <w:bidi w:val="0"/>
        <w:spacing w:lineRule="auto" w:line="288" w:before="120" w:after="120"/>
        <w:jc w:val="both"/>
        <w:rPr/>
      </w:pPr>
      <w:r>
        <w:rPr>
          <w:rFonts w:ascii="Times New Roman;sans-serif" w:hAnsi="Times New Roman;sans-serif"/>
          <w:b w:val="false"/>
          <w:color w:val="000000"/>
          <w:sz w:val="20"/>
        </w:rPr>
        <w:t>At March 31, 2025 and December 31, 2024, the Company had $102.1 million and $108.1 million, respectively, of outstanding borrowings under its Securitization Facility at an interest rate of 5.4% and 5.4%, respectively. The fair value of the outstanding borrowing of the Securitization Facility at March 31, 2025 was $100.0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w:t>
      </w:r>
      <w:r>
        <w:rPr>
          <w:rFonts w:ascii="Times New Roman;sans-serif" w:hAnsi="Times New Roman;sans-serif"/>
          <w:b w:val="false"/>
          <w:color w:val="000000"/>
          <w:sz w:val="20"/>
          <w:shd w:fill="FFFFFF" w:val="clear"/>
        </w:rPr>
        <w:t>nputs that reflect unadjusted quoted prices for identical assets or liabilities.</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Estimated Fair Value of Debt Measurements</w:t>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carrying amounts and the estimated fair values of debt as of </w:t>
      </w:r>
      <w:r>
        <w:rPr>
          <w:rFonts w:ascii="Times New Roman;sans-serif" w:hAnsi="Times New Roman;sans-serif"/>
          <w:b w:val="false"/>
          <w:color w:val="000000"/>
          <w:sz w:val="20"/>
        </w:rPr>
        <w:t xml:space="preserve">March 31, 2025 and December 31, 2024 </w:t>
      </w:r>
      <w:r>
        <w:rPr>
          <w:rFonts w:ascii="Times New Roman;sans-serif" w:hAnsi="Times New Roman;sans-serif"/>
          <w:b w:val="false"/>
          <w:color w:val="000000"/>
          <w:sz w:val="20"/>
          <w:shd w:fill="FFFFFF" w:val="clear"/>
        </w:rPr>
        <w:t>are as follows:</w:t>
      </w:r>
    </w:p>
    <w:tbl>
      <w:tblPr>
        <w:tblW w:w="10205" w:type="dxa"/>
        <w:jc w:val="left"/>
        <w:tblInd w:w="0" w:type="dxa"/>
        <w:tblLayout w:type="fixed"/>
        <w:tblCellMar>
          <w:top w:w="28" w:type="dxa"/>
          <w:left w:w="28" w:type="dxa"/>
          <w:bottom w:w="28" w:type="dxa"/>
          <w:right w:w="28" w:type="dxa"/>
        </w:tblCellMar>
      </w:tblPr>
      <w:tblGrid>
        <w:gridCol w:w="996"/>
        <w:gridCol w:w="823"/>
        <w:gridCol w:w="824"/>
        <w:gridCol w:w="595"/>
        <w:gridCol w:w="595"/>
        <w:gridCol w:w="596"/>
        <w:gridCol w:w="211"/>
        <w:gridCol w:w="941"/>
        <w:gridCol w:w="117"/>
        <w:gridCol w:w="265"/>
        <w:gridCol w:w="1180"/>
        <w:gridCol w:w="147"/>
        <w:gridCol w:w="211"/>
        <w:gridCol w:w="941"/>
        <w:gridCol w:w="117"/>
        <w:gridCol w:w="262"/>
        <w:gridCol w:w="1169"/>
        <w:gridCol w:w="215"/>
      </w:tblGrid>
      <w:tr>
        <w:trPr/>
        <w:tc>
          <w:tcPr>
            <w:tcW w:w="99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29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w:t>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2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credit facility - term loan</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743,524 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760,469 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751,143 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credit facility - revolving component</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407,798 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360,144 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564,938 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555,594 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100,049 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105,831 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1,847,725 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1,816,309 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1,808,569 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1,772,712 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1,843,290 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1,816,309 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1,803,093 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1,772,712 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7. DERIVATIVE INSTRUMENTS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Rate Hedging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Additionally, the Company entered into a basis swap where the Company receives Term SOFR and pays daily compounded SOFR to convert the portfolio of swaps from daily compounded SOFR to Term SOFR.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the following interest rate swaps as of March 31, 2025 and December 31, 2024 (dollar amounts in thousands):</w:t>
      </w:r>
    </w:p>
    <w:tbl>
      <w:tblPr>
        <w:tblW w:w="11690"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96"/>
        <w:gridCol w:w="871"/>
        <w:gridCol w:w="109"/>
        <w:gridCol w:w="109"/>
        <w:gridCol w:w="109"/>
        <w:gridCol w:w="109"/>
        <w:gridCol w:w="196"/>
        <w:gridCol w:w="871"/>
        <w:gridCol w:w="109"/>
        <w:gridCol w:w="109"/>
        <w:gridCol w:w="109"/>
        <w:gridCol w:w="109"/>
        <w:gridCol w:w="340"/>
        <w:gridCol w:w="340"/>
        <w:gridCol w:w="341"/>
        <w:gridCol w:w="109"/>
        <w:gridCol w:w="109"/>
        <w:gridCol w:w="109"/>
        <w:gridCol w:w="315"/>
        <w:gridCol w:w="255"/>
        <w:gridCol w:w="256"/>
        <w:gridCol w:w="109"/>
        <w:gridCol w:w="109"/>
        <w:gridCol w:w="109"/>
        <w:gridCol w:w="355"/>
        <w:gridCol w:w="355"/>
        <w:gridCol w:w="356"/>
        <w:gridCol w:w="109"/>
        <w:gridCol w:w="109"/>
        <w:gridCol w:w="109"/>
        <w:gridCol w:w="361"/>
        <w:gridCol w:w="195"/>
        <w:gridCol w:w="382"/>
        <w:gridCol w:w="109"/>
        <w:gridCol w:w="109"/>
        <w:gridCol w:w="109"/>
        <w:gridCol w:w="196"/>
        <w:gridCol w:w="646"/>
        <w:gridCol w:w="109"/>
        <w:gridCol w:w="109"/>
        <w:gridCol w:w="109"/>
        <w:gridCol w:w="109"/>
        <w:gridCol w:w="196"/>
        <w:gridCol w:w="646"/>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Designation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 (Liability)</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10,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10,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10,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18,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18,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15,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15,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Basis Swap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9" w:type="dxa"/>
            <w:gridSpan w:val="4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notional of the basis swap amortizes to match the total notional of the interest rate swap portfolio over time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swaps were carried on the consolidated balance sheet at fair value and changes in the fair values were recorded as unrealized gains or losses in accumulated other comprehensive income (“AOCI”). For the three months ended March 31, 2025 and 2024 the Company recorded a loss of $(7.5) million and a gain of $14.7 million, respectively, in AOCI related to the change in fair value of the interest rate swaps.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Company recorded gains of $1.4 million and $5.2 million, respectively, in the consolidated statements of operations related to the interest rate differential of the interest rate swaps. The estimated gain that is expected to be reclassified to interest income from AOCI as of March 31, 2025 within the next twelve months is $13.9 million.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Foreign Currency Hedging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Cross-Currency Rate Swaps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(“CHFs”) and receive interest in U.S. dollars. Upon the maturity of these contracts, the Company will pay the principal amount of the loans in CHFs and receive U.S. dollars from the counterparties.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principal payments of CHF 5.8 million plus accrued interest. As a result, the aggregate notional amount of the related cross-currency swaps will decrease by a corresponding amount.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2025, the Company amended the CHF-denominated intercompany loan to extend the maturity to December 2030. Concurrently, the Company amended the cross-currency swap agreement, with a notional amount of $368.4 million, equivalent to CHF 328.1 million, to extend the maturity to December 2030.</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the following cross-currency rate swaps as of March 31, 2025 and December 31, 2024 (dollar amounts in thousands):</w:t>
      </w:r>
    </w:p>
    <w:tbl>
      <w:tblPr>
        <w:tblW w:w="10205" w:type="dxa"/>
        <w:jc w:val="center"/>
        <w:tblInd w:w="0" w:type="dxa"/>
        <w:tblLayout w:type="fixed"/>
        <w:tblCellMar>
          <w:top w:w="28" w:type="dxa"/>
          <w:left w:w="28" w:type="dxa"/>
          <w:bottom w:w="28" w:type="dxa"/>
          <w:right w:w="28" w:type="dxa"/>
        </w:tblCellMar>
      </w:tblPr>
      <w:tblGrid>
        <w:gridCol w:w="313"/>
        <w:gridCol w:w="262"/>
        <w:gridCol w:w="199"/>
        <w:gridCol w:w="109"/>
        <w:gridCol w:w="109"/>
        <w:gridCol w:w="109"/>
        <w:gridCol w:w="354"/>
        <w:gridCol w:w="307"/>
        <w:gridCol w:w="309"/>
        <w:gridCol w:w="109"/>
        <w:gridCol w:w="109"/>
        <w:gridCol w:w="109"/>
        <w:gridCol w:w="386"/>
        <w:gridCol w:w="386"/>
        <w:gridCol w:w="387"/>
        <w:gridCol w:w="109"/>
        <w:gridCol w:w="109"/>
        <w:gridCol w:w="109"/>
        <w:gridCol w:w="203"/>
        <w:gridCol w:w="203"/>
        <w:gridCol w:w="205"/>
        <w:gridCol w:w="109"/>
        <w:gridCol w:w="109"/>
        <w:gridCol w:w="109"/>
        <w:gridCol w:w="155"/>
        <w:gridCol w:w="155"/>
        <w:gridCol w:w="156"/>
        <w:gridCol w:w="429"/>
        <w:gridCol w:w="333"/>
        <w:gridCol w:w="254"/>
        <w:gridCol w:w="460"/>
        <w:gridCol w:w="338"/>
        <w:gridCol w:w="339"/>
        <w:gridCol w:w="109"/>
        <w:gridCol w:w="109"/>
        <w:gridCol w:w="109"/>
        <w:gridCol w:w="206"/>
        <w:gridCol w:w="714"/>
        <w:gridCol w:w="115"/>
        <w:gridCol w:w="109"/>
        <w:gridCol w:w="109"/>
        <w:gridCol w:w="109"/>
        <w:gridCol w:w="222"/>
        <w:gridCol w:w="668"/>
        <w:gridCol w:w="185"/>
      </w:tblGrid>
      <w:tr>
        <w:trPr/>
        <w:tc>
          <w:tcPr>
            <w:tcW w:w="31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11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br/>
              <w:t>Asset (Liability)</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CHF</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328,136 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(4,367)</w:t>
            </w:r>
          </w:p>
        </w:tc>
        <w:tc>
          <w:tcPr>
            <w:tcW w:w="18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368,362 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5"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85"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20, 2025</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CHF</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322,387 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(16,092)</w:t>
            </w:r>
          </w:p>
        </w:tc>
        <w:tc>
          <w:tcPr>
            <w:tcW w:w="11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15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361,907 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5"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85"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(16,092)</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(4,367)</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cross-currency swaps designated as cash flow hedges are carried on the consolidated balance sheet at fair value, and changes in the fair values are recorded as unrealized gains or losses in AOCI. For the three months ended March 31, 2025 and 2024 the Company recorded a loss of $(10.0) million and a gain of $29.5 million, respectively, in AOCI related to change in fair value of the cross-currency swaps.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the Company recorded a loss of $(9.4) million and a gain of $30.1 million, respectively, in other income, net related to change in fair value related to the foreign currency rate translation to offset the gains and losses, respectively, recognized on the intercompany loans.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the Company recorded gains of $1.2 million and $1.3 million, respectively, in other income, net included in the consolidated statements of operations related to the interest rate differential of the cross-currency swaps.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gain that is expected to be reclassified to other income (expense), net from AOCI as of March 31, 2025 within the next twelve months is $7.8 million. As of March 31, 2025, the Company does not expect any gains or losses will be reclassified into earnings because the original forecasted transactions will not occur.</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2025, the Company entered into a cross-currency swap agreement with a notional amount of CHF 67.8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the following cross-currency rate swaps designated as net investment hedges as of March 31, 2025 and December 31, 2024, respectively (dollar amounts in thousands):</w:t>
      </w:r>
    </w:p>
    <w:tbl>
      <w:tblPr>
        <w:tblW w:w="10205" w:type="dxa"/>
        <w:jc w:val="center"/>
        <w:tblInd w:w="0" w:type="dxa"/>
        <w:tblLayout w:type="fixed"/>
        <w:tblCellMar>
          <w:top w:w="28" w:type="dxa"/>
          <w:left w:w="28" w:type="dxa"/>
          <w:bottom w:w="28" w:type="dxa"/>
          <w:right w:w="28" w:type="dxa"/>
        </w:tblCellMar>
      </w:tblPr>
      <w:tblGrid>
        <w:gridCol w:w="301"/>
        <w:gridCol w:w="249"/>
        <w:gridCol w:w="178"/>
        <w:gridCol w:w="109"/>
        <w:gridCol w:w="109"/>
        <w:gridCol w:w="109"/>
        <w:gridCol w:w="364"/>
        <w:gridCol w:w="284"/>
        <w:gridCol w:w="285"/>
        <w:gridCol w:w="109"/>
        <w:gridCol w:w="109"/>
        <w:gridCol w:w="109"/>
        <w:gridCol w:w="373"/>
        <w:gridCol w:w="373"/>
        <w:gridCol w:w="374"/>
        <w:gridCol w:w="109"/>
        <w:gridCol w:w="109"/>
        <w:gridCol w:w="109"/>
        <w:gridCol w:w="190"/>
        <w:gridCol w:w="190"/>
        <w:gridCol w:w="191"/>
        <w:gridCol w:w="109"/>
        <w:gridCol w:w="109"/>
        <w:gridCol w:w="109"/>
        <w:gridCol w:w="155"/>
        <w:gridCol w:w="155"/>
        <w:gridCol w:w="156"/>
        <w:gridCol w:w="429"/>
        <w:gridCol w:w="321"/>
        <w:gridCol w:w="232"/>
        <w:gridCol w:w="109"/>
        <w:gridCol w:w="109"/>
        <w:gridCol w:w="109"/>
        <w:gridCol w:w="453"/>
        <w:gridCol w:w="316"/>
        <w:gridCol w:w="317"/>
        <w:gridCol w:w="109"/>
        <w:gridCol w:w="109"/>
        <w:gridCol w:w="109"/>
        <w:gridCol w:w="429"/>
        <w:gridCol w:w="255"/>
        <w:gridCol w:w="232"/>
        <w:gridCol w:w="109"/>
        <w:gridCol w:w="109"/>
        <w:gridCol w:w="109"/>
        <w:gridCol w:w="401"/>
        <w:gridCol w:w="291"/>
        <w:gridCol w:w="422"/>
      </w:tblGrid>
      <w:tr>
        <w:trPr/>
        <w:tc>
          <w:tcPr>
            <w:tcW w:w="30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br/>
              <w:t>Asset (Liability)</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3,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EUR</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38,820 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38,820 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3,026 </w:t>
            </w:r>
          </w:p>
        </w:tc>
        <w:tc>
          <w:tcPr>
            <w:tcW w:w="23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4,827 </w:t>
            </w:r>
          </w:p>
        </w:tc>
        <w:tc>
          <w:tcPr>
            <w:tcW w:w="42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23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422"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16,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CHF</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240,175 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240,175 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(30,561)</w:t>
            </w:r>
          </w:p>
        </w:tc>
        <w:tc>
          <w:tcPr>
            <w:tcW w:w="23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(27,951)</w:t>
            </w:r>
          </w:p>
        </w:tc>
        <w:tc>
          <w:tcPr>
            <w:tcW w:w="42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23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422"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17,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CHF</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66,525 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66,525 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w:t>
            </w:r>
          </w:p>
        </w:tc>
        <w:tc>
          <w:tcPr>
            <w:tcW w:w="23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w:t>
            </w:r>
          </w:p>
        </w:tc>
        <w:tc>
          <w:tcPr>
            <w:tcW w:w="42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23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422"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18,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CHF</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68,483 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68,483 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w:t>
            </w:r>
          </w:p>
        </w:tc>
        <w:tc>
          <w:tcPr>
            <w:tcW w:w="23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(4,741)</w:t>
            </w:r>
          </w:p>
        </w:tc>
        <w:tc>
          <w:tcPr>
            <w:tcW w:w="42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23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422"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CHF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15,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CHF</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w:t>
            </w:r>
          </w:p>
        </w:tc>
        <w:tc>
          <w:tcPr>
            <w:tcW w:w="23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23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422"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(37,179)</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(31,113)</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cross-currency swaps were carried on the consolidated balance sheet at fair value and changes in the fair values were recorded as unrealized gains or losses in AOCI. For the three months ended March 31, 2025 and 2024, the Company recorded a loss of $(3.4) million and a gain of $24.9 million, respectively, in AOCI related to the change in fair value of the cross-currency swaps.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the Company recorded gains of $2.6 million and $2.2 million, respectively, in interest income included in the consolidated statements of operations related to the interest rate differential of the cross-currency swaps.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gain that is expected to be reclassified to interest income from AOCI as of March 31, 2025 within the next twelve months is $10.9 million.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Foreign Currency Forward Contracts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forward contracts designated as cash flow hedges for forecasted purchases in foreign currencies, primarily CHF denominated intercompany purchases. To the extent these forward contracts meet hedge accounting criteria, changes in their fair value are not included in accumulated comprehensive loss. These changes in fair value will be recognized into earnings as a component of cost of sales when the forecasted-transaction occurs. These contracts typically settle at various dates within twelve months of execution. As of March 31, 2025 the notional amount of foreign currency forward contracts was CHF 15.5 million.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the Company recorded a gain of $0.4 million and a loss of $(0.6) million, respectively, in AOCI related to the change in fair value of the foreign currency forward contracts.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Company recorded an immaterial gain and a loss of $(0.1) million, respectively, in other income and cost of goods sold included in the consolidated statements of operations related to the amortization of forward points and rate translation on the foreign currency forward contracts.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Counterparty Credit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Fair Value of Derivative Instruments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for derivatives designated as hedging instruments in the condensed consolidated balance sheets as of March 31, 2025 and December 31, 2024:</w:t>
      </w:r>
    </w:p>
    <w:tbl>
      <w:tblPr>
        <w:tblW w:w="7958" w:type="dxa"/>
        <w:jc w:val="left"/>
        <w:tblInd w:w="0" w:type="dxa"/>
        <w:tblLayout w:type="fixed"/>
        <w:tblCellMar>
          <w:top w:w="28" w:type="dxa"/>
          <w:left w:w="28" w:type="dxa"/>
          <w:bottom w:w="28" w:type="dxa"/>
          <w:right w:w="28" w:type="dxa"/>
        </w:tblCellMar>
      </w:tblPr>
      <w:tblGrid>
        <w:gridCol w:w="1470"/>
        <w:gridCol w:w="1294"/>
        <w:gridCol w:w="1300"/>
        <w:gridCol w:w="109"/>
        <w:gridCol w:w="109"/>
        <w:gridCol w:w="109"/>
        <w:gridCol w:w="259"/>
        <w:gridCol w:w="856"/>
        <w:gridCol w:w="144"/>
        <w:gridCol w:w="109"/>
        <w:gridCol w:w="109"/>
        <w:gridCol w:w="109"/>
        <w:gridCol w:w="309"/>
        <w:gridCol w:w="1019"/>
        <w:gridCol w:w="172"/>
        <w:gridCol w:w="109"/>
        <w:gridCol w:w="109"/>
        <w:gridCol w:w="109"/>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Location on Balance Sheet </w:t>
            </w:r>
            <w:r>
              <w:rPr>
                <w:rFonts w:ascii="Times New Roman;sans-serif" w:hAnsi="Times New Roman;sans-serif"/>
                <w:b/>
                <w:color w:val="000000"/>
                <w:sz w:val="10"/>
              </w:rPr>
              <w:t>(1)</w:t>
            </w: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hedges —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derivatives designated as hedges —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58,507 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59,227 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hedges —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derivatives designated as hedges —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71,864 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46,827 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The Company classifies derivative assets and liabilities as current based on the cash flows expected to be incurred within the following 12 months.</w:t>
      </w:r>
    </w:p>
    <w:p>
      <w:pPr>
        <w:pStyle w:val="TextBody"/>
        <w:bidi w:val="0"/>
        <w:spacing w:before="0" w:after="24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effect of derivative instruments designated as cash flow hedges and net investment hedges on the accompanying condensed consolidated statement of operations during the three months ended March 31, 2025 and 2024:</w:t>
      </w:r>
    </w:p>
    <w:tbl>
      <w:tblPr>
        <w:tblW w:w="10205" w:type="dxa"/>
        <w:jc w:val="left"/>
        <w:tblInd w:w="0" w:type="dxa"/>
        <w:tblLayout w:type="fixed"/>
        <w:tblCellMar>
          <w:top w:w="28" w:type="dxa"/>
          <w:left w:w="28" w:type="dxa"/>
          <w:bottom w:w="28" w:type="dxa"/>
          <w:right w:w="28" w:type="dxa"/>
        </w:tblCellMar>
      </w:tblPr>
      <w:tblGrid>
        <w:gridCol w:w="855"/>
        <w:gridCol w:w="566"/>
        <w:gridCol w:w="567"/>
        <w:gridCol w:w="289"/>
        <w:gridCol w:w="975"/>
        <w:gridCol w:w="162"/>
        <w:gridCol w:w="109"/>
        <w:gridCol w:w="109"/>
        <w:gridCol w:w="109"/>
        <w:gridCol w:w="237"/>
        <w:gridCol w:w="801"/>
        <w:gridCol w:w="133"/>
        <w:gridCol w:w="109"/>
        <w:gridCol w:w="109"/>
        <w:gridCol w:w="109"/>
        <w:gridCol w:w="327"/>
        <w:gridCol w:w="1081"/>
        <w:gridCol w:w="184"/>
        <w:gridCol w:w="109"/>
        <w:gridCol w:w="109"/>
        <w:gridCol w:w="109"/>
        <w:gridCol w:w="289"/>
        <w:gridCol w:w="975"/>
        <w:gridCol w:w="162"/>
        <w:gridCol w:w="109"/>
        <w:gridCol w:w="109"/>
        <w:gridCol w:w="109"/>
        <w:gridCol w:w="377"/>
        <w:gridCol w:w="377"/>
        <w:gridCol w:w="540"/>
      </w:tblGrid>
      <w:tr>
        <w:trPr/>
        <w:tc>
          <w:tcPr>
            <w:tcW w:w="85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in AOCI</w:t>
              <w:br/>
              <w:t>Beginning of</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w:t>
              <w:br/>
              <w:t>Gain (Loss)</w:t>
              <w:br/>
              <w:t>Recognized in</w:t>
              <w:b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Gain (Loss)</w:t>
              <w:br/>
              <w:t>Reclassified from</w:t>
              <w:br/>
              <w:t>AOCI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in AOCI</w:t>
              <w:br/>
              <w:t>End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in</w:t>
              <w:br/>
              <w:t>Statements of</w:t>
              <w:br/>
              <w:t>Operations</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(45,498)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68,546 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38,784 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Derivative Instruments not Designated Hedges: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and 2025 the Company entered into foreign currency forward contracts to mitigate risk from the fluctuations in foreign currency exchange rates associated with intercompany balances in Chinese yuan (“CNH”) and CHF. These contracts typically settle at various dates within twelve months of execution. As of March 31, 2025, the notional amounts totaled CNH 150.0 million and CHF 20.0 million, equivalent to $20.8 million and $22.9 million, respectively.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entered into a foreign currency swap, with a notional amount of 800.0 million JPY, equivalent to $7.3 million, to mitigate the risk from fluctuations in foreign currency exchange rates associated with an intercompany loan denominated in Japanese yen.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JPY 500.0 million, equivalent to $4.6 million as of March 31, 2025.</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foreign currency swaps not designated as hedges was $1.6 million and $1.7 million as of March 31, 2025 and December 31, 2024, respectively.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gains on derivative instruments not designated as hedges on the condensed consolidated statements of income, which was included in other income:</w:t>
      </w:r>
    </w:p>
    <w:tbl>
      <w:tblPr>
        <w:tblW w:w="6010" w:type="dxa"/>
        <w:jc w:val="center"/>
        <w:tblInd w:w="0" w:type="dxa"/>
        <w:tblLayout w:type="fixed"/>
        <w:tblCellMar>
          <w:top w:w="28" w:type="dxa"/>
          <w:left w:w="28" w:type="dxa"/>
          <w:bottom w:w="28" w:type="dxa"/>
          <w:right w:w="28" w:type="dxa"/>
        </w:tblCellMar>
      </w:tblPr>
      <w:tblGrid>
        <w:gridCol w:w="952"/>
        <w:gridCol w:w="835"/>
        <w:gridCol w:w="837"/>
        <w:gridCol w:w="109"/>
        <w:gridCol w:w="109"/>
        <w:gridCol w:w="109"/>
        <w:gridCol w:w="284"/>
        <w:gridCol w:w="610"/>
        <w:gridCol w:w="158"/>
        <w:gridCol w:w="158"/>
        <w:gridCol w:w="158"/>
        <w:gridCol w:w="158"/>
        <w:gridCol w:w="284"/>
        <w:gridCol w:w="610"/>
        <w:gridCol w:w="158"/>
        <w:gridCol w:w="109"/>
        <w:gridCol w:w="109"/>
        <w:gridCol w:w="109"/>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8. STOCK-BASED COMPENSATION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stock options, restricted stock awards, performance stock awards, contract stock awards and restricted stock unit awards outstanding under the Integra LifeSciences Holdings Corporation Fifth Amended and Restated 2003 Equity Incentive Plan, as amended (the “2003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2003 Plan vests over specified periods, generally three years after the date of grant. The vesting of performance stock issued under the 2003 Plan is subject to service and performance conditions.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were approximately $4.6 million of total unrecognized compensation costs related to unvested stock options. These costs are expected to be recognized over a weighted-average period of approximately three years. There were 395,252 stock options granted during the three months ended March 31, 2025. For the three months ended March 31, 2025, the weighted average grant date fair value for stock options granted was $10.77 per option.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Awards of Restricted Stock and Performance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March 31, 2025, there was approximately $46.6 million of total unrecognized compensation costs related to these unvested awards. The Company expects to recognize these costs over a weighted-average period of approximately two years. The Company granted 752,668 restricted stock awards and 395,781 performance stock awards during the three months ended March 31, 2025. For the three months ended March 31, 2025, the weighted average grant date fair value for restricted stock awards and performance stock units granted was $23.76 and $23.95 per award, respectively.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9. RETIREMENT PLANS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defined benefit plans which cover certain employees in France, Japan, Germany and Switzerland.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costs for the Company’s defined benefit pension plans for the three months ended March 31, 2025 were $0.4 million. The components of the net periodic benefit costs other than the service cost component of $0.8 million for the three months ended March 31, 2025 are included in other income, net in the consolidated statements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costs for the Company’s defined benefit pension plans for the three months ended March 31, 2024 were $0.4 million. The components of the net periodic benefit costs other than the service cost component of $0.8 million for the three months ended March 31, 2024 are included in other income, net in the consolidated statements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plan assets were $54.4 million and $51.8 million as of March 31, 2025 and December 31, 2024, respectively. The net plan assets of the pension plans are invested in common trusts as of March 31, 2025 and December 31, 2024.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Deferred Compensation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deferred compensation plan in which certain employees of the Company may defer the payment and taxation of up to 75% of their base salary and up to 100% of bonus amounts and other eligible cash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$6.8 million and $6.7 million as of March 31, 2025 and December 31, 2024, respectively. Offsetting liabilities relating to the deferred compensation plan are included in other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10. LEASES AND RELATED PARTY LEASES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administrative, manufacturing, research and distribution facilities, and vehicles through operating lease agreements. The Company has no finance leases as of March 31, 2025. Many of the Company’s leases include both lease (e.g., fixed payments including rent) and non-lease components (e.g., common-area or other maintenance costs). For vehicles, the Company has elected the practical expedient to group lease and non-lease components.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most of the Company’s leases do not provide an implicit rate, the Company uses a collateralized incremental borrowing rate based on the information available at the lease commencement date in determining the present value of the lease payments.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lease expense for the three months ended March 31, 2025 and March 31, 2024 was $5.9 million and $6.3 million, respectively, which includes $0.1 million, in related party operating lease expense.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operating leases were as follows:</w:t>
      </w:r>
    </w:p>
    <w:tbl>
      <w:tblPr>
        <w:tblW w:w="7601" w:type="dxa"/>
        <w:jc w:val="center"/>
        <w:tblInd w:w="0" w:type="dxa"/>
        <w:tblLayout w:type="fixed"/>
        <w:tblCellMar>
          <w:top w:w="28" w:type="dxa"/>
          <w:left w:w="28" w:type="dxa"/>
          <w:bottom w:w="28" w:type="dxa"/>
          <w:right w:w="28" w:type="dxa"/>
        </w:tblCellMar>
      </w:tblPr>
      <w:tblGrid>
        <w:gridCol w:w="1461"/>
        <w:gridCol w:w="1282"/>
        <w:gridCol w:w="1291"/>
        <w:gridCol w:w="109"/>
        <w:gridCol w:w="109"/>
        <w:gridCol w:w="109"/>
        <w:gridCol w:w="109"/>
        <w:gridCol w:w="208"/>
        <w:gridCol w:w="781"/>
        <w:gridCol w:w="271"/>
        <w:gridCol w:w="109"/>
        <w:gridCol w:w="109"/>
        <w:gridCol w:w="109"/>
        <w:gridCol w:w="245"/>
        <w:gridCol w:w="922"/>
        <w:gridCol w:w="377"/>
      </w:tblGrid>
      <w:tr>
        <w:trPr/>
        <w:tc>
          <w:tcPr>
            <w:tcW w:w="146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lease term and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144,042 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166,930 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181,470 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years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years</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for the three months ended March 31, 2025 and 2024 were as follows:</w:t>
      </w:r>
    </w:p>
    <w:tbl>
      <w:tblPr>
        <w:tblW w:w="8261" w:type="dxa"/>
        <w:jc w:val="center"/>
        <w:tblInd w:w="0" w:type="dxa"/>
        <w:tblLayout w:type="fixed"/>
        <w:tblCellMar>
          <w:top w:w="28" w:type="dxa"/>
          <w:left w:w="28" w:type="dxa"/>
          <w:bottom w:w="28" w:type="dxa"/>
          <w:right w:w="28" w:type="dxa"/>
        </w:tblCellMar>
      </w:tblPr>
      <w:tblGrid>
        <w:gridCol w:w="1948"/>
        <w:gridCol w:w="1709"/>
        <w:gridCol w:w="1713"/>
        <w:gridCol w:w="287"/>
        <w:gridCol w:w="814"/>
        <w:gridCol w:w="159"/>
        <w:gridCol w:w="109"/>
        <w:gridCol w:w="109"/>
        <w:gridCol w:w="109"/>
        <w:gridCol w:w="282"/>
        <w:gridCol w:w="801"/>
        <w:gridCol w:w="221"/>
      </w:tblGrid>
      <w:tr>
        <w:trPr/>
        <w:tc>
          <w:tcPr>
            <w:tcW w:w="194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lease liabilities, net of modifications: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operating leases at March 31, 2025 were as follows:</w:t>
      </w:r>
    </w:p>
    <w:tbl>
      <w:tblPr>
        <w:tblW w:w="6328" w:type="dxa"/>
        <w:jc w:val="left"/>
        <w:tblInd w:w="0" w:type="dxa"/>
        <w:tblLayout w:type="fixed"/>
        <w:tblCellMar>
          <w:top w:w="28" w:type="dxa"/>
          <w:left w:w="28" w:type="dxa"/>
          <w:bottom w:w="28" w:type="dxa"/>
          <w:right w:w="28" w:type="dxa"/>
        </w:tblCellMar>
      </w:tblPr>
      <w:tblGrid>
        <w:gridCol w:w="838"/>
        <w:gridCol w:w="735"/>
        <w:gridCol w:w="737"/>
        <w:gridCol w:w="276"/>
        <w:gridCol w:w="785"/>
        <w:gridCol w:w="153"/>
        <w:gridCol w:w="109"/>
        <w:gridCol w:w="109"/>
        <w:gridCol w:w="109"/>
        <w:gridCol w:w="200"/>
        <w:gridCol w:w="753"/>
        <w:gridCol w:w="111"/>
        <w:gridCol w:w="109"/>
        <w:gridCol w:w="109"/>
        <w:gridCol w:w="109"/>
        <w:gridCol w:w="196"/>
        <w:gridCol w:w="73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lease payments</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257,778 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83,487 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lease liabilities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future minimum lease payments under finance leases at March 31, 2025.</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Related Party Leases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one of its manufacturing facilities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11. TREASURY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there were 14.4 million and 14.4 million shares of treasury stock outstanding with a cost of $690.4 million and $691.4 million, at a weighted average cost per share of $47.86 and $47.86, respectively.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Company entered into a $50 million accelerated share repurchase (“the 2024 ASR”) and received 1.3 million shares of common stock at inception of the 2024 ASR, which represented approximately 70% of the expected total shares under the 2024 ASR. The early exercise provision was exercised by the 2024 ASR counterparty. The Company received an additional 0.4 million shares determined using the volume-weighted average price of the Company’s common stock during the term of the 2024 ASR.</w:t>
      </w:r>
    </w:p>
    <w:p>
      <w:pPr>
        <w:pStyle w:val="TextBody"/>
        <w:bidi w:val="0"/>
        <w:spacing w:lineRule="auto" w:line="288" w:before="120" w:after="120"/>
        <w:jc w:val="both"/>
        <w:rPr/>
      </w:pPr>
      <w:r>
        <w:rPr>
          <w:rFonts w:ascii="Times New Roman;sans-serif" w:hAnsi="Times New Roman;sans-serif"/>
          <w:b w:val="false"/>
          <w:color w:val="000000"/>
          <w:sz w:val="20"/>
        </w:rPr>
        <w:t>On July 18, 2023, the Board of Directors authorized a new $225 million share repurchase program. A</w:t>
      </w:r>
      <w:r>
        <w:rPr>
          <w:rFonts w:ascii="Times New Roman;sans-serif" w:hAnsi="Times New Roman;sans-serif"/>
          <w:b w:val="false"/>
          <w:color w:val="000000"/>
          <w:sz w:val="20"/>
          <w:shd w:fill="FFFFFF" w:val="clear"/>
        </w:rPr>
        <w:t xml:space="preserve">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rPr>
        <w:t>$50 million remained</w:t>
      </w:r>
      <w:r>
        <w:rPr>
          <w:color w:val="000000"/>
          <w:shd w:fill="FFFFFF" w:val="clear"/>
        </w:rPr>
        <w:t xml:space="preserve"> </w:t>
      </w:r>
      <w:r>
        <w:rPr>
          <w:rFonts w:ascii="Times New Roman;sans-serif" w:hAnsi="Times New Roman;sans-serif"/>
          <w:b w:val="false"/>
          <w:color w:val="000000"/>
          <w:sz w:val="20"/>
          <w:shd w:fill="FFFFFF" w:val="clear"/>
        </w:rPr>
        <w:t>authorized</w:t>
      </w:r>
      <w:r>
        <w:rPr>
          <w:rFonts w:ascii="Times New Roman;sans-serif" w:hAnsi="Times New Roman;sans-serif"/>
          <w:b w:val="false"/>
          <w:color w:val="000000"/>
          <w:sz w:val="20"/>
        </w:rPr>
        <w:t>. The program, which was authorized in July 2023 and expires on December 31, 2025, allows the Company to repurchase its shares opportunistically from time to time. The Company may utilize various methods to effect any repurchases, including open market transactions, privately negotiated transactions, transactions structured through investment banking institutions, including accelerated share repurchases, or a combination of the foregoing, some of which may be effected through Rule 10b5-1 plans.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Company’s effective tax rate:</w:t>
      </w:r>
    </w:p>
    <w:tbl>
      <w:tblPr>
        <w:tblW w:w="4311" w:type="dxa"/>
        <w:jc w:val="center"/>
        <w:tblInd w:w="0" w:type="dxa"/>
        <w:tblLayout w:type="fixed"/>
        <w:tblCellMar>
          <w:top w:w="28" w:type="dxa"/>
          <w:left w:w="28" w:type="dxa"/>
          <w:bottom w:w="28" w:type="dxa"/>
          <w:right w:w="28" w:type="dxa"/>
        </w:tblCellMar>
      </w:tblPr>
      <w:tblGrid>
        <w:gridCol w:w="477"/>
        <w:gridCol w:w="420"/>
        <w:gridCol w:w="422"/>
        <w:gridCol w:w="233"/>
        <w:gridCol w:w="233"/>
        <w:gridCol w:w="482"/>
        <w:gridCol w:w="205"/>
        <w:gridCol w:w="205"/>
        <w:gridCol w:w="205"/>
        <w:gridCol w:w="233"/>
        <w:gridCol w:w="233"/>
        <w:gridCol w:w="482"/>
        <w:gridCol w:w="109"/>
        <w:gridCol w:w="109"/>
        <w:gridCol w:w="109"/>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tax rate</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rates for the three months ended March 31, 2025 and 2024 were 15.8% and 37.3%, respectively. For the three months ended March 31, 2025, the Company’s effective tax rate was driven by federal, state, and international tax benefits generated from operating losses in certain jurisdictions, offset by the inclusion of Global Intangible Low-Taxed Income (“GILTI”) and additional taxes to meet the global minimum tax in certain foreign jurisdictions. For the three months ended March 31, 2024, the Company’s effective tax rate was driven by a $1.5 million shortfall from stock based compensation, offset by a tax benefit for intangible asset impairment.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income tax laws and regulations, in any of the tax jurisdictions in which the Company operates, could impact the effective tax rate. Various governments, both U.S. and non-U.S., are increasingly focused on tax reform and revenue-raising legislation. The current U.S. administration and legislators are considering new tax legislation, which may impact the Company's income tax provision. Further, legislation in foreign jurisdictions may be enacted, in continued response to the base erosion and profit-sharing (“BEPS”) project begun by the Organization for Economic Cooperation and Development (“OECD”).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OECD released model rules related to a new 15% global minimum tax regime (“Pillar 2”). A number of the jurisdictions that the Company operates in have adopted some form of the model rules, which became effective beginning in 2024. The Pillar 2 rules are complex and provide for delays for implementing the tax during the early transition years, if certain conditions are met. The Company is calculating a $2.7 million expense related to Pillar 2 tax liability for the year ending December 31, 2025. Related changes in U.S. and non-U.S. jurisdictions could have an adverse effect on the Company’s effective tax rate. The Company will continue to monitor legislative activity across its U.S. and non-U.S.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13. NET LOSS PER SHARE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was as follows:</w:t>
      </w:r>
    </w:p>
    <w:tbl>
      <w:tblPr>
        <w:tblW w:w="7527" w:type="dxa"/>
        <w:jc w:val="left"/>
        <w:tblInd w:w="0" w:type="dxa"/>
        <w:tblLayout w:type="fixed"/>
        <w:tblCellMar>
          <w:top w:w="28" w:type="dxa"/>
          <w:left w:w="28" w:type="dxa"/>
          <w:bottom w:w="28" w:type="dxa"/>
          <w:right w:w="28" w:type="dxa"/>
        </w:tblCellMar>
      </w:tblPr>
      <w:tblGrid>
        <w:gridCol w:w="1684"/>
        <w:gridCol w:w="1477"/>
        <w:gridCol w:w="1488"/>
        <w:gridCol w:w="205"/>
        <w:gridCol w:w="756"/>
        <w:gridCol w:w="114"/>
        <w:gridCol w:w="114"/>
        <w:gridCol w:w="114"/>
        <w:gridCol w:w="114"/>
        <w:gridCol w:w="205"/>
        <w:gridCol w:w="661"/>
        <w:gridCol w:w="114"/>
        <w:gridCol w:w="109"/>
        <w:gridCol w:w="109"/>
        <w:gridCol w:w="109"/>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Dollars in thousands, except per share amounts</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Basic net loss per share:</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loss per common share</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Diluted net loss per share:</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and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for diluted earnings per share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77,735 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loss per common share</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by the weighted-average common shares outstanding during the period. Diluted earnings per share is computed based on the weighted-average common shares outstanding plus the effect of dilutive potential common shares outstanding during the period calculated using the treasury stock method. Dilutive potential common shares include employee equity share options, non-vested shares, and similar equity instruments granted by the Company. Potential common share equivalents have been excluded where their inclusion would be anti-dilutive. For periods in which the Company generated a net loss, the Company does not include the potential impact of dilutive securities in diluted net loss per share, as the impact of these items is anti-dilutive.</w:t>
      </w:r>
    </w:p>
    <w:p>
      <w:pPr>
        <w:pStyle w:val="TextBody"/>
        <w:bidi w:val="0"/>
        <w:spacing w:lineRule="auto" w:line="288" w:before="120" w:after="120"/>
        <w:jc w:val="both"/>
        <w:rPr/>
      </w:pPr>
      <w:r>
        <w:rPr>
          <w:rFonts w:ascii="Times New Roman;sans-serif" w:hAnsi="Times New Roman;sans-serif"/>
          <w:b w:val="false"/>
          <w:color w:val="000000"/>
          <w:sz w:val="20"/>
        </w:rPr>
        <w:t>Common stock of approximately 1.6 million and 1.3 million</w:t>
      </w:r>
      <w:r>
        <w:rPr>
          <w:color w:val="000000"/>
          <w:shd w:fill="FFFFFF" w:val="clear"/>
        </w:rPr>
        <w:t xml:space="preserve"> </w:t>
      </w:r>
      <w:r>
        <w:rPr>
          <w:rFonts w:ascii="Times New Roman;sans-serif" w:hAnsi="Times New Roman;sans-serif"/>
          <w:b w:val="false"/>
          <w:color w:val="000000"/>
          <w:sz w:val="20"/>
          <w:shd w:fill="FFFFFF" w:val="clear"/>
        </w:rPr>
        <w:t xml:space="preserve">shares at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and 2024, res</w:t>
      </w:r>
      <w:r>
        <w:rPr>
          <w:rFonts w:ascii="Times New Roman;sans-serif" w:hAnsi="Times New Roman;sans-serif"/>
          <w:b w:val="false"/>
          <w:color w:val="000000"/>
          <w:sz w:val="20"/>
        </w:rPr>
        <w:t>pectively, were not included in the computation of diluted net loss per share because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ACCUMULATED OTHER COMPREHENSIVE (LOSS) INCOME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for the three months ended March 31, 2025 and 2024:</w:t>
      </w:r>
    </w:p>
    <w:tbl>
      <w:tblPr>
        <w:tblW w:w="7063" w:type="dxa"/>
        <w:jc w:val="left"/>
        <w:tblInd w:w="0" w:type="dxa"/>
        <w:tblLayout w:type="fixed"/>
        <w:tblCellMar>
          <w:top w:w="28" w:type="dxa"/>
          <w:left w:w="28" w:type="dxa"/>
          <w:bottom w:w="28" w:type="dxa"/>
          <w:right w:w="28" w:type="dxa"/>
        </w:tblCellMar>
      </w:tblPr>
      <w:tblGrid>
        <w:gridCol w:w="1518"/>
        <w:gridCol w:w="1332"/>
        <w:gridCol w:w="1335"/>
        <w:gridCol w:w="205"/>
        <w:gridCol w:w="756"/>
        <w:gridCol w:w="114"/>
        <w:gridCol w:w="114"/>
        <w:gridCol w:w="114"/>
        <w:gridCol w:w="114"/>
        <w:gridCol w:w="205"/>
        <w:gridCol w:w="661"/>
        <w:gridCol w:w="114"/>
        <w:gridCol w:w="109"/>
        <w:gridCol w:w="109"/>
        <w:gridCol w:w="109"/>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(gain) loss on derivatives, net of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liability adjustment,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income, net</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(21,828)</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(loss) income by component between December 31, 2024 and March 31, 2025 are presented in the table below, net of tax:</w:t>
      </w:r>
    </w:p>
    <w:tbl>
      <w:tblPr>
        <w:tblW w:w="10205" w:type="dxa"/>
        <w:jc w:val="left"/>
        <w:tblInd w:w="0" w:type="dxa"/>
        <w:tblLayout w:type="fixed"/>
        <w:tblCellMar>
          <w:top w:w="28" w:type="dxa"/>
          <w:left w:w="28" w:type="dxa"/>
          <w:bottom w:w="28" w:type="dxa"/>
          <w:right w:w="28" w:type="dxa"/>
        </w:tblCellMar>
      </w:tblPr>
      <w:tblGrid>
        <w:gridCol w:w="1329"/>
        <w:gridCol w:w="992"/>
        <w:gridCol w:w="994"/>
        <w:gridCol w:w="109"/>
        <w:gridCol w:w="109"/>
        <w:gridCol w:w="109"/>
        <w:gridCol w:w="339"/>
        <w:gridCol w:w="1118"/>
        <w:gridCol w:w="188"/>
        <w:gridCol w:w="109"/>
        <w:gridCol w:w="109"/>
        <w:gridCol w:w="109"/>
        <w:gridCol w:w="344"/>
        <w:gridCol w:w="978"/>
        <w:gridCol w:w="191"/>
        <w:gridCol w:w="109"/>
        <w:gridCol w:w="109"/>
        <w:gridCol w:w="109"/>
        <w:gridCol w:w="269"/>
        <w:gridCol w:w="960"/>
        <w:gridCol w:w="149"/>
        <w:gridCol w:w="109"/>
        <w:gridCol w:w="109"/>
        <w:gridCol w:w="109"/>
        <w:gridCol w:w="196"/>
        <w:gridCol w:w="689"/>
        <w:gridCol w:w="161"/>
      </w:tblGrid>
      <w:tr>
        <w:trPr/>
        <w:tc>
          <w:tcPr>
            <w:tcW w:w="13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Amounts reclassified from accumulated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current-period other comprehensive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(46,580)</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Company reclassified a loss of $(7.0) million and a gain of $3.1 million from accumulated other comprehensive income to other income, net and interest income,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15. SEGMENT AND GEOGRAPHIC INFORMATION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primarily on the basis of products and operates two global reportable segments. Resources are allocated and performance is assessed by the Company’s President and Chief Executive Officer, which the Company has determined to be the Chief Operating Decision Maker (“CODM”).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two reportable segments and their activities are described below.</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The Codman Specialty Surgical segment operations consist of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 and (iii) the ENT business, which includes instrumentation, balloon technologies for sinus dilation and eustachian tube dilation, as well as surgical navigation systems.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Tissue Technologies segment operations consist of such offerings as skin and wound repair, plastics and surgical reconstruction products, bone grafts, and nerve and tendon repair products. The Tissue Technologies segment includes the Company’s private label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Corporate and Other category includes (i) various executive, finance, human resource, information systems and legal functions, (ii) brand management, and (iii) share-based compensation costs, which are not allocated to the reportable segments.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both segments, the CODM uses segment revenue and segment operating income to assess the performance for each segment and in the annual budgeting and forecasting process. The CODM considers budget-to-actual variances on a quarterly basis for segment revenue and segment operating income when making decisions about allocating capital and personnel to the segments.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results of the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reportable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sales and profit by each reportable segment for the three months ended March 31, 2025 and 2024 are as follows:</w:t>
      </w:r>
    </w:p>
    <w:tbl>
      <w:tblPr>
        <w:tblW w:w="10181" w:type="dxa"/>
        <w:jc w:val="left"/>
        <w:tblInd w:w="0" w:type="dxa"/>
        <w:tblLayout w:type="fixed"/>
        <w:tblCellMar>
          <w:top w:w="28" w:type="dxa"/>
          <w:left w:w="28" w:type="dxa"/>
          <w:bottom w:w="28" w:type="dxa"/>
          <w:right w:w="28" w:type="dxa"/>
        </w:tblCellMar>
      </w:tblPr>
      <w:tblGrid>
        <w:gridCol w:w="922"/>
        <w:gridCol w:w="813"/>
        <w:gridCol w:w="814"/>
        <w:gridCol w:w="412"/>
        <w:gridCol w:w="1549"/>
        <w:gridCol w:w="229"/>
        <w:gridCol w:w="109"/>
        <w:gridCol w:w="109"/>
        <w:gridCol w:w="109"/>
        <w:gridCol w:w="307"/>
        <w:gridCol w:w="1155"/>
        <w:gridCol w:w="173"/>
        <w:gridCol w:w="109"/>
        <w:gridCol w:w="109"/>
        <w:gridCol w:w="109"/>
        <w:gridCol w:w="305"/>
        <w:gridCol w:w="1265"/>
        <w:gridCol w:w="170"/>
        <w:gridCol w:w="109"/>
        <w:gridCol w:w="109"/>
        <w:gridCol w:w="109"/>
        <w:gridCol w:w="196"/>
        <w:gridCol w:w="73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Codman Specialty 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Tissue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net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280,664 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101,989 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92,682 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69,674 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amortization</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 and expenses</w:t>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170,301 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141,906 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 (loss)</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110,363 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(141,906)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2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82" w:type="dxa"/>
        <w:jc w:val="left"/>
        <w:tblInd w:w="0" w:type="dxa"/>
        <w:tblLayout w:type="fixed"/>
        <w:tblCellMar>
          <w:top w:w="28" w:type="dxa"/>
          <w:left w:w="28" w:type="dxa"/>
          <w:bottom w:w="28" w:type="dxa"/>
          <w:right w:w="28" w:type="dxa"/>
        </w:tblCellMar>
      </w:tblPr>
      <w:tblGrid>
        <w:gridCol w:w="925"/>
        <w:gridCol w:w="812"/>
        <w:gridCol w:w="813"/>
        <w:gridCol w:w="412"/>
        <w:gridCol w:w="1549"/>
        <w:gridCol w:w="229"/>
        <w:gridCol w:w="109"/>
        <w:gridCol w:w="109"/>
        <w:gridCol w:w="109"/>
        <w:gridCol w:w="307"/>
        <w:gridCol w:w="1155"/>
        <w:gridCol w:w="173"/>
        <w:gridCol w:w="109"/>
        <w:gridCol w:w="109"/>
        <w:gridCol w:w="109"/>
        <w:gridCol w:w="305"/>
        <w:gridCol w:w="1265"/>
        <w:gridCol w:w="170"/>
        <w:gridCol w:w="109"/>
        <w:gridCol w:w="109"/>
        <w:gridCol w:w="109"/>
        <w:gridCol w:w="196"/>
        <w:gridCol w:w="736"/>
        <w:gridCol w:w="154"/>
      </w:tblGrid>
      <w:tr>
        <w:trPr/>
        <w:tc>
          <w:tcPr>
            <w:tcW w:w="9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Codman Specialty 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Tissue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net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256,434 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112,438 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92,973 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54,204 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amortization</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 and expenses</w:t>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152,942 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81,772 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130,194 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 (loss)</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103,492 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(130,194)</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2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allocate any assets to the reportable segments. No asset information is reported to the CODM and disclosed in the financial information for each segment. The Company attributes revenues to geographic areas based on the location of the customer. Total revenue by major geographic area consisted of the following:</w:t>
      </w:r>
    </w:p>
    <w:tbl>
      <w:tblPr>
        <w:tblW w:w="4585" w:type="dxa"/>
        <w:jc w:val="center"/>
        <w:tblInd w:w="0" w:type="dxa"/>
        <w:tblLayout w:type="fixed"/>
        <w:tblCellMar>
          <w:top w:w="28" w:type="dxa"/>
          <w:left w:w="28" w:type="dxa"/>
          <w:bottom w:w="28" w:type="dxa"/>
          <w:right w:w="28" w:type="dxa"/>
        </w:tblCellMar>
      </w:tblPr>
      <w:tblGrid>
        <w:gridCol w:w="555"/>
        <w:gridCol w:w="487"/>
        <w:gridCol w:w="488"/>
        <w:gridCol w:w="209"/>
        <w:gridCol w:w="788"/>
        <w:gridCol w:w="116"/>
        <w:gridCol w:w="116"/>
        <w:gridCol w:w="116"/>
        <w:gridCol w:w="116"/>
        <w:gridCol w:w="209"/>
        <w:gridCol w:w="788"/>
        <w:gridCol w:w="116"/>
        <w:gridCol w:w="109"/>
        <w:gridCol w:w="109"/>
        <w:gridCol w:w="109"/>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382,653 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368,872 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for loss contingencies when it is deemed probable that a loss has been incurred and that loss is estimable. If the reasonable estimate of a probable loss is a range, and no amount within the range is a better estimate than any other, the minimum amount of the range is recorded. In most cases, significant judgment is required to estimate the amount and timing of a loss to be recorded and actual results may differ from these estimates.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pStyle w:val="TextBody"/>
        <w:bidi w:val="0"/>
        <w:spacing w:lineRule="auto" w:line="288" w:before="120" w:after="120"/>
        <w:jc w:val="both"/>
        <w:rPr/>
      </w:pPr>
      <w:r>
        <w:rPr>
          <w:rFonts w:ascii="Times New Roman;sans-serif" w:hAnsi="Times New Roman;sans-serif"/>
          <w:b w:val="false"/>
          <w:color w:val="000000"/>
          <w:sz w:val="20"/>
        </w:rPr>
        <w:t xml:space="preserve">On February 21, 2025, a derivative lawsuit captioned </w:t>
      </w:r>
      <w:r>
        <w:rPr>
          <w:rFonts w:ascii="Times New Roman;sans-serif" w:hAnsi="Times New Roman;sans-serif"/>
          <w:b w:val="false"/>
          <w:i/>
          <w:color w:val="000000"/>
          <w:sz w:val="20"/>
        </w:rPr>
        <w:t>Grabowsky v. Integra LifeSciences Holding Corp. et al,</w:t>
      </w:r>
      <w:r>
        <w:rPr>
          <w:color w:val="000000"/>
        </w:rPr>
        <w:t xml:space="preserve"> </w:t>
      </w:r>
      <w:r>
        <w:rPr>
          <w:rFonts w:ascii="Times New Roman;sans-serif" w:hAnsi="Times New Roman;sans-serif"/>
          <w:b w:val="false"/>
          <w:color w:val="000000"/>
          <w:sz w:val="20"/>
        </w:rPr>
        <w:t>No. 3:25-cv-01399 (D.N.J.) was filed in the United States District Court for the District of New Jersey. The action purports to assert derivative claims on behalf of the Company against its current Board of Directors and certain of its current or former officers and directors. The action asserts claims that the individual defendants breached their fiduciary duties and harmed the Company by making false and misleading statements and omissions relating to certain quality systems issues identified by the U.S. Food and Drug Administration (“FDA”) at the Company’s Boston, Massachusetts manufacturing facility, the Company’s efforts to remediate those issues, and the Company’s forecasts for certain products in its Tissue Technologies segment. On March 28, 2025, the derivative lawsuit was voluntarily dismissed by the plaintiff.</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21, 2023, Fortis Advisors, LLC (representative of the security holders of ACell, Inc. (“ACell”)) filed for arbitration against Integra LifeSciences before the Court of International Arbitration of the International Chamber of Commerce claiming breach of contract related to the earnout consideration from the 2021 acquisition of ACell. Refer to the “Contingent Consideration” subheading of this Note for additional information on the ACell contingent consideration. The Company believes that it has strong defenses to the allegations in the arbitration and intends to defend the matter vigorously.</w:t>
      </w:r>
    </w:p>
    <w:p>
      <w:pPr>
        <w:pStyle w:val="TextBody"/>
        <w:bidi w:val="0"/>
        <w:spacing w:lineRule="auto" w:line="288" w:before="120" w:after="120"/>
        <w:jc w:val="both"/>
        <w:rPr/>
      </w:pPr>
      <w:r>
        <w:rPr>
          <w:rFonts w:ascii="Times New Roman;sans-serif" w:hAnsi="Times New Roman;sans-serif"/>
          <w:b w:val="false"/>
          <w:color w:val="000000"/>
          <w:sz w:val="20"/>
        </w:rPr>
        <w:t xml:space="preserve">On September 12, 2023, a securities class action complaint, captioned </w:t>
      </w:r>
      <w:r>
        <w:rPr>
          <w:rFonts w:ascii="Times New Roman;sans-serif" w:hAnsi="Times New Roman;sans-serif"/>
          <w:b w:val="false"/>
          <w:i/>
          <w:color w:val="000000"/>
          <w:sz w:val="20"/>
        </w:rPr>
        <w:t>Pembroke Pines Firefighters &amp; Police Officers Pension Fund v. Integra LifeSciences Holdings Corporation</w:t>
      </w:r>
      <w:r>
        <w:rPr>
          <w:rFonts w:ascii="Times New Roman;sans-serif" w:hAnsi="Times New Roman;sans-serif"/>
          <w:b w:val="false"/>
          <w:color w:val="000000"/>
          <w:sz w:val="20"/>
        </w:rPr>
        <w:t>, No. 23-cv-20321 (D.N.J.), was filed by a purported stockholder of the Company in the United States District Court for the District 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FDA at the Company’s Boston, Massachusetts manufacturing facility, the Company’s efforts to remediate those issues, and the Company’s forecasts for certain products in its Tissue Technologies segment. The complaint seeks, among other things, compensatory damages, attorneys’ fees, expert fees, and other costs. The Company believes that it has strong defenses to the allegations in the Pembroke Litigation, and intends to defend the matter vigorously.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Contingent Consideration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contingent consideration during the three month period ended March 31, 2025 and March 31, 2024 to reflect the change in estimate, additions, payments, transfers and the time value of money during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opening balances to the closing balances of these Level 3 measurements for the three months ended March 31, 2025 and March 31, 2024 is as follows (in thousands):</w:t>
      </w:r>
    </w:p>
    <w:tbl>
      <w:tblPr>
        <w:tblW w:w="10205" w:type="dxa"/>
        <w:jc w:val="center"/>
        <w:tblInd w:w="0" w:type="dxa"/>
        <w:tblLayout w:type="fixed"/>
        <w:tblCellMar>
          <w:top w:w="28" w:type="dxa"/>
          <w:left w:w="28" w:type="dxa"/>
          <w:bottom w:w="28" w:type="dxa"/>
          <w:right w:w="28" w:type="dxa"/>
        </w:tblCellMar>
      </w:tblPr>
      <w:tblGrid>
        <w:gridCol w:w="1200"/>
        <w:gridCol w:w="945"/>
        <w:gridCol w:w="952"/>
        <w:gridCol w:w="109"/>
        <w:gridCol w:w="109"/>
        <w:gridCol w:w="109"/>
        <w:gridCol w:w="205"/>
        <w:gridCol w:w="678"/>
        <w:gridCol w:w="114"/>
        <w:gridCol w:w="114"/>
        <w:gridCol w:w="114"/>
        <w:gridCol w:w="114"/>
        <w:gridCol w:w="289"/>
        <w:gridCol w:w="821"/>
        <w:gridCol w:w="160"/>
        <w:gridCol w:w="114"/>
        <w:gridCol w:w="114"/>
        <w:gridCol w:w="114"/>
        <w:gridCol w:w="205"/>
        <w:gridCol w:w="426"/>
        <w:gridCol w:w="114"/>
        <w:gridCol w:w="114"/>
        <w:gridCol w:w="114"/>
        <w:gridCol w:w="114"/>
        <w:gridCol w:w="536"/>
        <w:gridCol w:w="1775"/>
        <w:gridCol w:w="432"/>
      </w:tblGrid>
      <w:tr>
        <w:trPr/>
        <w:tc>
          <w:tcPr>
            <w:tcW w:w="120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0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Contingent Consideration Liability Related to Acquisition of:</w:t>
            </w:r>
          </w:p>
        </w:tc>
      </w:tr>
      <w:tr>
        <w:trPr/>
        <w:tc>
          <w:tcPr>
            <w:tcW w:w="30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Arkis </w:t>
            </w:r>
            <w:r>
              <w:rPr>
                <w:rFonts w:ascii="Times New Roman;sans-serif" w:hAnsi="Times New Roman;sans-serif"/>
                <w:b/>
                <w:color w:val="000000"/>
                <w:sz w:val="12"/>
              </w:rPr>
              <w:t>(1)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Derma Sciences </w:t>
            </w:r>
            <w:r>
              <w:rPr>
                <w:rFonts w:ascii="Times New Roman;sans-serif" w:hAnsi="Times New Roman;sans-serif"/>
                <w:b/>
                <w:color w:val="000000"/>
                <w:sz w:val="12"/>
              </w:rPr>
              <w:t>(2)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ACell </w:t>
            </w:r>
            <w:r>
              <w:rPr>
                <w:rFonts w:ascii="Times New Roman;sans-serif" w:hAnsi="Times New Roman;sans-serif"/>
                <w:b/>
                <w:color w:val="000000"/>
                <w:sz w:val="12"/>
              </w:rPr>
              <w:t>(2)</w:t>
            </w:r>
          </w:p>
        </w:tc>
        <w:tc>
          <w:tcPr>
            <w:tcW w:w="27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Surgical Innovations Associates (SIA), Inc. </w:t>
            </w:r>
            <w:r>
              <w:rPr>
                <w:rFonts w:ascii="Times New Roman;sans-serif" w:hAnsi="Times New Roman;sans-serif"/>
                <w:b/>
                <w:color w:val="000000"/>
                <w:sz w:val="12"/>
              </w:rPr>
              <w:t>(2)</w:t>
            </w:r>
          </w:p>
        </w:tc>
      </w:tr>
      <w:tr>
        <w:trPr/>
        <w:tc>
          <w:tcPr>
            <w:tcW w:w="3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54,000 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Change in fair value of contingent consideration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54,600 </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19,600 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54,600 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91"/>
        <w:gridCol w:w="938"/>
        <w:gridCol w:w="945"/>
        <w:gridCol w:w="109"/>
        <w:gridCol w:w="109"/>
        <w:gridCol w:w="109"/>
        <w:gridCol w:w="205"/>
        <w:gridCol w:w="677"/>
        <w:gridCol w:w="114"/>
        <w:gridCol w:w="114"/>
        <w:gridCol w:w="114"/>
        <w:gridCol w:w="114"/>
        <w:gridCol w:w="290"/>
        <w:gridCol w:w="822"/>
        <w:gridCol w:w="160"/>
        <w:gridCol w:w="114"/>
        <w:gridCol w:w="114"/>
        <w:gridCol w:w="114"/>
        <w:gridCol w:w="205"/>
        <w:gridCol w:w="441"/>
        <w:gridCol w:w="114"/>
        <w:gridCol w:w="114"/>
        <w:gridCol w:w="114"/>
        <w:gridCol w:w="114"/>
        <w:gridCol w:w="537"/>
        <w:gridCol w:w="1779"/>
        <w:gridCol w:w="434"/>
      </w:tblGrid>
      <w:tr>
        <w:trPr/>
        <w:tc>
          <w:tcPr>
            <w:tcW w:w="119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Contingent Consideration Liability Related to Acquisition of:</w:t>
            </w:r>
          </w:p>
        </w:tc>
      </w:tr>
      <w:tr>
        <w:trPr/>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Arkis </w:t>
            </w:r>
            <w:r>
              <w:rPr>
                <w:rFonts w:ascii="Times New Roman;sans-serif" w:hAnsi="Times New Roman;sans-serif"/>
                <w:b/>
                <w:color w:val="000000"/>
                <w:sz w:val="12"/>
              </w:rPr>
              <w:t>(1)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Derma Sciences </w:t>
            </w:r>
            <w:r>
              <w:rPr>
                <w:rFonts w:ascii="Times New Roman;sans-serif" w:hAnsi="Times New Roman;sans-serif"/>
                <w:b/>
                <w:color w:val="000000"/>
                <w:sz w:val="12"/>
              </w:rPr>
              <w:t>(2)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ACell </w:t>
            </w:r>
            <w:r>
              <w:rPr>
                <w:rFonts w:ascii="Times New Roman;sans-serif" w:hAnsi="Times New Roman;sans-serif"/>
                <w:b/>
                <w:color w:val="000000"/>
                <w:sz w:val="12"/>
              </w:rPr>
              <w:t>(2)</w:t>
            </w:r>
          </w:p>
        </w:tc>
        <w:tc>
          <w:tcPr>
            <w:tcW w:w="27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Surgical Innovations Associates (SIA), Inc. </w:t>
            </w:r>
            <w:r>
              <w:rPr>
                <w:rFonts w:ascii="Times New Roman;sans-serif" w:hAnsi="Times New Roman;sans-serif"/>
                <w:b/>
                <w:color w:val="000000"/>
                <w:sz w:val="12"/>
              </w:rPr>
              <w:t>(2)</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68,700 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69,200 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39,900 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69,200 </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jc w:val="left"/>
        <w:rPr>
          <w:rFonts w:ascii="Times New Roman;sans-serif" w:hAnsi="Times New Roman;sans-serif"/>
          <w:b w:val="false"/>
          <w:color w:val="000000"/>
          <w:sz w:val="14"/>
        </w:rPr>
      </w:pPr>
      <w:r>
        <w:rPr>
          <w:rFonts w:ascii="Times New Roman;sans-serif" w:hAnsi="Times New Roman;sans-serif"/>
          <w:b w:val="false"/>
          <w:color w:val="000000"/>
          <w:sz w:val="14"/>
        </w:rPr>
        <w:t>(1) Location in financial statements: Research and development</w:t>
      </w:r>
    </w:p>
    <w:p>
      <w:pPr>
        <w:pStyle w:val="TextBody"/>
        <w:bidi w:val="0"/>
        <w:spacing w:lineRule="auto" w:line="288" w:before="20" w:after="20"/>
        <w:jc w:val="left"/>
        <w:rPr>
          <w:rFonts w:ascii="Times New Roman;sans-serif" w:hAnsi="Times New Roman;sans-serif"/>
          <w:b w:val="false"/>
          <w:color w:val="000000"/>
          <w:sz w:val="14"/>
        </w:rPr>
      </w:pPr>
      <w:r>
        <w:rPr>
          <w:rFonts w:ascii="Times New Roman;sans-serif" w:hAnsi="Times New Roman;sans-serif"/>
          <w:b w:val="false"/>
          <w:color w:val="000000"/>
          <w:sz w:val="14"/>
        </w:rPr>
        <w:t>(2) Location in financial statements: Selling, general and administrative</w:t>
      </w:r>
    </w:p>
    <w:p>
      <w:pPr>
        <w:pStyle w:val="TextBody"/>
        <w:bidi w:val="0"/>
        <w:spacing w:before="20" w:after="20"/>
        <w:jc w:val="left"/>
        <w:rPr/>
      </w:pPr>
      <w:r>
        <w:rPr/>
      </w:r>
    </w:p>
    <w:p>
      <w:pPr>
        <w:pStyle w:val="TextBody"/>
        <w:bidi w:val="0"/>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Arkis BioSciences Inc.</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In the first quarter of 2025, the Company paid out a development milestone related to design verification procedures for $5.0 million.</w:t>
      </w:r>
    </w:p>
    <w:p>
      <w:pPr>
        <w:pStyle w:val="TextBody"/>
        <w:bidi w:val="0"/>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Derma Sciences, Inc.</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assumed contingent consideration incurred by Derma Sciences, Inc. (“Derma Sciences”) related to its acquisitions of BioD, LLC and the intellectual property related to Medihoney® products. The Company accounted for the contingent liabilities by recording the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ACell, Inc.</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As part of the acquisition of ACell, the Company is required to make payments to the former shareholders of ACell up to $100 million in total for years 2022, 2023, and 2025 based on the achievement by the Company of certain revenue-based performance milestones. </w:t>
      </w:r>
      <w:r>
        <w:rPr>
          <w:rFonts w:ascii="Times New Roman;sans-serif" w:hAnsi="Times New Roman;sans-serif"/>
          <w:b w:val="false"/>
          <w:color w:val="000000"/>
          <w:sz w:val="20"/>
        </w:rPr>
        <w:t>The Company estimated the fair value of the contingent consideration to be $23.9 million</w:t>
      </w:r>
      <w:r>
        <w:rPr>
          <w:color w:val="000000"/>
          <w:shd w:fill="FFFFFF" w:val="clear"/>
        </w:rPr>
        <w:t xml:space="preserve"> </w:t>
      </w:r>
      <w:r>
        <w:rPr>
          <w:rFonts w:ascii="Times New Roman;sans-serif" w:hAnsi="Times New Roman;sans-serif"/>
          <w:b w:val="false"/>
          <w:color w:val="000000"/>
          <w:sz w:val="20"/>
          <w:shd w:fill="FFFFFF" w:val="clear"/>
        </w:rPr>
        <w:t>at the acquisition date. The 2022 and 2023 milestones were not achieved, leaving only one contingent milestone remaining. The Company used iterations of the Monte Carlo simulation to calculate the fair value of the contingent consideration that considered the possible outcomes of scenarios related to each specific milestone.</w:t>
      </w:r>
    </w:p>
    <w:p>
      <w:pPr>
        <w:pStyle w:val="TextBody"/>
        <w:bidi w:val="0"/>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Surgical Innovations Associates, Inc.</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acquisition of Surgical Innovations Associates, Inc. (“SIA”), the Company is required to pay to the former shareholders of SIA up to $90.0 million for two separate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The Company estimated the fair value of the contingent consideration for the revenue based milestone to be $32.6 million at the acquisition date and $25.0 million for the PMA approval milestone at the acquisition date. In the second quarter of 2024, the Company paid out $12.4 million related to the 2023 performance year. The Company used iterations of the Monte Carlo simulation to calculate the fair value of the contingent consideration for the revenue-based milestone that considered the possible outcomes of scenarios related to each specific milestone for the revenue based performance milestone. The Company used probabilities of achieving the conditions to calculate the fair value of the contingent consideration for the PMA approval milestone.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17. FAIR VALUE MEASUREMENTS</w:t>
      </w:r>
    </w:p>
    <w:p>
      <w:pPr>
        <w:pStyle w:val="TextBody"/>
        <w:bidi w:val="0"/>
        <w:spacing w:lineRule="auto" w:line="288" w:before="120" w:after="120"/>
        <w:jc w:val="both"/>
        <w:rPr/>
      </w:pPr>
      <w:r>
        <w:rPr>
          <w:rFonts w:ascii="Times New Roman;sans-serif" w:hAnsi="Times New Roman;sans-serif"/>
          <w:b w:val="false"/>
          <w:color w:val="000000"/>
          <w:sz w:val="20"/>
        </w:rPr>
        <w:t>ASC 820</w:t>
      </w:r>
      <w:r>
        <w:rPr>
          <w:color w:val="000000"/>
        </w:rPr>
        <w:t xml:space="preserve"> </w:t>
      </w:r>
      <w:r>
        <w:rPr>
          <w:rFonts w:ascii="Times New Roman;sans-serif" w:hAnsi="Times New Roman;sans-serif"/>
          <w:b w:val="false"/>
          <w:color w:val="000000"/>
          <w:sz w:val="20"/>
        </w:rPr>
        <w:t xml:space="preserve">defines fair value as the price that would be received to sell an asset or paid to transfer a liability in an orderly transaction between market participants at the measurement date. When determining fair value, the Company considers the principal or most advantageous market in which it would transact and considers assumptions that market participants would use when pricing the asset or liability.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Valuation techniques used to measure fair value should maximize the use of observable inputs and minimize the use of unobservable inputs. ASC 820 establishes a three-level hierarchy of the inputs (i.e., assumptions that market participants would use in pricing an asset or liability) used to measure fair value, giving the highest priority to quoted prices in active markets and the lowest priority to unobservable inputs in measuring fair value. The categorization within the valuation hierarchy is based on the lowest level of input that is significant to the entire fair value measurement. The three levels of the valuation hierarchy are defined as follows:</w:t>
      </w:r>
    </w:p>
    <w:p>
      <w:pPr>
        <w:pStyle w:val="TextBody"/>
        <w:bidi w:val="0"/>
        <w:spacing w:lineRule="auto" w:line="288" w:before="120" w:after="120"/>
        <w:jc w:val="both"/>
        <w:rPr/>
      </w:pPr>
      <w:r>
        <w:rPr>
          <w:rFonts w:ascii="Times New Roman;sans-serif" w:hAnsi="Times New Roman;sans-serif"/>
          <w:b/>
          <w:color w:val="000000"/>
          <w:sz w:val="20"/>
          <w:u w:val="single"/>
        </w:rPr>
        <w:t>Level 1</w:t>
      </w:r>
      <w:r>
        <w:rPr>
          <w:rFonts w:ascii="Times New Roman;sans-serif" w:hAnsi="Times New Roman;sans-serif"/>
          <w:b w:val="false"/>
          <w:color w:val="000000"/>
          <w:sz w:val="20"/>
        </w:rPr>
        <w:t>: Inputs to the valuation methodology are quoted prices in active markets for identical assets or liabilities.</w:t>
      </w:r>
    </w:p>
    <w:p>
      <w:pPr>
        <w:pStyle w:val="TextBody"/>
        <w:bidi w:val="0"/>
        <w:spacing w:lineRule="auto" w:line="288" w:before="120" w:after="120"/>
        <w:jc w:val="both"/>
        <w:rPr/>
      </w:pPr>
      <w:r>
        <w:rPr>
          <w:rFonts w:ascii="Times New Roman;sans-serif" w:hAnsi="Times New Roman;sans-serif"/>
          <w:b/>
          <w:color w:val="000000"/>
          <w:sz w:val="20"/>
          <w:u w:val="single"/>
        </w:rPr>
        <w:t>Level 2</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Inputs to the valuation methodology are other observable inputs, including quoted market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spacing w:lineRule="auto" w:line="288" w:before="120" w:after="120"/>
        <w:jc w:val="both"/>
        <w:rPr/>
      </w:pPr>
      <w:r>
        <w:rPr>
          <w:rFonts w:ascii="Times New Roman;sans-serif" w:hAnsi="Times New Roman;sans-serif"/>
          <w:b/>
          <w:color w:val="000000"/>
          <w:sz w:val="20"/>
          <w:u w:val="single"/>
        </w:rPr>
        <w:t>Level 3</w:t>
      </w:r>
      <w:r>
        <w:rPr>
          <w:rFonts w:ascii="Times New Roman;sans-serif" w:hAnsi="Times New Roman;sans-serif"/>
          <w:b w:val="false"/>
          <w:color w:val="000000"/>
          <w:sz w:val="20"/>
        </w:rPr>
        <w:t>: Inputs to the valuation methodology are unobservable inputs that are supported by little or no market activity and are based on management’s best estimate of inputs market participants would use in pricing the asset or liability at the measurement date, including assumptions about risk.</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Assets and Liabilities Measured at Fair Value on a Recurring Basis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investments in time deposits that are classified within Level 1 of the fair value hierarchy because they are valued using quoted market prices, as well as certain debt obligations that are classified within Level 1 of the fair value hierarchy because they are valued using quoted market prices. The investments in time deposits are classified as cash and cash equivalents and short-term investments on the consolidated balance sheets which is determined based on maturities at the time of purchase and re-evaluated at each balance sheet date. </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also has investments in derivative instruments, which are comprised of interest rate swaps, cross currency swaps, net investment hedges, and forward foreign currency contracts that are classified within Level 2 of the fair value hierarchy because they are valued using analyses obtained from independent third-party valuation specialists based on market observable inputs. The fair values of these derivative contracts represent the estimated amounts the Company would receive or pay to terminate the contracts. Refer to </w:t>
      </w:r>
      <w:r>
        <w:rPr>
          <w:rFonts w:ascii="Times New Roman;sans-serif" w:hAnsi="Times New Roman;sans-serif"/>
          <w:b w:val="false"/>
          <w:i/>
          <w:color w:val="000000"/>
          <w:sz w:val="20"/>
        </w:rPr>
        <w:t>Note 7. Derivative Instruments</w:t>
      </w:r>
      <w:r>
        <w:rPr>
          <w:color w:val="000000"/>
        </w:rPr>
        <w:t xml:space="preserve"> </w:t>
      </w:r>
      <w:r>
        <w:rPr>
          <w:rFonts w:ascii="Times New Roman;sans-serif" w:hAnsi="Times New Roman;sans-serif"/>
          <w:b w:val="false"/>
          <w:color w:val="000000"/>
          <w:sz w:val="20"/>
        </w:rPr>
        <w:t xml:space="preserve">for further discussion and information on these derivative contracts. </w:t>
      </w:r>
    </w:p>
    <w:p>
      <w:pPr>
        <w:pStyle w:val="TextBody"/>
        <w:bidi w:val="0"/>
        <w:spacing w:lineRule="auto" w:line="288" w:before="120" w:after="120"/>
        <w:jc w:val="both"/>
        <w:rPr/>
      </w:pPr>
      <w:r>
        <w:rPr>
          <w:rFonts w:ascii="Times New Roman;sans-serif" w:hAnsi="Times New Roman;sans-serif"/>
          <w:b w:val="false"/>
          <w:color w:val="000000"/>
          <w:sz w:val="20"/>
        </w:rPr>
        <w:t xml:space="preserve">In addition, the Company has contingent consideration liabilities that are classified within Level 3 of the fair value hierarchy because they are measured at fair value using significant unobservable inputs, including management’s forecast of future revenues for the acquired businesses as well as management’s estimates of the likelihood of achieving the other specified criteria. Refer to </w:t>
      </w:r>
      <w:r>
        <w:rPr>
          <w:rFonts w:ascii="Times New Roman;sans-serif" w:hAnsi="Times New Roman;sans-serif"/>
          <w:b w:val="false"/>
          <w:i/>
          <w:color w:val="000000"/>
          <w:sz w:val="20"/>
        </w:rPr>
        <w:t xml:space="preserve">Note 16. Commitments and Contingencies </w:t>
      </w:r>
      <w:r>
        <w:rPr>
          <w:rFonts w:ascii="Times New Roman;sans-serif" w:hAnsi="Times New Roman;sans-serif"/>
          <w:b w:val="false"/>
          <w:color w:val="000000"/>
          <w:sz w:val="20"/>
        </w:rPr>
        <w:t>for additional information on these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and recorded at fair value on a recurring basis as of March 31, 2025 and December 31, 2024 consisted of the following:</w:t>
      </w:r>
    </w:p>
    <w:tbl>
      <w:tblPr>
        <w:tblW w:w="8581" w:type="dxa"/>
        <w:jc w:val="left"/>
        <w:tblInd w:w="0" w:type="dxa"/>
        <w:tblLayout w:type="fixed"/>
        <w:tblCellMar>
          <w:top w:w="28" w:type="dxa"/>
          <w:left w:w="28" w:type="dxa"/>
          <w:bottom w:w="28" w:type="dxa"/>
          <w:right w:w="28" w:type="dxa"/>
        </w:tblCellMar>
      </w:tblPr>
      <w:tblGrid>
        <w:gridCol w:w="1645"/>
        <w:gridCol w:w="1449"/>
        <w:gridCol w:w="1451"/>
        <w:gridCol w:w="385"/>
        <w:gridCol w:w="385"/>
        <w:gridCol w:w="386"/>
        <w:gridCol w:w="243"/>
        <w:gridCol w:w="912"/>
        <w:gridCol w:w="135"/>
        <w:gridCol w:w="287"/>
        <w:gridCol w:w="1078"/>
        <w:gridCol w:w="225"/>
      </w:tblGrid>
      <w:tr>
        <w:trPr/>
        <w:tc>
          <w:tcPr>
            <w:tcW w:w="164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Value </w:t>
              <w:br/>
              <w:t>Measurement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246,375 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contracts (not designated as hedges)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314,817 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324,062 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 currency rate swaps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hedges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37,179 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31,113 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3</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69,657 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117,766 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106,051 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roll forward of the fair value of the contingent consideration liabilities, as determined by Level 3 unobservable inputs, during the three months ended March 31, 2025 and 2024 were as follows:</w:t>
      </w:r>
    </w:p>
    <w:tbl>
      <w:tblPr>
        <w:tblW w:w="4903" w:type="dxa"/>
        <w:jc w:val="left"/>
        <w:tblInd w:w="0" w:type="dxa"/>
        <w:tblLayout w:type="fixed"/>
        <w:tblCellMar>
          <w:top w:w="28" w:type="dxa"/>
          <w:left w:w="28" w:type="dxa"/>
          <w:bottom w:w="28" w:type="dxa"/>
          <w:right w:w="28" w:type="dxa"/>
        </w:tblCellMar>
      </w:tblPr>
      <w:tblGrid>
        <w:gridCol w:w="824"/>
        <w:gridCol w:w="727"/>
        <w:gridCol w:w="728"/>
        <w:gridCol w:w="264"/>
        <w:gridCol w:w="871"/>
        <w:gridCol w:w="147"/>
        <w:gridCol w:w="264"/>
        <w:gridCol w:w="871"/>
        <w:gridCol w:w="207"/>
      </w:tblGrid>
      <w:tr>
        <w:trPr/>
        <w:tc>
          <w:tcPr>
            <w:tcW w:w="8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69,657 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87,312 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Change in fair value </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64,495 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87,768 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into or out of Level 3 during the three months ended March 31, 2025 and 2024.</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Assets and Liabilities Measured at Fair Value on a Non-Recurring Basis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remeasures the fair value of certain assets and liabilities, including property, plant and equipment; operating lease - right of use assets; and goodwill and other intangible assets, upon the occurrence of certain events. The amounts recognized were recorded to remeasure the carrying amount of assets to the assets’ fair values, which were generally estimated, based upon a market participant’s perspective, using Level 3 measurements, including values estimated using the income approach.</w:t>
      </w:r>
    </w:p>
    <w:p>
      <w:pPr>
        <w:pStyle w:val="TextBody"/>
        <w:bidi w:val="0"/>
        <w:spacing w:lineRule="auto" w:line="288" w:before="120" w:after="120"/>
        <w:jc w:val="both"/>
        <w:rPr/>
      </w:pPr>
      <w:r>
        <w:rPr>
          <w:rFonts w:ascii="Times New Roman;sans-serif" w:hAnsi="Times New Roman;sans-serif"/>
          <w:b w:val="false"/>
          <w:color w:val="000000"/>
          <w:sz w:val="20"/>
        </w:rPr>
        <w:t xml:space="preserve">Other than the fair value estimates disclosed in </w:t>
      </w:r>
      <w:r>
        <w:rPr>
          <w:rFonts w:ascii="Times New Roman;sans-serif" w:hAnsi="Times New Roman;sans-serif"/>
          <w:b w:val="false"/>
          <w:i/>
          <w:color w:val="000000"/>
          <w:sz w:val="20"/>
        </w:rPr>
        <w:t>Note 2. Acquisitions and Divestitures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Note 5. Goodwill and Other Intangible Assets</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Note 10. Leases and Related Party Leases</w:t>
      </w:r>
      <w:r>
        <w:rPr>
          <w:rFonts w:ascii="Times New Roman;sans-serif" w:hAnsi="Times New Roman;sans-serif"/>
          <w:b w:val="false"/>
          <w:color w:val="000000"/>
          <w:sz w:val="20"/>
        </w:rPr>
        <w:t>, there were no non-recurring fair value measurements during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the Company’s financial condition and results of operations should be read in conjunction with our unaudited condensed consolidated financial statements and the related notes thereto appearing elsewhere in this Quarterly Report on Form 10-Q (this “Quarterly Report”) and our consolidated financial statements included in our Annual Report on Form 10-K for the year ended December 31, 2024.</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made statements in this Quarterly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including, but not limited to, statements regarding our business strategy and plans, our growth and growth strategies, developments in the markets for our products and services, financial results, our planned product launches and effectiveness, our research and development strategy, regulatory approvals, our competitive strengths, objectives of management for future operations and current expectations or forecasts of future results, our expectations regarding the Boston facility and plans to operationalize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manufacturing facility in Braintree, Massachusetts (“the Braintree facility”), our transition of the manufacture of SurgiMend® and PriMatrix® to the Braintree facility, our ability to obtain a pre-market approval (“PMA”) of SurgiMend PRS in implant-based breast reconstruction and to obtain a PMA for Durasorb® in 2026 for multiple indications for implant-based breast reconstruction, our expectations regarding the Compliance Master Plan (“the CMP”) implementation and engagement, our restructuring and cost-saving initiatives, our intellectual property rights, litigation and tax matters, governmental proceedings and investigations, mergers and acquisitions, divestitures, market acceptance of our products and services, accounting estimates, financing activities, ongoing contractual obligations and compliance with restrictive and financial covenants of our outstanding indebtedness, working capital adequacy, value of our investments, our effective tax rate, estimates regarding the impact of tariffs adopted or implemented by the U.S. or other countries on our business, financial condition and results of operations, our expected returns to shareholders, and our sales efforts, are forward-looking statements. In some cases, these forward-looking statements may be identified by forward-looking words such as “believe,” “may,” “might,” “could,” “will,” “estimate,” “continue,” “anticipate,” “intend,” “seek,” “plan,” “expect,” “should,” “would” or the negative version of these words or other similar words and expressions in this Quarterly Report.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 We believe these risks include but are not limited to those described under the headings “Risk Factors” and “Special Note Regarding Forward-Looking Statements” in our Annual Report on Form 10-K for the year ended December 31, 2024 and in this Quarterly Report, as such factors may be updated from time to time in our periodic filings with the Securities and Exchange Commission (the “SEC”), which are accessible on the SEC’s website at https://www.sec.gov. Such risks and uncertainties include, but are not limited, to the following: the ongoing and possible future effects of global challenges, including macroeconomic uncertainties, inflation, supply chain disruptions, trade regulation and tariffs, political instability, violent conflicts, and other macroeconomic disruptions and U.S. and global recession concerns, on the Company’s customers and on the Company’s business, financial condition, results of operations and cash flows; the Company's ability to execute its operating plan effectively; the Company’s ability to successfully integrate acquired businesses; the Company’s ability to achieve sales growth in a timely fashion; the Company’s ability to manufacture and ship sufficient quantities of its products to meet its customers’ demands; the ability of third-party suppliers to supply us with raw materials and finished products; the Company’s ability to manage its direct sales channels effectively; the sales performance of third-party distributors on whom the Company relies to generate revenue for certain products and geographic regions; the Company’s ability to access and maintain relationships with customers of acquired entities and businesses; physicians’ willingness to adopt and third-party payors’ willingness to provide or maintain reimbursement for the Company’s recently launched, planned and existing products; initiatives launched by the Company's competitors; downward pricing pressures from customers; the Company's ability to secure regulatory approval for products in development; the Company’s ability to remediate quality systems violations; difficulties or delays in obtaining and maintaining required regulatory approvals related to the transition of manufacturing SurgiMend and PriMatrix to the Braintree facility and obtain pre-market approval of SurgiMend PRS in implant-based breast reconstruction; the possibility that costs or difficulties related to building and the operationalization of the Braintree facility or the transition of manufacturing activities from the Company’s Boston facility to the Braintree facility will be greater than expected; fluctuations in hospitals’ spending for capital equipment; the Company’s ability to comply with regulations regarding products of human origin and products containing materials derived from animal source; the impact of changes in management or staff levels; the impact of goodwill and intangible asset impairment charges if future operating results of acquired businesses are significantly less than the results anticipated at the time of the acquisitions, the Company’s ability to leverage its existing selling organizations and administrative infrastructure; the Company’s ability to increase product sales and gross margins, and control both product and non-product costs and expenses; the amount and timing of divestiture, acquisition and integration-related costs; the geographic distribution of where the Company generates its taxable income; new U.S. and foreign government laws and regulations, and changes in existing laws, regulations and enforcement guidance, which affect areas of our operations including, but not limited to, those affecting the health care industry, including the EU Medical Devices Regulation (“EU MDR”); the scope, duration and effect of additional U.S. and international governmental, regulatory, fiscal, monetary and public health responses to public health crises; fluctuations in foreign currency exchange rates; the amount of our bank borrowings outstanding and other factors influencing liquidity; our ability to comply with the covenants under the agreements governing our indebtedness and the potential negative consequences caused by non-compliance; potential negative impacts resulting from environmental, social and governance matters; disruptions at the FDA, including due to a reduction in the FDA's and CMS' workforce and/or inadequate funding for the FDA or CMS; and the potential impact of our compliance with governmental regulations and accounting guidance.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we undertake no obligation to publicly update or revise any forward-looking statements, whether as a result of new information, future events or otherwise, except to the extent required by applicable law. You should carefully consider forward-looking statements and understand that such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looking statements are inherently subject to risks and uncertainties, some of which cannot be predicted or quantified, and involve a variety of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Integra LifeSciences Holdings Corporation was founded in 1989 and is a leading global medical technology company innovating treatment pathways to advance patient outcomes and set new standards of surgical, neurologic, ear, nose, and throat (“ENT”) and regenerative care. Our common stock trades on the Nasdaq Global Select Market (“Nasdaq”) under the symbol “IART.” We have developed numerous product lines from our technologies for applications ranging from burn and deep tissue wounds to the repair of dura mater in the brain, as well as nerves and tendons. We have expanded our base regenerative technology business to include ENT, surgical instruments, neurosurgical products and advanced wound care through global acquisitions and product development to meet the evolving needs of our customers and enhance patient care.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Integra products are sold in more than 120 countries through a direct sales force as well as distributors and wholesalers. We manufacture and sell medical technologies and products in two reportable business segments: Codman Specialty Surgical (“CSS”) and Tissue Technologies (“TT”). The CSS segment, which represents approximately two-thirds of our total revenue, consists of market-leading technologies and instrumentation used for a wide range of specialties, such as neurosurgery, neurocritical care and otolaryngology. We are the world leader in neurosurgery and one of the top three providers in the U.S. in instruments used in precision, specialty, and general surgical procedures. Our TT segment generates about one-third of our overall revenue and focuses on three main areas: complex wound surgery, surgical reconstruction, and peripheral nerve repair.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key manufacturing and research facilities located in California, Maryland, Massachusetts, New Jersey, Ohio, Puerto Rico, Tennessee, Utah, France, Germany, Ireland, Israel and Switzerland. We source most of our handheld surgical instruments and dural sealant products through specialized third-party vendors.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strategies are focused around five pillars. Of these five pillars, three are core growth drivers: (1) innovating for outcomes, (2) growing internationally, and (3) broadening our impact on care pathways. Our execution of the core growth drivers is enabled by two additional pillars: (4) driving operational and customer excellence and (5) cultivating a high-performance culture. As outlined in greater detail below, we believe these five pillars will enable us to realize and advance our integrated growth strategy.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this end, our executive leadership team has established the following key priorities aligned to our five pillars:</w:t>
      </w:r>
    </w:p>
    <w:p>
      <w:pPr>
        <w:pStyle w:val="TextBody"/>
        <w:bidi w:val="0"/>
        <w:spacing w:lineRule="auto" w:line="288" w:before="120" w:after="120"/>
        <w:jc w:val="both"/>
        <w:rPr/>
      </w:pPr>
      <w:r>
        <w:rPr>
          <w:rFonts w:ascii="Times New Roman;sans-serif" w:hAnsi="Times New Roman;sans-serif"/>
          <w:b w:val="false"/>
          <w:i/>
          <w:color w:val="000000"/>
          <w:sz w:val="20"/>
        </w:rPr>
        <w:t>Innovating for Outcomes</w:t>
      </w:r>
      <w:r>
        <w:rPr>
          <w:rFonts w:ascii="Times New Roman;sans-serif" w:hAnsi="Times New Roman;sans-serif"/>
          <w:b w:val="false"/>
          <w:color w:val="000000"/>
          <w:sz w:val="20"/>
        </w:rPr>
        <w:t>. An important part of Integra’s growth strategy is introducing new products to strengthen and expand our portfolio</w:t>
      </w:r>
      <w:r>
        <w:rPr>
          <w:color w:val="000000"/>
        </w:rPr>
        <w:t xml:space="preserve"> </w:t>
      </w:r>
      <w:r>
        <w:rPr>
          <w:rFonts w:ascii="Times New Roman;sans-serif" w:hAnsi="Times New Roman;sans-serif"/>
          <w:b w:val="false"/>
          <w:color w:val="000000"/>
          <w:sz w:val="20"/>
        </w:rPr>
        <w:t xml:space="preserve">through clinical evidence to support regulatory approval and strong reimbursement of our product portfolio around the world, including new indications for existing technologies. In 2021, we filed a PMA application for a specific indication for SurgiMend in the use of post-mastectomy implant-based breast reconstruction (“IBBR”). We currently anticipate PMA approval following the completion of the construction, FDA approval and operationalization of our Braintree facility, which is expected in the first half of 2026. We are also pursuing a PMA for DuraSorb for multiple indications in the use in IBBR. We completed enrollment for the DuraSorb U.S. investigational device exemption (“IDE”) clinical trial for two-stage breast reconstruction in 2023 and we continue to advance the PMA application. Currently, we hope to secure PMA approval for DuraSorb in 2026.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2024 we expanded our urinary bladder matrix platform with the U.S. launch of MicroMatrix® Flex, a dual-syringe system enabling the convenient mixing and precise delivery of MicroMatrix paste to provide convenient access to hard-to-reach spaces and to help prepare an even wound surface in challenging wound areas.</w:t>
      </w:r>
    </w:p>
    <w:p>
      <w:pPr>
        <w:pStyle w:val="TextBody"/>
        <w:bidi w:val="0"/>
        <w:spacing w:lineRule="auto" w:line="288" w:before="120" w:after="120"/>
        <w:jc w:val="both"/>
        <w:rPr/>
      </w:pPr>
      <w:r>
        <w:rPr>
          <w:rFonts w:ascii="Times New Roman;sans-serif" w:hAnsi="Times New Roman;sans-serif"/>
          <w:b w:val="false"/>
          <w:color w:val="000000"/>
          <w:sz w:val="20"/>
        </w:rPr>
        <w:t>Additionally, in 2024,</w:t>
      </w:r>
      <w:r>
        <w:rPr>
          <w:color w:val="000000"/>
          <w:shd w:fill="FFFFFF" w:val="clear"/>
        </w:rPr>
        <w:t xml:space="preserve"> </w:t>
      </w:r>
      <w:r>
        <w:rPr>
          <w:rFonts w:ascii="Times New Roman;sans-serif" w:hAnsi="Times New Roman;sans-serif"/>
          <w:b w:val="false"/>
          <w:color w:val="000000"/>
          <w:sz w:val="20"/>
          <w:shd w:fill="FFFFFF" w:val="clear"/>
        </w:rPr>
        <w:t>we successfully re-launched our CereLink</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rPr>
        <w:t>intracranial pressure (“ICP”)</w:t>
      </w:r>
      <w:r>
        <w:rPr>
          <w:color w:val="000000"/>
          <w:shd w:fill="FFFFFF" w:val="clear"/>
        </w:rPr>
        <w:t xml:space="preserve"> </w:t>
      </w:r>
      <w:r>
        <w:rPr>
          <w:rFonts w:ascii="Times New Roman;sans-serif" w:hAnsi="Times New Roman;sans-serif"/>
          <w:b w:val="false"/>
          <w:color w:val="000000"/>
          <w:sz w:val="20"/>
          <w:shd w:fill="FFFFFF" w:val="clear"/>
        </w:rPr>
        <w:t>monitor system. CereLink provides advanced continuous ICP monitoring when treating patients with traumatic brain injuries and offers enhanced accuracy, usability and advanced data presentation compared to other leading ICP monitoring systems.</w:t>
      </w:r>
    </w:p>
    <w:p>
      <w:pPr>
        <w:pStyle w:val="TextBody"/>
        <w:bidi w:val="0"/>
        <w:spacing w:lineRule="auto" w:line="288" w:before="120" w:after="120"/>
        <w:jc w:val="both"/>
        <w:rPr/>
      </w:pPr>
      <w:r>
        <w:rPr>
          <w:rFonts w:ascii="Times New Roman;sans-serif" w:hAnsi="Times New Roman;sans-serif"/>
          <w:b w:val="false"/>
          <w:i/>
          <w:color w:val="000000"/>
          <w:sz w:val="20"/>
        </w:rPr>
        <w:t xml:space="preserve">Growing Internationally. </w:t>
      </w:r>
      <w:r>
        <w:rPr>
          <w:rFonts w:ascii="Times New Roman;sans-serif" w:hAnsi="Times New Roman;sans-serif"/>
          <w:b w:val="false"/>
          <w:color w:val="000000"/>
          <w:sz w:val="20"/>
        </w:rPr>
        <w:t>Over the years, we have been significantly expanding our global footprint through investments in our commercial and manufacturing organizations, the expansion and development of international markets and new product introductions. As part of our In-China-For-China strategy, we continue to build out our assembly capabilities in our facility in Suzhou, China. Several new products were introduced in select international markets in 2023 and 2024, including MicroMatrix and Certas Plus® Programmable Valve, which were launched in Europe, and CUSA Clarity laparoscopic tip, which was launched in Australia, New Zealand, Japan, Canada, South Africa and Israel. In addition, DuraGen® Secure received approval in Japan, while DuraGen Plus, an absorbable and sutureless collagen onlay indicated as a dura substitute for the repair of dura mater, and Certas Plus were approved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i/>
          <w:color w:val="000000"/>
          <w:sz w:val="20"/>
        </w:rPr>
        <w:t>Broadening Impact on Care Pathways</w:t>
      </w:r>
      <w:r>
        <w:rPr>
          <w:rFonts w:ascii="Times New Roman;sans-serif" w:hAnsi="Times New Roman;sans-serif"/>
          <w:b w:val="false"/>
          <w:color w:val="000000"/>
          <w:sz w:val="20"/>
        </w:rPr>
        <w:t xml:space="preserve">. We seek ways to develop and acquire products and technologies that impact the lives of patients, starting with the journey that a patient takes from diagnosis and treatment planning to surgery and postoperative care. We are well-established in acute care in the hospital setting and continue to leverage that strong position to grow in this segment and shape treatment pathways into preoperative care and additional sites of care. In April 2024, we successfully completed the acquisition of Acclarent, Inc. (“Acclarent”). Acclarent is an innovator and market leader in ENT procedures and the acquisition of Acclarent has positioned Integra as one of the leading providers of ENT products and technologies. Furthermore, we believe that, owing to the ENT business being an anatomical adjacency to neurosurgery, the acquisition will allow Integra to deliver future innovation both within the ENT business and across our other CSS technology platforms. </w:t>
      </w:r>
    </w:p>
    <w:p>
      <w:pPr>
        <w:pStyle w:val="TextBody"/>
        <w:bidi w:val="0"/>
        <w:spacing w:lineRule="auto" w:line="288" w:before="120" w:after="120"/>
        <w:jc w:val="both"/>
        <w:rPr/>
      </w:pPr>
      <w:r>
        <w:rPr>
          <w:rFonts w:ascii="Times New Roman;sans-serif" w:hAnsi="Times New Roman;sans-serif"/>
          <w:b w:val="false"/>
          <w:i/>
          <w:color w:val="000000"/>
          <w:sz w:val="20"/>
        </w:rPr>
        <w:t xml:space="preserve">Driving Operations and Customer Excellence. </w:t>
      </w:r>
      <w:r>
        <w:rPr>
          <w:rFonts w:ascii="Times New Roman;sans-serif" w:hAnsi="Times New Roman;sans-serif"/>
          <w:b w:val="false"/>
          <w:color w:val="000000"/>
          <w:sz w:val="20"/>
        </w:rPr>
        <w:t xml:space="preserve">We have been making investments to build more responsive and scalable processes, enhance the reliability of our quality systems and supply chain, and drive productivity initiatives to further supply and lower costs. We continue to invest in technologies, systems and processes to enhance the customer experience. We also continue to invest in our capacity expansion. This includes ongoing projects of transferring manufacturing from our Boston facility to our Braintree facility in Massachusetts and further investing in capacity and validating manufacturing processes in our manufacturing facility in Plainsboro, New Jersey. We are implementing the CMP, a systematic and holistic approach to improving our quality management system across our manufacturing and supply network. The primary objectives of the CMP are to remediate quality system gaps, harmonize the quality management system across the Company, and enhance the quality culture at the Company. </w:t>
      </w:r>
    </w:p>
    <w:p>
      <w:pPr>
        <w:pStyle w:val="TextBody"/>
        <w:bidi w:val="0"/>
        <w:spacing w:lineRule="auto" w:line="288" w:before="120" w:after="120"/>
        <w:jc w:val="both"/>
        <w:rPr/>
      </w:pPr>
      <w:r>
        <w:rPr>
          <w:rFonts w:ascii="Times New Roman;sans-serif" w:hAnsi="Times New Roman;sans-serif"/>
          <w:b w:val="false"/>
          <w:i/>
          <w:color w:val="000000"/>
          <w:sz w:val="20"/>
        </w:rPr>
        <w:t xml:space="preserve">Cultivating a High-Performance Culture. </w:t>
      </w:r>
      <w:r>
        <w:rPr>
          <w:rFonts w:ascii="Times New Roman;sans-serif" w:hAnsi="Times New Roman;sans-serif"/>
          <w:b w:val="false"/>
          <w:color w:val="000000"/>
          <w:sz w:val="20"/>
        </w:rPr>
        <w:t>In seeking to sustain a culture of excellence and accountability, we focus on employee empowerment, professional development and building an environment where all employees can contribute to their fullest potential. These efforts have been recognized through our inclusion in several best workplace lists globally. Additionally, we continue to advance our broader organizational sustainability initiatives and published our third annual environmental, social and governance (“ESG”) report. For more information on our ESG strategy, goals, performance, and achievements, please visit “Our Company—ESG Report” at https://www.integralife.com/esg-report. Information on our website is not incorporated by reference herein and is not part of this Quarterly Report on Form 10-Q.</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New Product Introductions and Research and Development Updates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collecting clinical evidence to support our existing products and new product launches, and to ensure that we obtain market access for broader and more cost-effective solutions.</w:t>
      </w:r>
    </w:p>
    <w:p>
      <w:pPr>
        <w:pStyle w:val="TextBody"/>
        <w:bidi w:val="0"/>
        <w:spacing w:lineRule="auto" w:line="288" w:before="120" w:after="120"/>
        <w:jc w:val="both"/>
        <w:rPr/>
      </w:pPr>
      <w:r>
        <w:rPr>
          <w:rFonts w:ascii="Times New Roman;sans-serif" w:hAnsi="Times New Roman;sans-serif"/>
          <w:b w:val="false"/>
          <w:i/>
          <w:color w:val="000000"/>
          <w:sz w:val="20"/>
        </w:rPr>
        <w:t>Neurosurgical Solutions, Surgical Instruments, and ENT Solutions.</w:t>
      </w:r>
      <w:r>
        <w:rPr>
          <w:color w:val="000000"/>
        </w:rPr>
        <w:t xml:space="preserve"> </w:t>
      </w:r>
      <w:r>
        <w:rPr>
          <w:rFonts w:ascii="Times New Roman;sans-serif" w:hAnsi="Times New Roman;sans-serif"/>
          <w:b w:val="false"/>
          <w:color w:val="000000"/>
          <w:sz w:val="20"/>
        </w:rPr>
        <w:t xml:space="preserve">The CSS neurosurgical business consists of a broad portfolio of market-leading brands, such as Codman®, DuraGen, DuraSeal®, CUSA®, CereLink, Mayfield®, Bactiseal®, and Certas Plus,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Because our electromechanical products and instruments address significant needs in surgical procedures and limit uncertainty for surgeons, we continue to invest in registrations, clearances, and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cerebrospinal fluid management, neuro-critical care monitoring, minimally invasive instruments and electrosurgery and ultrasonic medical technologies, as well as our ambition to transform the standard of care in neurosurgery with product advancements in minimally invasive surgery and the surgical management of intracerebral hemorrhage. Our lighting franchise is among the most dynamic in the industry.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advance the early-stage technology platforms we acquired in 2019. Through the acquisition of Arkis Biosciences, Inc. (“Arkis”) we added a platform technology, CerebroFlo® external ventricular drainage (“EVD”), a catheter with Endexo® technology, a permanent additive which has shown to be effective in reducing platelet adhesion in-vitro, reducing thrombus accumulation in-vitro and in vivo, and reducing the clinical incidence of thrombus formation.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product.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continue to advance our innovation from the Rebound Therapeutics Corporation (“Rebound Therapeutics”), which was acquired in 2019. Rebound Therapeutics specializes in a single-use medical device, known as the Aurora® Surgiscope, which is the only tubular retractor system designed for cranial surgery with an integrated access channel, camera and lighting. The 15mm x 60mm and 15mm x 80mm Aurora Surgiscope System received 510(k) clearance from the FDA in 2025.</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we acquired Acclarent, expanding our capabilities in the U.S. ENT market. Acclarent pioneered the balloon sinuplasty market and has a broad portfolio including the RELIEVA SPINPLUS® Balloon Sinuplasty System. Acclarent also pioneered eustachian tube balloon dilation and currently markets the AERA® Eustachian Tube Dilation System, which received 510(k)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clearance for expanded pediatric indications in 2023. Acclarent also sells the TruDi® Navigation System, which includes a portfolio of navigated surgical instrumentation.</w:t>
      </w:r>
    </w:p>
    <w:p>
      <w:pPr>
        <w:pStyle w:val="TextBody"/>
        <w:bidi w:val="0"/>
        <w:spacing w:lineRule="auto" w:line="288" w:before="120" w:after="120"/>
        <w:jc w:val="both"/>
        <w:rPr/>
      </w:pPr>
      <w:r>
        <w:rPr>
          <w:rFonts w:ascii="Times New Roman;sans-serif" w:hAnsi="Times New Roman;sans-serif"/>
          <w:b w:val="false"/>
          <w:i/>
          <w:color w:val="000000"/>
          <w:sz w:val="20"/>
        </w:rPr>
        <w:t>Regenerative Technologies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We were the first company to receive FDA approval for regeneration of dermal tissue and are a world leader in regenerative technology.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including the management of chronic and acute wounds, tendon and nerve repair. Our regenerative technology platform includes our legacy Integra® Dermal Regeneration Template (“IDRT”) products and complementary technologies that we have acquired. Our collagen manufacturing capability, combined with our history of innovation, provides us with strong platform technologies for multiple indications.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filed a PMA application for a specific indication for SurgiMend for use in post-mastectomy IBBR and in 2024 received approvable pending GMP status from FDA, which approved and closed out the clinical portion of this PMA application. We anticipate PMA approval following FDA approval and operationalization of the Braintree facility, which is expected in the first half of 2026.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acquired SIA, which also submitted a PMA application for multiple indications for DuraSorb for use in IBBR. In 2023 we completed enrollment in the DuraSorb U.S. IDE clinical trial for two-stage breast reconstruction; and continue to advance the PMA application. Currently, we hope to secure PMA approval for DuraSorb for use in IBBR in 2026. By offering two distinct product solutions for multiple indications for use in IBBR, we believe we have the opportunity to build a leading position in the IBBR market.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MicroMatrix Flex, used in the management of wounds with hard-to-reach geometries, such as deep wounds that present with tunneling or undermining, became commercially available in the U.S.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2024, we also acquired the product rights for Durepair Dural Regeneration Matrix, which is expected to strengthen our dural repair product portfolio and will be manufactured at the Braintree facility.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European Union Medical Device Regulation Updates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work towards certifying our products under the EU MDR. In recent years, we received EU MDR certification in our CSS segment for Hakim Programmable Valves, Certas Plus with and without Bactiseal catheters, Surgical Patties &amp; Strips, DuraSeal Dural, and DuraGen Suturable, as well as IDRT, BioPatch, MicroMatrix, and Cytal in our TT segment. Although we do not currently anticipate any disruption to our commercial activities in Europe related to EU MDR, we cannot provide assurance of our ability to timely comply with all applicable requirements of EU MDR and our failure to meet the applicable EU MDR requirements could adversely impact our business in the EU and other regions that tie their product registrations to the EU requirements.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FDA Matters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19, 2024, a subsidiary of the Company received a warning letter from the FDA (the “2024 Warning Letter”). The 2024 Warning Letter relates to quality system issues identified during FDA inspections at three of the Company’s facilities located in Mansfield, Massachusetts; Plainsboro, New Jersey; and Princeton, New Jersey. The 2024 Warning Letter did not identify any new observations that had not already been provided in the Form 483s previously issued to the Company by the FDA at the conclusion of its three inspections in June and August of 2024 (the “2024 Form 483s”). In the 2024 Form 483s, the FDA deemed certain of the Company's devices, including cranial perforators, disposable cottonoid patties and strips, and collagen-based products, to be out of compliance with respect to quality system regulations. At that time, the Company took a number of voluntary actions including the initiation of shipping holds for several products and a voluntary recall of the disposable patties and strips. The 2024 Warning Letter does not restrict the Company’s ability to manufacture or ship products, require recall of any products, nor restrict the Company’s ability to seek FDA 510(k) clearance of products. The 2024 Warning Letter states that premarket approval applications for Class III devices to which the quality system regulation violations are reasonably related will not be approved until the violations have been corrected. The Company has submitted several responses to the 2024 Form 483s issued to each of the three manufacturing facilities to the FDA and has submitted two updates to the 2024 Warning Letter in the first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7, 2019, TEI Biosciences, Inc. (“TEI”), one of our wholly-owned subsidiaries, received a Warning Letter (the “2019 Warning Letter”), dated March 6, 2019, from the FDA. The 2019 Warning Letter was related to quality systems issues at TEI’s manufacturing facility located in Boston, Massachusetts (the “Boston facility”). The Boston facility manufactures extracellular bovine matrix products in our TT segment that are sold both in wound reconstruction and care and in private label channels. The letter resulted from an inspection held at that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our corrective actions. On October 28, 2021, the FDA initiated an inspection of the facility and at the conclusion of the inspection, issued an FDA Form 483 on November 12, 2021 (the “2021 Form 483”). We provided an initial response to the inspection observations. On March 1, 2023, the FDA commenced an inspection of the Boston facility and issued an FDA Form 483 at the conclusion of this inspection (the “2023 Form 483”). In May 2023, after consultation with the FDA, the Company initiated a voluntary global recall of all products manufactured at the Boston facility, including PriMatrix, SurgiMend, Revize™, and TissueMend™, distributed between March 1, 2018 and May 22, 2023. On July 19, 2023, TEI received a Warning Letter, dated July 17, 2023, from the FDA related to quality system issues at the Boston facility (the “2023 Warning Letter”). The 2023 Warning Letter did not identify any new observations that had not already been provided in the 2023 Form 483. The Company has submitted periodic responses to the FDA for both the 2023 Form 483 and the 2023 Warning Letter. We are committed to resolving the matters identified in the warning letters and Form 483s and are continuing our significant efforts to remediate the observations.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warning letters do not restrict the Company’s ability to seek FDA 510(k) clearance of products, PMAs for Class III devices to which the quality system regulation violations are reasonably related will not be approved until the violations have been addressed. Following its assessment of the results of a third-party audit of the Boston facility, the Company announced in the second quarter of 2024 that it no longer plans to restart the manufacture of PriMatrix and SurgiMend at its Boston facility and will, instead, restart manufacturing of these products at its new tissue manufacturing at the Braintree facility. In addition, the Company also plans to manufacture Durepair Dural Regeneration Matrix at the Braintree facility. The Company anticipates the Braintree facility to be operational with FDA approval in the first half of 2026.</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give any assurances that the FDA will be satisfied with our response to the issues identified by the FDA in any of the foregoing Form 483s or warning letters or as to the expected date of the resolution of such issues. Until the issues cited by the FDA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Optimization and Integration Activities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ongoing acquisition strategy and significant growth in recent years, we have undertaken cost-saving initiatives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both audits by regulatory agencies as well as our own reviews of the Company’s quality management system, we are in the process of implementing the CMP, a systematic and holistic approach to improving our quality management system across our manufacturing and supply network. The primary objectives of the CMP are to remediate quality system gaps, harmonize the quality management system across the Company, and enhance the quality culture at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Net loss for the </w:t>
      </w:r>
      <w:r>
        <w:rPr>
          <w:rFonts w:ascii="Times New Roman;sans-serif" w:hAnsi="Times New Roman;sans-serif"/>
          <w:b w:val="false"/>
          <w:color w:val="000000"/>
          <w:sz w:val="20"/>
        </w:rPr>
        <w:t xml:space="preserve">three </w:t>
      </w:r>
      <w:r>
        <w:rPr>
          <w:rFonts w:ascii="Times New Roman;sans-serif" w:hAnsi="Times New Roman;sans-serif"/>
          <w:b w:val="false"/>
          <w:color w:val="000000"/>
          <w:sz w:val="20"/>
          <w:shd w:fill="FFFFFF" w:val="clear"/>
        </w:rPr>
        <w:t xml:space="preserve">months ended March 31, 2025 was $(25.3) million, or $(0.33) per diluted share, as compared to net loss of $(3.3) million or $(0.04) per diluted share for the </w:t>
      </w:r>
      <w:r>
        <w:rPr>
          <w:rFonts w:ascii="Times New Roman;sans-serif" w:hAnsi="Times New Roman;sans-serif"/>
          <w:b w:val="false"/>
          <w:color w:val="000000"/>
          <w:sz w:val="20"/>
        </w:rPr>
        <w:t xml:space="preserve">three months </w:t>
      </w:r>
      <w:r>
        <w:rPr>
          <w:rFonts w:ascii="Times New Roman;sans-serif" w:hAnsi="Times New Roman;sans-serif"/>
          <w:b w:val="false"/>
          <w:color w:val="000000"/>
          <w:sz w:val="20"/>
          <w:shd w:fill="FFFFFF" w:val="clear"/>
        </w:rPr>
        <w:t xml:space="preserve">ended March 31, 2024. </w:t>
      </w:r>
      <w:r>
        <w:rPr>
          <w:rFonts w:ascii="Times New Roman;sans-serif" w:hAnsi="Times New Roman;sans-serif"/>
          <w:b w:val="false"/>
          <w:color w:val="000000"/>
          <w:sz w:val="20"/>
        </w:rPr>
        <w:t>The decrease in net income for the three months ended March 31, 2025, was primarily driven by the impact of quality and operational issues on revenue and associated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Special Charges</w:t>
      </w:r>
    </w:p>
    <w:p>
      <w:pPr>
        <w:pStyle w:val="TextBody"/>
        <w:bidi w:val="0"/>
        <w:spacing w:lineRule="auto" w:line="288" w:before="120" w:after="120"/>
        <w:jc w:val="left"/>
        <w:rPr/>
      </w:pPr>
      <w:r>
        <w:rPr>
          <w:rFonts w:ascii="Times New Roman;sans-serif" w:hAnsi="Times New Roman;sans-serif"/>
          <w:b w:val="false"/>
          <w:color w:val="000000"/>
          <w:sz w:val="20"/>
        </w:rPr>
        <w:t>Income before taxes includes the following special charges</w:t>
      </w:r>
      <w:r>
        <w:rPr>
          <w:rFonts w:ascii="Times New Roman;sans-serif" w:hAnsi="Times New Roman;sans-serif"/>
          <w:b/>
          <w:color w:val="000000"/>
          <w:sz w:val="20"/>
        </w:rPr>
        <w:t>:</w:t>
      </w:r>
    </w:p>
    <w:tbl>
      <w:tblPr>
        <w:tblW w:w="9564" w:type="dxa"/>
        <w:jc w:val="left"/>
        <w:tblInd w:w="0" w:type="dxa"/>
        <w:tblLayout w:type="fixed"/>
        <w:tblCellMar>
          <w:top w:w="28" w:type="dxa"/>
          <w:left w:w="28" w:type="dxa"/>
          <w:bottom w:w="28" w:type="dxa"/>
          <w:right w:w="28" w:type="dxa"/>
        </w:tblCellMar>
      </w:tblPr>
      <w:tblGrid>
        <w:gridCol w:w="2000"/>
        <w:gridCol w:w="1754"/>
        <w:gridCol w:w="1759"/>
        <w:gridCol w:w="313"/>
        <w:gridCol w:w="1037"/>
        <w:gridCol w:w="174"/>
        <w:gridCol w:w="174"/>
        <w:gridCol w:w="174"/>
        <w:gridCol w:w="174"/>
        <w:gridCol w:w="313"/>
        <w:gridCol w:w="1037"/>
        <w:gridCol w:w="174"/>
        <w:gridCol w:w="109"/>
        <w:gridCol w:w="109"/>
        <w:gridCol w:w="109"/>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divestiture and integration-related charges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Structural optimization charges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 medical device regulation</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Boston recall / Braintree transition</w:t>
            </w:r>
            <w:r>
              <w:rPr>
                <w:rFonts w:ascii="Times New Roman;sans-serif" w:hAnsi="Times New Roman;sans-serif"/>
                <w:b w:val="false"/>
                <w:color w:val="000000"/>
                <w:sz w:val="12"/>
              </w:rPr>
              <w:t>(1)</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83" w:type="dxa"/>
            <w:gridSpan w:val="12"/>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4"/>
              </w:rPr>
              <w:t>This primarily includes idle capacity charges, inventory write offs, site transfer costs, quality remediation costs, right of use and fixed asset impairments.</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items reported above are reflected in the condensed consolidated statements of operations as follows:</w:t>
      </w:r>
    </w:p>
    <w:tbl>
      <w:tblPr>
        <w:tblW w:w="5609" w:type="dxa"/>
        <w:jc w:val="center"/>
        <w:tblInd w:w="0" w:type="dxa"/>
        <w:tblLayout w:type="fixed"/>
        <w:tblCellMar>
          <w:top w:w="28" w:type="dxa"/>
          <w:left w:w="28" w:type="dxa"/>
          <w:bottom w:w="28" w:type="dxa"/>
          <w:right w:w="28" w:type="dxa"/>
        </w:tblCellMar>
      </w:tblPr>
      <w:tblGrid>
        <w:gridCol w:w="925"/>
        <w:gridCol w:w="812"/>
        <w:gridCol w:w="813"/>
        <w:gridCol w:w="226"/>
        <w:gridCol w:w="748"/>
        <w:gridCol w:w="126"/>
        <w:gridCol w:w="126"/>
        <w:gridCol w:w="126"/>
        <w:gridCol w:w="126"/>
        <w:gridCol w:w="226"/>
        <w:gridCol w:w="748"/>
        <w:gridCol w:w="126"/>
        <w:gridCol w:w="109"/>
        <w:gridCol w:w="109"/>
        <w:gridCol w:w="109"/>
        <w:gridCol w:w="154"/>
      </w:tblGrid>
      <w:tr>
        <w:trPr/>
        <w:tc>
          <w:tcPr>
            <w:tcW w:w="9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Cost of goods sold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define special charges as items for which the amounts and/or timing of such expenses may vary significantly from period to period, depending upon our acquisition, divestiture, integration and restructuring activities; items for which the amounts are non-cash in nature; and items which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the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the Company.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Revenues and Gross Margin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and gross margin on product revenues were as follows:</w:t>
      </w:r>
    </w:p>
    <w:tbl>
      <w:tblPr>
        <w:tblW w:w="6563" w:type="dxa"/>
        <w:jc w:val="center"/>
        <w:tblInd w:w="0" w:type="dxa"/>
        <w:tblLayout w:type="fixed"/>
        <w:tblCellMar>
          <w:top w:w="28" w:type="dxa"/>
          <w:left w:w="28" w:type="dxa"/>
          <w:bottom w:w="28" w:type="dxa"/>
          <w:right w:w="28" w:type="dxa"/>
        </w:tblCellMar>
      </w:tblPr>
      <w:tblGrid>
        <w:gridCol w:w="1241"/>
        <w:gridCol w:w="1089"/>
        <w:gridCol w:w="1090"/>
        <w:gridCol w:w="349"/>
        <w:gridCol w:w="206"/>
        <w:gridCol w:w="485"/>
        <w:gridCol w:w="194"/>
        <w:gridCol w:w="194"/>
        <w:gridCol w:w="194"/>
        <w:gridCol w:w="349"/>
        <w:gridCol w:w="206"/>
        <w:gridCol w:w="485"/>
        <w:gridCol w:w="109"/>
        <w:gridCol w:w="109"/>
        <w:gridCol w:w="109"/>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Net Sales</w:t>
            </w:r>
          </w:p>
        </w:tc>
        <w:tc>
          <w:tcPr>
            <w:tcW w:w="2662"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Codman Specialty Surgical</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280,664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Tissue Technologies</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101,989</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382,653</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188,221</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 on total revenues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194,432</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 as a percentage of total revenues</w:t>
            </w:r>
          </w:p>
        </w:tc>
        <w:tc>
          <w:tcPr>
            <w:tcW w:w="5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Three Months Ended March 31, 2025 as Compared to Three Months Ended March 31, 2024</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Revenues and Gross Margin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total revenues increased by $13.8 million to $382.7 million from $368.9 million for the same period in 2024. Excluding the impacts of the Acclarent acquisition and foreign currency impact, revenues declined low single digits compared to the same period in the previous year, driven by impacts from quality and operational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CSS segment, revenues were $280.7 million which was an increase of $24.2 million, or 9% as compared to the prior-year period, inclusive of $29.1 million related to the Acclarent acquisition. Excluding the impact of the Acclarent acquisition, the Neurosurgery portfolio decreased low single digits, primarily driven by a decline in Dural Access and Repair, Advanced Energy and Neuro Monitoring, offset by strong performance in our Instrument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TT segment, revenues were $102.0 million which was a decrease of $10.4 million, or 9% as compared to the prior-year period. This is primarily attributable to declines in Integra Skin and our private label business due to production and supply challenges, partially offset by growth in MicroMatrix &amp; Cytal, and Durasorb.</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was $194.4 million for the three months ended March 31, 2025, a decrease of $12.4 million from $206.8 million for the same period in 2024. Gross margin as a percentage of revenues was 50.8% for the three months ended March 31, 2025 and 56.1% for the same period in 2024. For the three months ended March 31, 2025, gross margins were impacted by expenses associated with quality and operational issues. For the three months ended March 31, 2024, gross margins were impacted by expenses associated with the Boston recall, as well as additional manufacturing expenses across our manufacturing sites.</w:t>
      </w:r>
    </w:p>
    <w:p>
      <w:pPr>
        <w:pStyle w:val="TextBody"/>
        <w:bidi w:val="0"/>
        <w:spacing w:lineRule="auto" w:line="288" w:before="120" w:after="120"/>
        <w:jc w:val="both"/>
        <w:rPr/>
      </w:pPr>
      <w:r>
        <w:rPr>
          <w:rFonts w:ascii="Times New Roman;sans-serif" w:hAnsi="Times New Roman;sans-serif"/>
          <w:b/>
          <w:color w:val="000000"/>
          <w:sz w:val="20"/>
        </w:rPr>
        <w:t>Operating Ex</w:t>
      </w:r>
      <w:r>
        <w:rPr>
          <w:rFonts w:ascii="Times New Roman;sans-serif" w:hAnsi="Times New Roman;sans-serif"/>
          <w:b/>
          <w:color w:val="000000"/>
          <w:sz w:val="20"/>
          <w:shd w:fill="FFFFFF" w:val="clear"/>
        </w:rPr>
        <w:t>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operating expenses as a percent of total revenues:</w:t>
      </w:r>
    </w:p>
    <w:tbl>
      <w:tblPr>
        <w:tblW w:w="5270" w:type="dxa"/>
        <w:jc w:val="left"/>
        <w:tblInd w:w="0" w:type="dxa"/>
        <w:tblLayout w:type="fixed"/>
        <w:tblCellMar>
          <w:top w:w="28" w:type="dxa"/>
          <w:left w:w="28" w:type="dxa"/>
          <w:bottom w:w="28" w:type="dxa"/>
          <w:right w:w="28" w:type="dxa"/>
        </w:tblCellMar>
      </w:tblPr>
      <w:tblGrid>
        <w:gridCol w:w="923"/>
        <w:gridCol w:w="812"/>
        <w:gridCol w:w="814"/>
        <w:gridCol w:w="267"/>
        <w:gridCol w:w="216"/>
        <w:gridCol w:w="509"/>
        <w:gridCol w:w="216"/>
        <w:gridCol w:w="216"/>
        <w:gridCol w:w="216"/>
        <w:gridCol w:w="267"/>
        <w:gridCol w:w="216"/>
        <w:gridCol w:w="598"/>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amortization</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4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which consist of research and development, selling, general and administrative, and amortization expenses, increased by $7.1 million, or 3.5%, to $209.9 million in the three months ended March 31, 2025, compared to $202.9 million in the same period in 2024.</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three months ended March 31, 2025 decreased by $2.2 million as compared to the same period in the prior year, primarily attributable to lower spend on EU MDR and other research and development projects.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costs for the three months ended March 31, 2025 increased by $15.7 million as compared to the same period in the prior year, primarily driven by Acclarent commercial costs.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Intangible Asset Amortization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(which does not include amounts reported in cost of product revenues for technology-based intangible assets) for the three months ended March 31, 2025 was $3.7 million compared to $10.1 million for the same period in the prior year. The decrease is primarily due to the impairment of customer relationship intangible related to our Boston facility, which was recorded during the three months ended March 31, 2024.</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Non-Operating Income and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non-operating income and expense:</w:t>
      </w:r>
    </w:p>
    <w:tbl>
      <w:tblPr>
        <w:tblW w:w="5606" w:type="dxa"/>
        <w:jc w:val="left"/>
        <w:tblInd w:w="0" w:type="dxa"/>
        <w:tblLayout w:type="fixed"/>
        <w:tblCellMar>
          <w:top w:w="28" w:type="dxa"/>
          <w:left w:w="28" w:type="dxa"/>
          <w:bottom w:w="28" w:type="dxa"/>
          <w:right w:w="28" w:type="dxa"/>
        </w:tblCellMar>
      </w:tblPr>
      <w:tblGrid>
        <w:gridCol w:w="1083"/>
        <w:gridCol w:w="950"/>
        <w:gridCol w:w="952"/>
        <w:gridCol w:w="220"/>
        <w:gridCol w:w="811"/>
        <w:gridCol w:w="122"/>
        <w:gridCol w:w="122"/>
        <w:gridCol w:w="122"/>
        <w:gridCol w:w="122"/>
        <w:gridCol w:w="220"/>
        <w:gridCol w:w="709"/>
        <w:gridCol w:w="173"/>
      </w:tblGrid>
      <w:tr>
        <w:trPr/>
        <w:tc>
          <w:tcPr>
            <w:tcW w:w="108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non-operating income and expense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(9,194)</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120"/>
        <w:jc w:val="both"/>
        <w:rPr/>
      </w:pPr>
      <w:r>
        <w:rPr>
          <w:rFonts w:ascii="Times New Roman;sans-serif" w:hAnsi="Times New Roman;sans-serif"/>
          <w:b w:val="false"/>
          <w:color w:val="000000"/>
          <w:sz w:val="20"/>
        </w:rPr>
        <w:t xml:space="preserve">Interest income for the three months ended March 31, 2025 decreased by $0.6 million as </w:t>
      </w:r>
      <w:r>
        <w:rPr>
          <w:rFonts w:ascii="Times New Roman;sans-serif" w:hAnsi="Times New Roman;sans-serif"/>
          <w:b w:val="false"/>
          <w:color w:val="000000"/>
          <w:sz w:val="20"/>
          <w:shd w:fill="FFFFFF" w:val="clear"/>
        </w:rPr>
        <w:t>compared to the same period in the prior year</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March 31, 2025 increased by $5.2 million as compared to the same period in the prior year primarily due to the expiration of interest rate swap derivative instruments with a notional value of $350.0 million during 2024 that are no longer hedging interest expense in 2025.</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for the three months ended March 31, 2025 decreased by $0.5 million compared to the same period in the prior year, primarily driven by foreign exchange impact.</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tbl>
      <w:tblPr>
        <w:tblW w:w="5193" w:type="dxa"/>
        <w:jc w:val="left"/>
        <w:tblInd w:w="0" w:type="dxa"/>
        <w:tblLayout w:type="fixed"/>
        <w:tblCellMar>
          <w:top w:w="28" w:type="dxa"/>
          <w:left w:w="28" w:type="dxa"/>
          <w:bottom w:w="28" w:type="dxa"/>
          <w:right w:w="28" w:type="dxa"/>
        </w:tblCellMar>
      </w:tblPr>
      <w:tblGrid>
        <w:gridCol w:w="930"/>
        <w:gridCol w:w="817"/>
        <w:gridCol w:w="818"/>
        <w:gridCol w:w="196"/>
        <w:gridCol w:w="721"/>
        <w:gridCol w:w="256"/>
        <w:gridCol w:w="109"/>
        <w:gridCol w:w="109"/>
        <w:gridCol w:w="109"/>
        <w:gridCol w:w="196"/>
        <w:gridCol w:w="631"/>
        <w:gridCol w:w="301"/>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rates for the three months ended March 31, 2025 and 2024 were 15.8% and 37.3%, respectively. For the three months ended March 31, 2025, the Company’s effective tax rate was driven by federal, state, and international tax benefits generated from operating losses in certain jurisdictions, offset by the inclusion of U.S. Global Intangible Low-Taxed Income (“GILTI”) and additional taxes to meet the global minimum tax in certain foreign jurisdictions. For the three months ended March 31, 2024, the Company’s effective tax rate was driven by a $1.5 million shortfall from stock based compensation, offset by a tax benefit for intangible asset impairment.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changes to income tax laws and regulations, in any of the tax jurisdictions in which the Company operates, could impact the effective tax rate. Various governments, both U.S. and non-U.S., are increasingly focused on tax reform and revenue-raising legislation. The current U.S. administration and legislators are considering new tax legislation, which may impact the Company's income tax provision. Further, legislation in foreign jurisdictions may be enacted, in continued response to the base erosion and profit-sharing project begun by the Organization for Economic Cooperation and Development (“OECD”).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OECD released model rules related to a new 15% global minimum tax regime (“Pillar 2”). Several of the jurisdictions in which we operate have already adopted some form of the model rules, which could impact the amount of taxes that the Company pays during 2025 and future taxable periods. The rules are complex and provide for delays for implementing the tax during the early transition years, if certain conditions are met. At this time, the Company is projecting a $2.7 million expense related to Pillar 2 tax liability for the 2025 year. The Company will continue to analyze the new Pillar 2 laws and any related guidance to determine potential impacts. Such changes in U.S. and non-U.S. jurisdictions could have an adverse effect on the Company’s effective tax rate. The Company will continue to monitor legislative activity across its U.S. and non-U.S. jurisdictions.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that we expect to pay in the coming year, which would be classified as current income taxes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GEOGRAPHIC PRODUCT REVENUES AND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attribute revenues to geographic areas based on the location of the customer. Total revenue by major geographic area consisted of the following:</w:t>
      </w:r>
    </w:p>
    <w:p>
      <w:pPr>
        <w:pStyle w:val="TextBody"/>
        <w:bidi w:val="0"/>
        <w:spacing w:before="0" w:after="0"/>
        <w:jc w:val="both"/>
        <w:rPr/>
      </w:pPr>
      <w:r>
        <w:rPr/>
      </w:r>
    </w:p>
    <w:tbl>
      <w:tblPr>
        <w:tblW w:w="4585" w:type="dxa"/>
        <w:jc w:val="left"/>
        <w:tblInd w:w="0" w:type="dxa"/>
        <w:tblLayout w:type="fixed"/>
        <w:tblCellMar>
          <w:top w:w="28" w:type="dxa"/>
          <w:left w:w="28" w:type="dxa"/>
          <w:bottom w:w="28" w:type="dxa"/>
          <w:right w:w="28" w:type="dxa"/>
        </w:tblCellMar>
      </w:tblPr>
      <w:tblGrid>
        <w:gridCol w:w="555"/>
        <w:gridCol w:w="487"/>
        <w:gridCol w:w="488"/>
        <w:gridCol w:w="209"/>
        <w:gridCol w:w="788"/>
        <w:gridCol w:w="116"/>
        <w:gridCol w:w="116"/>
        <w:gridCol w:w="116"/>
        <w:gridCol w:w="116"/>
        <w:gridCol w:w="209"/>
        <w:gridCol w:w="788"/>
        <w:gridCol w:w="116"/>
        <w:gridCol w:w="109"/>
        <w:gridCol w:w="109"/>
        <w:gridCol w:w="109"/>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382,653 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368,872 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pStyle w:val="TextBody"/>
        <w:bidi w:val="0"/>
        <w:spacing w:lineRule="auto" w:line="288" w:before="120" w:after="120"/>
        <w:jc w:val="both"/>
        <w:rPr/>
      </w:pPr>
      <w:r>
        <w:rPr>
          <w:rFonts w:ascii="Times New Roman;sans-serif" w:hAnsi="Times New Roman;sans-serif"/>
          <w:b w:val="false"/>
          <w:color w:val="000000"/>
          <w:sz w:val="20"/>
        </w:rPr>
        <w:t xml:space="preserve">Domestic revenues increased by $26.0 million for the three months ended March 31, 2025 compared to the same period in the prior year. </w:t>
      </w:r>
      <w:r>
        <w:rPr>
          <w:rFonts w:ascii="Times New Roman;sans-serif" w:hAnsi="Times New Roman;sans-serif"/>
          <w:b w:val="false"/>
          <w:color w:val="000000"/>
          <w:sz w:val="20"/>
          <w:shd w:fill="FFFFFF" w:val="clear"/>
        </w:rPr>
        <w:t xml:space="preserve">European sales </w:t>
      </w:r>
      <w:r>
        <w:rPr>
          <w:rFonts w:ascii="Times New Roman;sans-serif" w:hAnsi="Times New Roman;sans-serif"/>
          <w:b w:val="false"/>
          <w:color w:val="000000"/>
          <w:sz w:val="20"/>
        </w:rPr>
        <w:t>decreased</w:t>
      </w:r>
      <w:r>
        <w:rPr>
          <w:color w:val="000000"/>
          <w:shd w:fill="FFFFFF" w:val="clear"/>
        </w:rPr>
        <w:t xml:space="preserve"> </w:t>
      </w:r>
      <w:r>
        <w:rPr>
          <w:rFonts w:ascii="Times New Roman;sans-serif" w:hAnsi="Times New Roman;sans-serif"/>
          <w:b w:val="false"/>
          <w:color w:val="000000"/>
          <w:sz w:val="20"/>
          <w:shd w:fill="FFFFFF" w:val="clear"/>
        </w:rPr>
        <w:t xml:space="preserve">by </w:t>
      </w:r>
      <w:r>
        <w:rPr>
          <w:rFonts w:ascii="Times New Roman;sans-serif" w:hAnsi="Times New Roman;sans-serif"/>
          <w:b w:val="false"/>
          <w:color w:val="000000"/>
          <w:sz w:val="20"/>
        </w:rPr>
        <w:t>$6.3 million</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compared to the same period in the prior year. Sales to customers in Asia Pacific </w:t>
      </w:r>
      <w:r>
        <w:rPr>
          <w:rFonts w:ascii="Times New Roman;sans-serif" w:hAnsi="Times New Roman;sans-serif"/>
          <w:b w:val="false"/>
          <w:color w:val="000000"/>
          <w:sz w:val="20"/>
        </w:rPr>
        <w:t>decreased</w:t>
      </w:r>
      <w:r>
        <w:rPr>
          <w:color w:val="000000"/>
          <w:shd w:fill="FFFFFF" w:val="clear"/>
        </w:rPr>
        <w:t xml:space="preserve"> </w:t>
      </w:r>
      <w:r>
        <w:rPr>
          <w:rFonts w:ascii="Times New Roman;sans-serif" w:hAnsi="Times New Roman;sans-serif"/>
          <w:b w:val="false"/>
          <w:color w:val="000000"/>
          <w:sz w:val="20"/>
          <w:shd w:fill="FFFFFF" w:val="clear"/>
        </w:rPr>
        <w:t xml:space="preserve">by </w:t>
      </w:r>
      <w:r>
        <w:rPr>
          <w:rFonts w:ascii="Times New Roman;sans-serif" w:hAnsi="Times New Roman;sans-serif"/>
          <w:b w:val="false"/>
          <w:color w:val="000000"/>
          <w:sz w:val="20"/>
        </w:rPr>
        <w:t>$4.4 million</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Sales to customers in the Rest of World for the three 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rPr>
        <w:t>decreased</w:t>
      </w:r>
      <w:r>
        <w:rPr>
          <w:color w:val="000000"/>
          <w:shd w:fill="FFFFFF" w:val="clear"/>
        </w:rPr>
        <w:t xml:space="preserve"> </w:t>
      </w:r>
      <w:r>
        <w:rPr>
          <w:rFonts w:ascii="Times New Roman;sans-serif" w:hAnsi="Times New Roman;sans-serif"/>
          <w:b w:val="false"/>
          <w:color w:val="000000"/>
          <w:sz w:val="20"/>
          <w:shd w:fill="FFFFFF" w:val="clear"/>
        </w:rPr>
        <w:t xml:space="preserve">by </w:t>
      </w:r>
      <w:r>
        <w:rPr>
          <w:rFonts w:ascii="Times New Roman;sans-serif" w:hAnsi="Times New Roman;sans-serif"/>
          <w:b w:val="false"/>
          <w:color w:val="000000"/>
          <w:sz w:val="20"/>
        </w:rPr>
        <w:t>$1.5 million</w:t>
      </w:r>
      <w:r>
        <w:rPr>
          <w:color w:val="000000"/>
          <w:shd w:fill="FFFFFF" w:val="clear"/>
        </w:rPr>
        <w:t xml:space="preserve"> </w:t>
      </w:r>
      <w:r>
        <w:rPr>
          <w:rFonts w:ascii="Times New Roman;sans-serif" w:hAnsi="Times New Roman;sans-serif"/>
          <w:b w:val="false"/>
          <w:color w:val="000000"/>
          <w:sz w:val="20"/>
          <w:shd w:fill="FFFFFF" w:val="clear"/>
        </w:rPr>
        <w:t>compared to the same period in the prior year</w:t>
      </w:r>
      <w:r>
        <w:rPr>
          <w:rFonts w:ascii="Times New Roman;sans-serif" w:hAnsi="Times New Roman;sans-serif"/>
          <w:b w:val="false"/>
          <w:color w:val="000000"/>
          <w:sz w:val="20"/>
        </w:rPr>
        <w:t xml:space="preser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domestic revenues for the three months ended March 31, 2025 is primarily the result of the Acclarent acquisition, partially offset by a decline in sales of Integra Skin and our private label business. The decrease in international revenues for the three months ended March 31, 2025 was the result of a decline in sales of Dural Access &amp; Repair, Advanced Energy and Neuro Monitoring.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Working Capital</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consists of total current assets less total current liabilities as presented in the consolidated balance sheets. The Company’s working capital as of March 31, 2025 and December 31, 2024 was $188.8 million and $159.6 million, respectively.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Cash and Marketable Securities </w:t>
      </w:r>
    </w:p>
    <w:p>
      <w:pPr>
        <w:pStyle w:val="TextBody"/>
        <w:bidi w:val="0"/>
        <w:spacing w:lineRule="auto" w:line="288" w:before="120" w:after="120"/>
        <w:jc w:val="both"/>
        <w:rPr/>
      </w:pPr>
      <w:r>
        <w:rPr>
          <w:rFonts w:ascii="Times New Roman;sans-serif" w:hAnsi="Times New Roman;sans-serif"/>
          <w:b w:val="false"/>
          <w:color w:val="000000"/>
          <w:sz w:val="20"/>
        </w:rPr>
        <w:t>The Company had cash and cash equivalents totaling approximately $239.1 million and $246.4 million at March 31, 2025 and December 31, 2024, respectively, which are valued based on Level 1 measurements in the fair value hierarchy</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At March 31, 2025, our non-U.S. subsidiaries held approximately $182.7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Short Term Investments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short term investments, primarily consisting of time deposits, which are valued based on Level 1 measurements in the fair value hierarchy, totaling approximately $34.2 million at March 31, 2025 compared to $27.2 million at December 31, 2024.</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Cash Flows</w:t>
      </w:r>
    </w:p>
    <w:tbl>
      <w:tblPr>
        <w:tblW w:w="6297" w:type="dxa"/>
        <w:jc w:val="left"/>
        <w:tblInd w:w="0" w:type="dxa"/>
        <w:tblLayout w:type="fixed"/>
        <w:tblCellMar>
          <w:top w:w="28" w:type="dxa"/>
          <w:left w:w="28" w:type="dxa"/>
          <w:bottom w:w="28" w:type="dxa"/>
          <w:right w:w="28" w:type="dxa"/>
        </w:tblCellMar>
      </w:tblPr>
      <w:tblGrid>
        <w:gridCol w:w="1333"/>
        <w:gridCol w:w="1170"/>
        <w:gridCol w:w="1172"/>
        <w:gridCol w:w="219"/>
        <w:gridCol w:w="806"/>
        <w:gridCol w:w="121"/>
        <w:gridCol w:w="121"/>
        <w:gridCol w:w="121"/>
        <w:gridCol w:w="121"/>
        <w:gridCol w:w="219"/>
        <w:gridCol w:w="722"/>
        <w:gridCol w:w="172"/>
      </w:tblGrid>
      <w:tr>
        <w:trPr/>
        <w:tc>
          <w:tcPr>
            <w:tcW w:w="133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(53,965)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fluctuations on cash</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Flows Provided by or Used in Operating Activities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the three months ended March 31, 2025 decreased by $27.0 million compared to the same period in 2024. Within operating cash flows, net income less non-cash adjustments decreased for the three months ended March 31, 2025 by approximately $25.7 million as compared to the same period in 2024 due to the impact of quality and operational issues on revenue and associated costs.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assets and liabilities for the three months ended March 31, 2025, net of business acquisitions, decreased cash flows by $24.7 million, mainly attributable to decreases in accrued expenses and other current liabilities due to payment of employee bonuses.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assets and liabilities for the three months ended March 31, 2024, net of business acquisitions, decreased cash flows by $23.4 million, mainly attributable to increases in inventory, and decreases in other current liabilities and accounts receivable.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Flows Used in Investing Activities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Uses of cash from investing activities for the three months ended March 31, 2025 were $28.9 million paid for capital expenditures to support improvement initiatives at a number of our manufacturing facilities, and other technology investments, as well as $7.0 million related to short term investments.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sources of cash from investing activities for the three months ended March 31, 2025.</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Uses of cash from investing activities during the three months ended March 31, 2024 related to $38.5 million related to short term investments, and $15.5 million paid for capital expenditures to support operations improvement initiatives at a number of our manufacturing facilities and other information technology investments.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sources of cash from investing activities during the three months ended March 31,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Flows Provided by or Used in Financing Activities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Uses of cash from financing activities in the three months ended March 31, 2025 related to the repayments of $15.2 million under our Senior Credit Facility and Securitization Facility, as well as $2.6 million related to payment of contingent consideration in connection with our acquisition of Arkis. In addition, the Company had $2.1 million in cash taxes paid for net equity settlements.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Sources of cash from financing activities for the three months ended March 31, 2025 were $54.4 million of proceeds from borrowings of long term indebtedness and $1.0 million related to the proceeds from the exercise of stock options.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Uses of cash from financing activities in the three months ended March 31, 2024 related to the repayments of $15.1 million under our Senior Credit Facility and Securitization Facility. In addition, the Company had $3.1 million in cash taxes paid for net equity settlements.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Sources of cash from financing activities for the three months ended March 31, 2024 were $370.5 million of proceeds from borrowings of long-term indebtedness and $6.4 million related to the proceeds from the exercise of stock options.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Tariffs and Macroeconomic Environment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2025, the U.S. government announced new tariffs on goods imported into the U.S. from dozens of countries, including China and the European Union member states. In response, governments have threatened or imposed reciprocal tariffs or taken other measures, and the United States is in the process of negotiating trade agreements with certain governments. Uncertainty remains with respect to trade policies and treaties between the U.S. and other countries and we continue to monitor and evaluate the situation. Tariffs could result in an increase in certain product costs or have adverse impacts on, among other things, demand for our products and supply chains. Any tariff costs will be reported within our cost of goods sold and will be capitalized in inventory and recognized as those products are sold. Particularly, the U.S. import tariffs and reciprocal measures by China, are expected to increase the Company’s cost of goods sold. The Company anticipates that some of its suppliers will incur incremental tariff-related costs, which may be passed on to the Company. Approximately half of our global revenue is generated from products manufactured in the United States. In China, which accounts for approximately 5 percent of our total revenue, roughly half of the products we sell are manufactured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 xml:space="preserve">The overall macroeconomic and geopolitical environment, including tariffs or changes in trade policies, slower economic growth or recession, market volatility and inflation, and uncertainty regarding all of the foregoing, pose risks that could impact our business, results of operations, financial condition and cash flows. The extent and duration of the tariffs and the resulting impact on general economic conditions and on the business are uncertain and are expected to be impacted by various factors, such as negotiations between the U.S. and affected countries, the responses of other countries or regions, exemptions or exclusions that already exist or may be granted, availability and cost of alternative sources of our products and materials, and our ability to offset the effects of any tariffs that might be imposed. For additional information on the risks that tariffs pose to the Company, please see </w:t>
      </w:r>
      <w:r>
        <w:rPr>
          <w:rFonts w:ascii="Times New Roman;sans-serif" w:hAnsi="Times New Roman;sans-serif"/>
          <w:b w:val="false"/>
          <w:i/>
          <w:color w:val="000000"/>
          <w:sz w:val="20"/>
        </w:rPr>
        <w:t>Part II, Item 1A. “Risk Factors”</w:t>
      </w:r>
      <w:r>
        <w:rPr>
          <w:color w:val="000000"/>
        </w:rPr>
        <w:t xml:space="preserve"> </w:t>
      </w:r>
      <w:r>
        <w:rPr>
          <w:rFonts w:ascii="Times New Roman;sans-serif" w:hAnsi="Times New Roman;sans-serif"/>
          <w:b w:val="false"/>
          <w:color w:val="000000"/>
          <w:sz w:val="20"/>
        </w:rPr>
        <w:t xml:space="preserve">of this Quarterly Report and </w:t>
      </w:r>
      <w:r>
        <w:rPr>
          <w:rFonts w:ascii="Times New Roman;sans-serif" w:hAnsi="Times New Roman;sans-serif"/>
          <w:b w:val="false"/>
          <w:i/>
          <w:color w:val="000000"/>
          <w:sz w:val="20"/>
        </w:rPr>
        <w:t>Part I, Item 1A. “Risk Factors”</w:t>
      </w:r>
      <w:r>
        <w:rPr>
          <w:color w:val="000000"/>
        </w:rPr>
        <w:t xml:space="preserve"> </w:t>
      </w:r>
      <w:r>
        <w:rPr>
          <w:rFonts w:ascii="Times New Roman;sans-serif" w:hAnsi="Times New Roman;sans-serif"/>
          <w:b w:val="false"/>
          <w:color w:val="000000"/>
          <w:sz w:val="20"/>
        </w:rPr>
        <w:t>of our Annual Report on Form 10-K for the fiscal year ended December 31,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Credit Agreement, Convertible Senior Notes, Securitization and Related Hedging Activities</w:t>
      </w:r>
    </w:p>
    <w:p>
      <w:pPr>
        <w:pStyle w:val="TextBody"/>
        <w:bidi w:val="0"/>
        <w:spacing w:lineRule="auto" w:line="288" w:before="120" w:after="12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6. Debt</w:t>
      </w:r>
      <w:r>
        <w:rPr>
          <w:rFonts w:ascii="Times New Roman;sans-serif" w:hAnsi="Times New Roman;sans-serif"/>
          <w:b w:val="false"/>
          <w:i/>
          <w:color w:val="000000"/>
          <w:sz w:val="18"/>
          <w:shd w:fill="FFFFFF" w:val="clear"/>
        </w:rPr>
        <w:t xml:space="preserve">, </w:t>
      </w:r>
      <w:r>
        <w:rPr>
          <w:rFonts w:ascii="Times New Roman;sans-serif" w:hAnsi="Times New Roman;sans-serif"/>
          <w:b w:val="false"/>
          <w:color w:val="000000"/>
          <w:sz w:val="20"/>
        </w:rPr>
        <w:t xml:space="preserve">to the Notes to Unaudited Condensed Consolidated Financial Statements (Part I, Item 1 of this Quarterly Report) for a discussion of our Credit Agreement, the 2025 Notes and Securitization Facility and </w:t>
      </w:r>
      <w:r>
        <w:rPr>
          <w:rFonts w:ascii="Times New Roman;sans-serif" w:hAnsi="Times New Roman;sans-serif"/>
          <w:b w:val="false"/>
          <w:i/>
          <w:color w:val="000000"/>
          <w:sz w:val="20"/>
        </w:rPr>
        <w:t>Note 7. Derivative Instruments</w:t>
      </w:r>
      <w:r>
        <w:rPr>
          <w:rFonts w:ascii="Times New Roman;sans-serif" w:hAnsi="Times New Roman;sans-serif"/>
          <w:b w:val="false"/>
          <w:i/>
          <w:color w:val="000000"/>
          <w:sz w:val="18"/>
          <w:shd w:fill="FFFFFF" w:val="clear"/>
        </w:rPr>
        <w:t xml:space="preserve">, </w:t>
      </w:r>
      <w:r>
        <w:rPr>
          <w:rFonts w:ascii="Times New Roman;sans-serif" w:hAnsi="Times New Roman;sans-serif"/>
          <w:b w:val="false"/>
          <w:color w:val="000000"/>
          <w:sz w:val="20"/>
        </w:rPr>
        <w:t xml:space="preserve">to the Notes to Unaudited Condensed Consolidated Financial Statements (Part I, Item 1 of this Quarterly Report) for discussion of our hedging activities. </w:t>
      </w:r>
    </w:p>
    <w:p>
      <w:pPr>
        <w:pStyle w:val="TextBody"/>
        <w:bidi w:val="0"/>
        <w:spacing w:lineRule="auto" w:line="288" w:before="120" w:after="120"/>
        <w:jc w:val="both"/>
        <w:rPr/>
      </w:pPr>
      <w:r>
        <w:rPr>
          <w:rFonts w:ascii="Times New Roman;sans-serif" w:hAnsi="Times New Roman;sans-serif"/>
          <w:b w:val="false"/>
          <w:color w:val="000000"/>
          <w:sz w:val="20"/>
        </w:rPr>
        <w:t xml:space="preserve">The Senior Credit Facility is subject to various financial and negative covenants and, at March 31, 2025, the Company was in compliance with all such covenants. Our Consolidated Total Leverage Ratio was 4.30, with the covenant requirement at 5.00 at the end of March 31, 2025. As outlined in the table in </w:t>
      </w:r>
      <w:r>
        <w:rPr>
          <w:rFonts w:ascii="Times New Roman;sans-serif" w:hAnsi="Times New Roman;sans-serif"/>
          <w:b w:val="false"/>
          <w:i/>
          <w:color w:val="000000"/>
          <w:sz w:val="20"/>
        </w:rPr>
        <w:t xml:space="preserve">Note 6. Debt, </w:t>
      </w:r>
      <w:r>
        <w:rPr>
          <w:rFonts w:ascii="Times New Roman;sans-serif" w:hAnsi="Times New Roman;sans-serif"/>
          <w:b w:val="false"/>
          <w:color w:val="000000"/>
          <w:sz w:val="20"/>
        </w:rPr>
        <w:t xml:space="preserve">the covenant requirement will drop from 5.00 to 4.25 for the fiscal quarter ended December 31, 2025.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recent tariff changes imposed by the U.S. and other countries have created increased risks and uncertainties surrounding the Company’s future results of operations. The impact of tariffs in the first quarter of 2025 was not material. However, should universal tariffs be implemented as initially announced in April 2025, the Company anticipates a significant adverse impact on its future costs of revenue, which will impact its results of operations.</w:t>
      </w:r>
    </w:p>
    <w:p>
      <w:pPr>
        <w:pStyle w:val="TextBody"/>
        <w:bidi w:val="0"/>
        <w:spacing w:lineRule="auto" w:line="288" w:before="0" w:after="0"/>
        <w:jc w:val="left"/>
        <w:rPr/>
      </w:pPr>
      <w:r>
        <w:rPr>
          <w:rFonts w:ascii="Times New Roman;sans-serif" w:hAnsi="Times New Roman;sans-serif"/>
          <w:b w:val="false"/>
          <w:color w:val="000000"/>
          <w:sz w:val="20"/>
        </w:rPr>
        <w:t xml:space="preserve">Based on the Company’s current financial projections and assuming the successful implementation of management’s plans to mitigate the risks and uncertainties regarding the impact of tariffs on the Company’s future results of operations described in </w:t>
      </w:r>
      <w:r>
        <w:rPr>
          <w:rFonts w:ascii="Times New Roman;sans-serif" w:hAnsi="Times New Roman;sans-serif"/>
          <w:b w:val="false"/>
          <w:i/>
          <w:color w:val="000000"/>
          <w:sz w:val="20"/>
        </w:rPr>
        <w:t>Note 1. Basis of Presentation</w:t>
      </w:r>
      <w:r>
        <w:rPr>
          <w:rFonts w:ascii="Times New Roman;sans-serif" w:hAnsi="Times New Roman;sans-serif"/>
          <w:b w:val="false"/>
          <w:color w:val="000000"/>
          <w:sz w:val="20"/>
        </w:rPr>
        <w:t xml:space="preserve">, management believes the Company will maintain compliance with its financial covenants and the Company’s existing cash, projected operating cash flows, and available borrowing capacity under its revolving credit facility component of the Senior Credit Facility (as defined in </w:t>
      </w:r>
      <w:r>
        <w:rPr>
          <w:rFonts w:ascii="Times New Roman;sans-serif" w:hAnsi="Times New Roman;sans-serif"/>
          <w:b w:val="false"/>
          <w:i/>
          <w:color w:val="000000"/>
          <w:sz w:val="20"/>
        </w:rPr>
        <w:t>Note 6. Debt</w:t>
      </w:r>
      <w:r>
        <w:rPr>
          <w:rFonts w:ascii="Times New Roman;sans-serif" w:hAnsi="Times New Roman;sans-serif"/>
          <w:b w:val="false"/>
          <w:color w:val="000000"/>
          <w:sz w:val="20"/>
        </w:rPr>
        <w:t xml:space="preserve">) are adequate to meet its operating needs, liabilities and commitments over the next twelve months from the issuance of the accompanying interim unaudited condensed consolidated financial statements. </w:t>
      </w:r>
    </w:p>
    <w:p>
      <w:pPr>
        <w:pStyle w:val="TextBody"/>
        <w:bidi w:val="0"/>
        <w:spacing w:lineRule="auto" w:line="268" w:before="120" w:after="120"/>
        <w:jc w:val="both"/>
        <w:rPr/>
      </w:pPr>
      <w:r>
        <w:rPr>
          <w:rFonts w:ascii="Times New Roman;sans-serif" w:hAnsi="Times New Roman;sans-serif"/>
          <w:b w:val="false"/>
          <w:color w:val="000000"/>
          <w:sz w:val="20"/>
        </w:rPr>
        <w:t xml:space="preserve">The 2025 Notes are scheduled to mature on August 15, 2025. We have sufficient capacity under the revolving credit facility </w:t>
      </w:r>
      <w:r>
        <w:rPr>
          <w:rFonts w:ascii="Times New Roman;sans-serif" w:hAnsi="Times New Roman;sans-serif"/>
          <w:b w:val="false"/>
          <w:color w:val="000000"/>
          <w:sz w:val="20"/>
          <w:shd w:fill="FFFFFF" w:val="clear"/>
        </w:rPr>
        <w:t>of the Senior Credit Facility</w:t>
      </w:r>
      <w:r>
        <w:rPr>
          <w:color w:val="000000"/>
        </w:rPr>
        <w:t xml:space="preserve"> </w:t>
      </w:r>
      <w:r>
        <w:rPr>
          <w:rFonts w:ascii="Times New Roman;sans-serif" w:hAnsi="Times New Roman;sans-serif"/>
          <w:b w:val="false"/>
          <w:color w:val="000000"/>
          <w:sz w:val="20"/>
        </w:rPr>
        <w:t>to repay the outstanding principal and accrued interest on the 2025 Notes upon maturity.</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Share Repurchase Plan</w:t>
      </w:r>
    </w:p>
    <w:p>
      <w:pPr>
        <w:pStyle w:val="TextBody"/>
        <w:bidi w:val="0"/>
        <w:spacing w:lineRule="auto" w:line="276" w:before="120" w:after="12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11. Treasury Stock</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to the Notes to Unaudited Condensed Consolidated Financial Statements (Part I, Item 1 of this Quarterly Report) for further details of our share repurchase programs.</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since our formation. Our Senior Credit Facility limits the amount of dividends that we may pay. Any future determinations to pay cash dividends on our common stock will be at the discretion of the Board of Directors and will depend upon our financial condition, results of operations, cash flows and other factors deemed relevant by the Board of Directors.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cash equivalents, short term investments and available borrowings under the Senior Credit Facility are sufficient to finance our operations, capital expenditures and potential repayment of the 2025 Notes for the next twelve months and foreseeable future. Our future capital requirements will depend on many factors, including the growth of our business, the timing and introduction of new products and investments, strategic plans and acquisitions, and the potential impact of tariffs on our cost of goods sold and consumer demand for our products, among others. Additional sources of liquidity available to us include short term borrowings and the issuance of long term debt and equity securities.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financing arrangements during the three months ended March 31, 2025 that have or are reasonably likely to have, a current or future effect on our financial condition, changes in financial condition, revenues or expenses, results of operations, liquidity, capital expenditures or capital resources that are material to our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Contractual Obligations and Commitments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pStyle w:val="TextBody"/>
        <w:bidi w:val="0"/>
        <w:spacing w:lineRule="auto" w:line="288" w:before="120" w:after="120"/>
        <w:jc w:val="both"/>
        <w:rPr/>
      </w:pPr>
      <w:r>
        <w:rPr>
          <w:rFonts w:ascii="Times New Roman;sans-serif" w:hAnsi="Times New Roman;sans-serif"/>
          <w:b w:val="false"/>
          <w:color w:val="000000"/>
          <w:sz w:val="20"/>
        </w:rPr>
        <w:t>Our primary obligations include principal and interest payments on the revolving credit facility and t</w:t>
      </w:r>
      <w:r>
        <w:rPr>
          <w:rFonts w:ascii="Times New Roman;sans-serif" w:hAnsi="Times New Roman;sans-serif"/>
          <w:b w:val="false"/>
          <w:color w:val="000000"/>
          <w:sz w:val="20"/>
          <w:shd w:fill="FFFFFF" w:val="clear"/>
        </w:rPr>
        <w:t xml:space="preserve">erm loan component of the Senior Credit Facility, Securitization Facility and 2025 Notes. See </w:t>
      </w:r>
      <w:r>
        <w:rPr>
          <w:rFonts w:ascii="Times New Roman;sans-serif" w:hAnsi="Times New Roman;sans-serif"/>
          <w:b w:val="false"/>
          <w:i/>
          <w:color w:val="000000"/>
          <w:sz w:val="20"/>
          <w:shd w:fill="FFFFFF" w:val="clear"/>
        </w:rPr>
        <w:t>Note 6. Debt</w:t>
      </w:r>
      <w:r>
        <w:rPr>
          <w:rFonts w:ascii="Times New Roman;sans-serif" w:hAnsi="Times New Roman;sans-serif"/>
          <w:b w:val="false"/>
          <w:i/>
          <w:color w:val="000000"/>
          <w:sz w:val="18"/>
          <w:shd w:fill="FFFFFF" w:val="clear"/>
        </w:rPr>
        <w:t xml:space="preserve">, </w:t>
      </w:r>
      <w:r>
        <w:rPr>
          <w:rFonts w:ascii="Times New Roman;sans-serif" w:hAnsi="Times New Roman;sans-serif"/>
          <w:b w:val="false"/>
          <w:color w:val="000000"/>
          <w:sz w:val="20"/>
        </w:rPr>
        <w:t xml:space="preserve">to the Notes to Consolidated Financial Statements (Part I, Item 1 of this Quarterly Report) for details. </w:t>
      </w:r>
      <w:r>
        <w:rPr>
          <w:rFonts w:ascii="Times New Roman;sans-serif" w:hAnsi="Times New Roman;sans-serif"/>
          <w:b w:val="false"/>
          <w:color w:val="000000"/>
          <w:sz w:val="20"/>
          <w:shd w:fill="FFFFFF" w:val="clear"/>
        </w:rPr>
        <w:t xml:space="preserve">The Company also leases some of our manufacturing facilities and office buildings which have required future minimum lease payments. See </w:t>
      </w:r>
      <w:r>
        <w:rPr>
          <w:rFonts w:ascii="Times New Roman;sans-serif" w:hAnsi="Times New Roman;sans-serif"/>
          <w:b w:val="false"/>
          <w:i/>
          <w:color w:val="000000"/>
          <w:sz w:val="20"/>
          <w:shd w:fill="FFFFFF" w:val="clear"/>
        </w:rPr>
        <w:t>Note 10. Leases and Related Party Leases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to the Notes to Consolidated Financial Statements (Part I, Item 1 of this Quarterly Report) </w:t>
      </w:r>
      <w:r>
        <w:rPr>
          <w:rFonts w:ascii="Times New Roman;sans-serif" w:hAnsi="Times New Roman;sans-serif"/>
          <w:b w:val="false"/>
          <w:color w:val="000000"/>
          <w:sz w:val="20"/>
          <w:shd w:fill="FFFFFF" w:val="clear"/>
        </w:rPr>
        <w:t>for a schedule of our future minimum lease payments. Amounts related to the Company’s other obligations, including employment agreements and purchase obligations were not material.</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The Company has contingent consideration obligations related to prior and current year acquisitions and future pension contribution obligations. See </w:t>
      </w:r>
      <w:r>
        <w:rPr>
          <w:rFonts w:ascii="Times New Roman;sans-serif" w:hAnsi="Times New Roman;sans-serif"/>
          <w:b w:val="false"/>
          <w:i/>
          <w:color w:val="000000"/>
          <w:sz w:val="20"/>
          <w:shd w:fill="FFFFFF" w:val="clear"/>
        </w:rPr>
        <w:t>Note 9. Retirement Plans</w:t>
      </w:r>
      <w:r>
        <w:rPr>
          <w:rFonts w:ascii="Times New Roman;sans-serif" w:hAnsi="Times New Roman;sans-serif"/>
          <w:b w:val="false"/>
          <w:color w:val="000000"/>
          <w:sz w:val="20"/>
          <w:shd w:fill="FFFFFF" w:val="clear"/>
        </w:rPr>
        <w:t xml:space="preserve">, and </w:t>
      </w:r>
      <w:r>
        <w:rPr>
          <w:rFonts w:ascii="Times New Roman;sans-serif" w:hAnsi="Times New Roman;sans-serif"/>
          <w:b w:val="false"/>
          <w:i/>
          <w:color w:val="000000"/>
          <w:sz w:val="20"/>
          <w:shd w:fill="FFFFFF" w:val="clear"/>
        </w:rPr>
        <w:t>Note 16. Commitments and Contingencies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to the Notes to Consolidated Financial Statements </w:t>
      </w:r>
      <w:r>
        <w:rPr>
          <w:rFonts w:ascii="Times New Roman;sans-serif" w:hAnsi="Times New Roman;sans-serif"/>
          <w:b w:val="false"/>
          <w:color w:val="000000"/>
          <w:sz w:val="20"/>
          <w:shd w:fill="FFFFFF" w:val="clear"/>
        </w:rPr>
        <w:t>(Part I, Item 1 of this Quarterly Report)</w:t>
      </w:r>
      <w:r>
        <w:rPr>
          <w:color w:val="000000"/>
        </w:rPr>
        <w:t xml:space="preserve"> </w:t>
      </w:r>
      <w:r>
        <w:rPr>
          <w:rFonts w:ascii="Times New Roman;sans-serif" w:hAnsi="Times New Roman;sans-serif"/>
          <w:b w:val="false"/>
          <w:color w:val="000000"/>
          <w:sz w:val="20"/>
        </w:rPr>
        <w:t xml:space="preserve">for details. </w:t>
      </w:r>
      <w:r>
        <w:rPr>
          <w:rFonts w:ascii="Times New Roman;sans-serif" w:hAnsi="Times New Roman;sans-serif"/>
          <w:b w:val="false"/>
          <w:color w:val="000000"/>
          <w:sz w:val="20"/>
          <w:shd w:fill="FFFFFF" w:val="clear"/>
        </w:rPr>
        <w:t>The associated obligations are not fixed. The Company also has a liability for uncertain tax benefits including interest and penalties.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See </w:t>
      </w:r>
      <w:r>
        <w:rPr>
          <w:rFonts w:ascii="Times New Roman;sans-serif" w:hAnsi="Times New Roman;sans-serif"/>
          <w:b w:val="false"/>
          <w:i/>
          <w:color w:val="000000"/>
          <w:sz w:val="20"/>
        </w:rPr>
        <w:t>Note 12. Income Taxes</w:t>
      </w:r>
      <w:r>
        <w:rPr>
          <w:color w:val="000000"/>
          <w:shd w:fill="FFFFFF" w:val="clear"/>
        </w:rPr>
        <w:t xml:space="preserve"> </w:t>
      </w:r>
      <w:r>
        <w:rPr>
          <w:rFonts w:ascii="Times New Roman;sans-serif" w:hAnsi="Times New Roman;sans-serif"/>
          <w:b w:val="false"/>
          <w:color w:val="000000"/>
          <w:sz w:val="20"/>
        </w:rPr>
        <w:t xml:space="preserve">to the Notes to Consolidated Financial Statements </w:t>
      </w:r>
      <w:r>
        <w:rPr>
          <w:rFonts w:ascii="Times New Roman;sans-serif" w:hAnsi="Times New Roman;sans-serif"/>
          <w:b w:val="false"/>
          <w:color w:val="000000"/>
          <w:sz w:val="20"/>
          <w:shd w:fill="FFFFFF" w:val="clear"/>
        </w:rPr>
        <w:t>(Part I, Item 1 of this Quarterly Report)</w:t>
      </w:r>
      <w:r>
        <w:rPr>
          <w:color w:val="000000"/>
        </w:rPr>
        <w:t xml:space="preserve"> </w:t>
      </w:r>
      <w:r>
        <w:rPr>
          <w:rFonts w:ascii="Times New Roman;sans-serif" w:hAnsi="Times New Roman;sans-serif"/>
          <w:b w:val="false"/>
          <w:color w:val="000000"/>
          <w:sz w:val="20"/>
        </w:rPr>
        <w:t xml:space="preserve">for details. </w:t>
      </w:r>
      <w:r>
        <w:rPr>
          <w:rFonts w:ascii="Times New Roman;sans-serif" w:hAnsi="Times New Roman;sans-serif"/>
          <w:b w:val="false"/>
          <w:color w:val="000000"/>
          <w:sz w:val="20"/>
          <w:shd w:fill="FFFFFF" w:val="clear"/>
        </w:rPr>
        <w:t>The Company cannot make a reliable estimate of the period in which the uncertain tax benefits may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based the discussion and analysis of our financial condition and results of operations upon our consolidated financial statements, which have been prepared in conformity with GAAP. The preparation of these financial statements requires us to make estimates and assumptions that affect the reported amount of assets and liabilities, the disclosure of contingent liabilities, and the reported amounts of revenues and expenses. The critical accounting estimates discussed in our Annual Report on Form 10-K for the fiscal year ended December 31, 2024 did not materially change in the three months ended March 31, 2025.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bidi w:val="0"/>
        <w:spacing w:lineRule="auto" w:line="288" w:before="0" w:after="0"/>
        <w:jc w:val="both"/>
        <w:rPr/>
      </w:pPr>
      <w:r>
        <w:rPr>
          <w:rFonts w:ascii="Times New Roman;sans-serif" w:hAnsi="Times New Roman;sans-serif"/>
          <w:b w:val="false"/>
          <w:color w:val="000000"/>
          <w:sz w:val="20"/>
        </w:rPr>
        <w:t xml:space="preserve">Information regarding new accounting pronouncements is included in </w:t>
      </w:r>
      <w:r>
        <w:rPr>
          <w:rFonts w:ascii="Times New Roman;sans-serif" w:hAnsi="Times New Roman;sans-serif"/>
          <w:b w:val="false"/>
          <w:i/>
          <w:color w:val="000000"/>
          <w:sz w:val="20"/>
        </w:rPr>
        <w:t>Note 1. Basis of Presentation</w:t>
      </w:r>
      <w:r>
        <w:rPr>
          <w:rFonts w:ascii="Times New Roman;sans-serif" w:hAnsi="Times New Roman;sans-serif"/>
          <w:b w:val="false"/>
          <w:color w:val="000000"/>
          <w:sz w:val="20"/>
        </w:rPr>
        <w:t>, to the Notes to Unaudited Condensed Consolidated Financial Statements (Part I, Item 1 of this Quarterly Report), and is applicable to the current period’s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and Other Rate Risks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Israeli shekel,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pStyle w:val="TextBody"/>
        <w:bidi w:val="0"/>
        <w:spacing w:lineRule="auto" w:line="288" w:before="120" w:after="120"/>
        <w:jc w:val="both"/>
        <w:rPr/>
      </w:pPr>
      <w:r>
        <w:rPr>
          <w:rFonts w:ascii="Times New Roman;sans-serif" w:hAnsi="Times New Roman;sans-serif"/>
          <w:b w:val="false"/>
          <w:color w:val="000000"/>
          <w:sz w:val="20"/>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Times New Roman;sans-serif" w:hAnsi="Times New Roman;sans-serif"/>
          <w:b w:val="false"/>
          <w:i/>
          <w:color w:val="000000"/>
          <w:sz w:val="20"/>
        </w:rPr>
        <w:t>Note 7. Derivative Instruments</w:t>
      </w:r>
      <w:r>
        <w:rPr>
          <w:rFonts w:ascii="Times New Roman;sans-serif" w:hAnsi="Times New Roman;sans-serif"/>
          <w:b w:val="false"/>
          <w:color w:val="000000"/>
          <w:sz w:val="20"/>
        </w:rPr>
        <w:t>, to the Notes to Unaudited Condensed Consolidated Financial Statements (Part I, Item 1 of this Quarterly Report)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discussed herein have not been materially affected by inflation.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120"/>
        <w:jc w:val="both"/>
        <w:rPr/>
      </w:pP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 We are exposed to the risk of interest rate fluctuations on the interest income earned on our cash and cash equivalents. A hypothetical 100 basis points increase or decrease in interest rates applicable to our cash and cash equivalents outstanding at March 31, 2025 would impact interest income by approximately $2.3 million on an annual basis. We are subject to foreign currency exchange risk with respect to cash balances maintained in foreign currencies.</w:t>
      </w:r>
    </w:p>
    <w:p>
      <w:pPr>
        <w:pStyle w:val="TextBody"/>
        <w:bidi w:val="0"/>
        <w:spacing w:lineRule="auto" w:line="288" w:before="120" w:after="120"/>
        <w:jc w:val="both"/>
        <w:rPr/>
      </w:pPr>
      <w:r>
        <w:rPr>
          <w:rFonts w:ascii="Times New Roman;sans-serif" w:hAnsi="Times New Roman;sans-serif"/>
          <w:b w:val="false"/>
          <w:i/>
          <w:color w:val="000000"/>
          <w:sz w:val="20"/>
        </w:rPr>
        <w:t xml:space="preserve">Short-Term Investments- </w:t>
      </w:r>
      <w:r>
        <w:rPr>
          <w:rFonts w:ascii="Times New Roman;sans-serif" w:hAnsi="Times New Roman;sans-serif"/>
          <w:b w:val="false"/>
          <w:color w:val="000000"/>
          <w:sz w:val="20"/>
        </w:rPr>
        <w:t xml:space="preserve">We are exposed to the risk of interest rate fluctuations on the interest income earned on our short-term investments. A hypothetical 100 basis points movement in interest rates applicable to our short-term investments outstanding at March 31, 2025 would increase or decrease interest income by approximately $0.3 million on an annual basis. </w:t>
      </w:r>
    </w:p>
    <w:p>
      <w:pPr>
        <w:pStyle w:val="TextBody"/>
        <w:bidi w:val="0"/>
        <w:spacing w:lineRule="auto" w:line="288" w:before="0" w:after="0"/>
        <w:jc w:val="both"/>
        <w:rPr/>
      </w:pP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 xml:space="preserve">- Our interest rate risk relates primarily to U.S. dollar SOFR-indexed borrowings. We use interest rate swap derivative instruments to manage our earnings and cash flow exposure to changes in interest rates. These interest rate swaps fix the interest rate on a portion of our expected SOFR-indexed floating-rate borrowings. These interest rate swaps were designated as cash flow hedges as of March 31, 2025. The total notional amounts related to the Company's interest rate swaps were $1,125.0 million with $425.0 million effective as of March 31, 2025. Based on our outstanding borrowings at March 31, 2025, a 100 basis points change in interest rates would have impacted interest expense on the unhedged portion of the debt by $8.1 million on an annualized basis. See </w:t>
      </w:r>
      <w:r>
        <w:rPr>
          <w:rFonts w:ascii="Times New Roman;sans-serif" w:hAnsi="Times New Roman;sans-serif"/>
          <w:b w:val="false"/>
          <w:i/>
          <w:color w:val="000000"/>
          <w:sz w:val="20"/>
        </w:rPr>
        <w:t>Note 7. Derivative Instruments</w:t>
      </w:r>
      <w:r>
        <w:rPr>
          <w:rFonts w:ascii="Times New Roman;sans-serif" w:hAnsi="Times New Roman;sans-serif"/>
          <w:b w:val="false"/>
          <w:color w:val="000000"/>
          <w:sz w:val="20"/>
        </w:rPr>
        <w:t>, to the Notes to Unaudited Condensed Consolidated Financial Statements (Part I, Item 1 of this Quarterly Report) for further information regarding interest rate swaps.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2025. Based upon this evaluation, our principal executive officer and principal financial officer concluded that our disclosure controls and procedures were effective as of March 31, 2025 to provide such reasonable assurance.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under the Exchange Act) that occurred during the quarter ended March 31, 2025 that have materially affected, or are reasonably likely to materially affect, our internal control over financial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business integration activities, we have and will continue to further align and streamline the design and operation of the financial control environment to be responsive to the changing business model.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Note 16. Commitments and Contingencies,</w:t>
      </w:r>
      <w:r>
        <w:rPr>
          <w:color w:val="000000"/>
        </w:rPr>
        <w:t xml:space="preserve"> </w:t>
      </w:r>
      <w:r>
        <w:rPr>
          <w:rFonts w:ascii="Times New Roman;sans-serif" w:hAnsi="Times New Roman;sans-serif"/>
          <w:b w:val="false"/>
          <w:color w:val="000000"/>
          <w:sz w:val="20"/>
        </w:rPr>
        <w:t>to the Notes to Unaudited Condensed Consolidated Financial Statements (Part I, Item 1 of this Quarterly Report) for further details on current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1A. RISK FACTORS </w:t>
      </w:r>
    </w:p>
    <w:p>
      <w:pPr>
        <w:pStyle w:val="TextBody"/>
        <w:bidi w:val="0"/>
        <w:spacing w:lineRule="auto" w:line="288" w:before="120" w:after="120"/>
        <w:jc w:val="both"/>
        <w:rPr/>
      </w:pPr>
      <w:r>
        <w:rPr>
          <w:rFonts w:ascii="Times New Roman;sans-serif" w:hAnsi="Times New Roman;sans-serif"/>
          <w:b w:val="false"/>
          <w:color w:val="212529"/>
          <w:sz w:val="20"/>
        </w:rPr>
        <w:t xml:space="preserve">Except for as set forth below, there have been no material changes in our risk factors included in our Annual Report on Form 10-K for the fiscal year ended </w:t>
      </w:r>
      <w:r>
        <w:rPr>
          <w:rFonts w:ascii="Times New Roman;sans-serif" w:hAnsi="Times New Roman;sans-serif"/>
          <w:b w:val="false"/>
          <w:color w:val="000000"/>
          <w:sz w:val="20"/>
        </w:rPr>
        <w:t>December 31, 2024</w:t>
      </w:r>
      <w:r>
        <w:rPr>
          <w:color w:val="212529"/>
        </w:rPr>
        <w:t xml:space="preserve"> </w:t>
      </w:r>
      <w:r>
        <w:rPr>
          <w:rFonts w:ascii="Times New Roman;sans-serif" w:hAnsi="Times New Roman;sans-serif"/>
          <w:b w:val="false"/>
          <w:color w:val="212529"/>
          <w:sz w:val="20"/>
        </w:rPr>
        <w:t>pursuant to the Exchange Act.</w:t>
      </w:r>
    </w:p>
    <w:p>
      <w:pPr>
        <w:pStyle w:val="TextBody"/>
        <w:bidi w:val="0"/>
        <w:spacing w:lineRule="auto" w:line="288" w:before="120" w:after="120"/>
        <w:jc w:val="both"/>
        <w:rPr>
          <w:rFonts w:ascii="Times New Roman;sans-serif" w:hAnsi="Times New Roman;sans-serif"/>
          <w:b/>
          <w:i/>
          <w:color w:val="212529"/>
          <w:sz w:val="20"/>
        </w:rPr>
      </w:pPr>
      <w:r>
        <w:rPr>
          <w:rFonts w:ascii="Times New Roman;sans-serif" w:hAnsi="Times New Roman;sans-serif"/>
          <w:b/>
          <w:i/>
          <w:color w:val="212529"/>
          <w:sz w:val="20"/>
        </w:rPr>
        <w:t xml:space="preserve">The current tensions in international trade and rising international political tensions and uncertainties may materially adversely affect our business, financial condition, and results of operations, including our ability to continue to comply with the financial covenants of our outstanding indebtedness. </w:t>
      </w:r>
    </w:p>
    <w:p>
      <w:pPr>
        <w:pStyle w:val="TextBody"/>
        <w:bidi w:val="0"/>
        <w:spacing w:lineRule="auto" w:line="288" w:before="120" w:after="120"/>
        <w:jc w:val="both"/>
        <w:rPr>
          <w:rFonts w:ascii="Times New Roman;sans-serif" w:hAnsi="Times New Roman;sans-serif"/>
          <w:b w:val="false"/>
          <w:color w:val="212529"/>
          <w:sz w:val="20"/>
        </w:rPr>
      </w:pPr>
      <w:r>
        <w:rPr>
          <w:rFonts w:ascii="Times New Roman;sans-serif" w:hAnsi="Times New Roman;sans-serif"/>
          <w:b w:val="false"/>
          <w:color w:val="212529"/>
          <w:sz w:val="20"/>
        </w:rPr>
        <w:t>Our operations and performance are significantly impacted by global, regional and U.S. economic and geopolitical conditions and increased trade barriers, including tariffs, from the U.S., China, the European Union or other nations could materially adversely affect our business. The U.S. government announced changes to its trade policies, including increasing tariffs on imports, in some cases significantly, such as the April 2025 announcement of a universal baseline tariff and additional country-specific tariffs (which includes escalating tariffs on Chinese imports), and potentially negotiating or terminating existing trade agreements. The current tariff environment is dynamic and uncertain, as the U.S. government has imposed, modified and paused tariffs multiple times since the beginning of 2025. Changes to tariffs and other trade restrictions can be announced at any time with little or no notice. Additionally, potential tariffs or other U.S. trade policy measures have already prompted, and may prompt further, retaliatory actions by other countries, including by countries that are significant markets for our products, such as China. For example, in response to the recent tariffs announced by the U.S. government, on April 12, 2025, China imposed a 125% tariff on goods imported from the U.S., which could significantly increase our expenses on some of our products sold in China.</w:t>
      </w:r>
    </w:p>
    <w:p>
      <w:pPr>
        <w:pStyle w:val="TextBody"/>
        <w:bidi w:val="0"/>
        <w:spacing w:lineRule="auto" w:line="288" w:before="120" w:after="120"/>
        <w:jc w:val="both"/>
        <w:rPr>
          <w:rFonts w:ascii="Times New Roman;sans-serif" w:hAnsi="Times New Roman;sans-serif"/>
          <w:b w:val="false"/>
          <w:color w:val="212529"/>
          <w:sz w:val="20"/>
        </w:rPr>
      </w:pPr>
      <w:r>
        <w:rPr>
          <w:rFonts w:ascii="Times New Roman;sans-serif" w:hAnsi="Times New Roman;sans-serif"/>
          <w:b w:val="false"/>
          <w:color w:val="212529"/>
          <w:sz w:val="20"/>
        </w:rPr>
        <w:t>The use of tariffs as a policy tool has created significant uncertainty about the future trading relationship among the U.S., China, the European Union, Canada, Mexico and other exporting countries, including with respect to trade policies, treaties, government regulations and tariffs, and has led to concerns regarding the potential for extended trade barriers. The escalation of trade tensions could impact us in a variety of ways, including increases in manufacturing costs, disruptions or delays to our global supply chain, limitations on our ability to sell our products; and reductions in sales volumes and gross margins for our products, any of which could materially affect our business, financial condition and results of operations. Political uncertainty surrounding trade and other international disputes could also have a negative effect on customer confidence and spending, including capital equipment purchases by hospitals and some of our other customers. Changing our operations in accordance with new or changed trade restrictions may be expensive, time-consuming, disruptive to our operations and distracting to management Further, such trade barriers could also lead to fluctuations in both the U.S. dollar and foreign currencies and our financial results may be materially adversely affected by such fluctuations.</w:t>
      </w:r>
    </w:p>
    <w:p>
      <w:pPr>
        <w:pStyle w:val="TextBody"/>
        <w:bidi w:val="0"/>
        <w:spacing w:lineRule="auto" w:line="288" w:before="120" w:after="1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Tariffs or other trade restrictions may lead to continuing uncertainty and volatility in U.S. and global financial and commodity markets and economic conditions which may ultimately reduce demand for our products and could have a materially adverse impact on our business, financial condition and results of operations. Also, disruptions and volatility in the financial markets may lead to adverse changes in the availability, terms and cost of capital. Such tariffs or other trade restrictions and a deterioration of economic conditions could make it more difficult to comply with the covenants of our existing outstanding indebtedness, including the Credit Agreement (as defined above), increase our costs of capital and limit our access to external financing sources to fund acquisitions, capital expenditures, or refinancing of debt maturities on similar terms, which could in turn reduce our cash flows and limit our ability to pursue growth opportunities. </w:t>
      </w:r>
    </w:p>
    <w:p>
      <w:pPr>
        <w:pStyle w:val="TextBody"/>
        <w:bidi w:val="0"/>
        <w:spacing w:lineRule="auto" w:line="288" w:before="120" w:after="120"/>
        <w:jc w:val="both"/>
        <w:rPr>
          <w:rFonts w:ascii="Times New Roman;sans-serif" w:hAnsi="Times New Roman;sans-serif"/>
          <w:b w:val="false"/>
          <w:color w:val="212529"/>
          <w:sz w:val="20"/>
        </w:rPr>
      </w:pPr>
      <w:r>
        <w:rPr>
          <w:rFonts w:ascii="Times New Roman;sans-serif" w:hAnsi="Times New Roman;sans-serif"/>
          <w:b w:val="false"/>
          <w:color w:val="212529"/>
          <w:sz w:val="20"/>
        </w:rPr>
        <w:t>The Credit Agreement requires us to, among other things, comply with certain financial covenants, including a requirement to maintain a maximum consolidated total leverage ratio and to deliver year-end financial statements with an audit opinion that is not subject to any “going concern” or like qualification. Failure to meet such covenant requirements would constitute an event of default (as defined in the Credit Agreement) and there is no certainty we would be able to obtain waivers or amendments with the requisite lenders party thereto in order to maintain compliance. Our ability to maintain compliance with such financial covenants can be affected by events beyond our control, including, for example, recent tariff changes imposed by the U.S. and China.</w:t>
      </w:r>
    </w:p>
    <w:p>
      <w:pPr>
        <w:pStyle w:val="TextBody"/>
        <w:bidi w:val="0"/>
        <w:spacing w:lineRule="auto" w:line="288" w:before="120" w:after="120"/>
        <w:jc w:val="both"/>
        <w:rPr>
          <w:rFonts w:ascii="Times New Roman;sans-serif" w:hAnsi="Times New Roman;sans-serif"/>
          <w:b w:val="false"/>
          <w:color w:val="212529"/>
          <w:sz w:val="20"/>
        </w:rPr>
      </w:pPr>
      <w:r>
        <w:rPr>
          <w:rFonts w:ascii="Times New Roman;sans-serif" w:hAnsi="Times New Roman;sans-serif"/>
          <w:b w:val="false"/>
          <w:color w:val="212529"/>
          <w:sz w:val="20"/>
        </w:rPr>
        <w:t>If an event of default occurs and we are unable to obtain necessary waivers or amendments, the requisite lenders may elect to declare all outstanding borrowings, together with accrued and unpaid interest and other amounts payable thereunder, to be immediately due and payable. Further, if an event of default occurs, the lenders will have the right to proceed against the collateral granted to them to secure that debt. If our debt were to be accelerated, our assets may not be sufficient to repay in full that debt that becomes due as a result of that acceleration. We could seek replacement financing at prevailing market rates or raise additional capital by issuing equity or debt securities; however, this may not be on terms favorable to us, or available at all.</w:t>
      </w:r>
    </w:p>
    <w:p>
      <w:pPr>
        <w:pStyle w:val="TextBody"/>
        <w:bidi w:val="0"/>
        <w:spacing w:lineRule="auto" w:line="288" w:before="120" w:after="1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We are required to assess our ability to continue as a going concern as part of our preparation of financial statements at each quarter-end. This assessment includes, among other things, our ability to comply with the financial covenants and other requirements under the Credit Agreement. A determination of substantial doubt about our ability to continue as a going concern may materially harm our business and reputation and may make it more difficult for us to obtain financing for the continuation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12529"/>
          <w:sz w:val="20"/>
        </w:rPr>
        <w:t xml:space="preserve">of our operations, which, in turn, may adversely impact our financial condition, results of operations and cash flows. For more information concerning the Credit Agreement and our compliance with the financial covenants thereunder, please see </w:t>
      </w:r>
      <w:r>
        <w:rPr>
          <w:color w:val="212529"/>
        </w:rPr>
        <w:t>“</w:t>
      </w:r>
      <w:r>
        <w:rPr>
          <w:rFonts w:ascii="Times New Roman;sans-serif" w:hAnsi="Times New Roman;sans-serif"/>
          <w:b w:val="false"/>
          <w:i/>
          <w:color w:val="212529"/>
          <w:sz w:val="20"/>
        </w:rPr>
        <w:t>Management’s Discussion and Analysis of Financial Condition and Results of Operations ― Liquidity and Capital Resources”</w:t>
      </w:r>
      <w:r>
        <w:rPr>
          <w:color w:val="212529"/>
        </w:rPr>
        <w:t xml:space="preserve"> </w:t>
      </w:r>
      <w:r>
        <w:rPr>
          <w:rFonts w:ascii="Times New Roman;sans-serif" w:hAnsi="Times New Roman;sans-serif"/>
          <w:b w:val="false"/>
          <w:color w:val="212529"/>
          <w:sz w:val="20"/>
        </w:rPr>
        <w:t>above.</w:t>
      </w:r>
    </w:p>
    <w:p>
      <w:pPr>
        <w:pStyle w:val="TextBody"/>
        <w:bidi w:val="0"/>
        <w:spacing w:lineRule="auto" w:line="288" w:before="120" w:after="1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As of the date of this quarterly report, there is still a high degree of uncertainty surrounding the tariff policy of the U.S., how it will be implemented, and how other countries will react to it. It also remains uncertain whether increased tariffs and trade tensions will create further disruptions and uncertainties to international trade and lead to a downturn to the global economy. The ultimate impact of any tariffs or other trade restrictions will depend on various factors, including the manner in which tariffs are implemented, the timing of implementation, exemptions, if any, to such tariffs and the amount, scope, and nature of retaliatory tariffs.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Sale of Unregistered Securities: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Purchases of Equity Securities: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Michael McBreen, the Company’s Executive Vice President, President, Codman Specialty Surgical, adopted a trading plan intended to satisfy Rule 10b5-1(c) under the Exchange Act on March 14, 2025 to sell up to 12,000 shares of our common stock between June 13, 2025 and June 10, 2026, the date this plan expires. The sales will be made in accordance with the prices and formulas set forth in the plan and such plan terminates on the earlier of the date all the shares under the plan are sold and June 10, 2026.</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disclosed above, none of the Company’s directors or officers adopted or terminated any contract, instruction or written plan for the purchase or sale of Company securities that was intended to satisfy the affirmative defense conditions of Rule 10b5-1(c) or any “non-Rule 10b5-1 trading arrangement” (as defined in Item 408(c) of Regulation S-K)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28"/>
        <w:gridCol w:w="288"/>
        <w:gridCol w:w="289"/>
        <w:gridCol w:w="109"/>
        <w:gridCol w:w="109"/>
        <w:gridCol w:w="109"/>
        <w:gridCol w:w="2700"/>
        <w:gridCol w:w="2593"/>
        <w:gridCol w:w="3680"/>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 of the Company dated February 16, 1993 (Incorporated by reference to Exhibit 3.1(a) to the Company’s Annual Report on Form 10-K for the fiscal year ended December 31, 2005)</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Certificate of Amendment to Amended and Restated Certificate of Incorporation of the Company dated May 22, 1998 (Incorporated by reference to Exhibit 3.1(b) to the Company’s Annual Report on Form 10-K for the fiscal year ended December 31, 1998)</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Amendment to Amended and Restated Certificate of Incorporation of the Company dated May 17, 1999 (Incorporated by reference to Exhibit 3.1(c) to the Company’s Annual Report on Form 10-K for the fiscal year ended December 31, 2004)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Amended and Restated Certificate of Incorporation of the Company dated December 21, 2016 (Incorporated by reference to Exhibit 3.1 to the Company’s Current Report on Form 8-K filed on December 22, 2016)</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80"/>
                  <w:sz w:val="20"/>
                  <w:u w:val="single"/>
                </w:rPr>
                <w:t>Certificate of Amendment to the Amended and Restated Certificate of Incorporation of the Company dated May 9, 2024 (Incorporated by reference to Exhibit 3.1</w:t>
              </w:r>
            </w:hyperlink>
            <w:hyperlink r:id="rId7">
              <w:r>
                <w:rPr>
                  <w:rStyle w:val="InternetLink"/>
                  <w:rFonts w:ascii="Times New Roman;sans-serif" w:hAnsi="Times New Roman;sans-serif"/>
                  <w:b w:val="false"/>
                  <w:color w:val="000080"/>
                  <w:sz w:val="20"/>
                  <w:u w:val="single"/>
                </w:rPr>
                <w:t>(e)</w:t>
              </w:r>
            </w:hyperlink>
            <w:hyperlink r:id="rId8">
              <w:r>
                <w:rPr>
                  <w:rStyle w:val="InternetLink"/>
                  <w:rFonts w:ascii="Times New Roman;sans-serif" w:hAnsi="Times New Roman;sans-serif"/>
                  <w:b w:val="false"/>
                  <w:color w:val="000080"/>
                  <w:sz w:val="20"/>
                  <w:u w:val="single"/>
                </w:rPr>
                <w:t xml:space="preserve"> to the Company’s Quarterly Report on Form 10-Q for the quarter ended September 30, 2024</w:t>
              </w:r>
            </w:hyperlink>
            <w:r>
              <w:rPr>
                <w:rFonts w:ascii="Times New Roman;sans-serif" w:hAnsi="Times New Roman;sans-serif"/>
                <w:b w:val="false"/>
                <w:color w:val="000000"/>
                <w:sz w:val="20"/>
              </w:rPr>
              <w:t xml:space="preserve">) </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Third Amended and Restated Bylaws of Integra LifeSciences Holdings Corporation, effective as of February 21, 2023 (Incorporated by reference to Exhibit 3.3 to the Company’s Annual Report on Form 10-K for the fiscal year ended December 31, 2022 filed on February 22, 2023)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0331xexx311.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50331xexx312.htm">
              <w:r>
                <w:rPr>
                  <w:rStyle w:val="InternetLink"/>
                  <w:rFonts w:ascii="Times New Roman;sans-serif" w:hAnsi="Times New Roman;sans-serif"/>
                  <w:b w:val="false"/>
                  <w:color w:val="0000FF"/>
                  <w:sz w:val="20"/>
                  <w:u w:val="single"/>
                </w:rPr>
                <w:t>Certification of Principal Financial Officer Pursuant to Section 302 of the Sarbanes-Oxley Act of 2002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50331xexx321.htm">
              <w:r>
                <w:rPr>
                  <w:rStyle w:val="InternetLink"/>
                  <w:rFonts w:ascii="Times New Roman;sans-serif" w:hAnsi="Times New Roman;sans-serif"/>
                  <w:b w:val="false"/>
                  <w:color w:val="0000FF"/>
                  <w:sz w:val="20"/>
                  <w:u w:val="single"/>
                </w:rPr>
                <w:t>Certification of Principal Executive Officer Pursuant to Section 906 of the Sarbanes-Oxley Act of 2002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50331xexx322.htm">
              <w:r>
                <w:rPr>
                  <w:rStyle w:val="InternetLink"/>
                  <w:rFonts w:ascii="Times New Roman;sans-serif" w:hAnsi="Times New Roman;sans-serif"/>
                  <w:b w:val="false"/>
                  <w:color w:val="0000FF"/>
                  <w:sz w:val="20"/>
                  <w:u w:val="single"/>
                </w:rPr>
                <w:t>Certification of Principal Financial Officer Pursuant to Section 906 of the Sarbanes-Oxley Act of 2002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Definition Linkbase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40" w:after="2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65"/>
        <w:gridCol w:w="2855"/>
        <w:gridCol w:w="4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this document is filed as an exhibit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information of Integra LifeSciences Holdings Corporation Quarterly Report on Form 10-Q for the quarter ended March 31, 2025 filed on May 5, 2025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3433ffaecf946f5800da34455a9bbd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12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492"/>
        <w:gridCol w:w="1492"/>
        <w:gridCol w:w="21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A. Mosebrook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A. Mosebrook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302 of the Sarbanes-Oxley Act of 2002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Mojdeh Poul,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Integra LifeSciences Holdings Corporation;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4933"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302 of the Sarbanes-Oxley Act of 2002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Lea Knight,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Integra LifeSciences Holdings Corporation;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193"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2025</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Integra LifeSciences Holdings Corporation (the “Company”) on Form 10-Q for the quarter ended March 31, 2025 as filed with the Securities Exchange Commission on the date hereof (the “Report”), I, Mojdeh Poul, President and Chief Executive Officer of the Company, hereby certify, pursuant to 18 U.S.C. §1350, as adopted pursuant to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933"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Integra LifeSciences Holdings Corporation (the “Company”) on Form 10-Q for the quarter ended March 31, 2025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193"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2025</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7520/000091752006000066/ex3-1aform10k031406.txt" TargetMode="External"/><Relationship Id="rId3" Type="http://schemas.openxmlformats.org/officeDocument/2006/relationships/hyperlink" Target="https://www.sec.gov/Archives/edgar/data/917520/0000889812-99-001063.txt" TargetMode="External"/><Relationship Id="rId4" Type="http://schemas.openxmlformats.org/officeDocument/2006/relationships/hyperlink" Target="https://www.sec.gov/Archives/edgar/data/917520/000095012305003217/y06769exv3w1wc.txt" TargetMode="External"/><Relationship Id="rId5" Type="http://schemas.openxmlformats.org/officeDocument/2006/relationships/hyperlink" Target="https://www.sec.gov/Archives/edgar/data/917520/000091752016000107/ex_3x1xfileddecember22x2016.htm" TargetMode="External"/><Relationship Id="rId6" Type="http://schemas.openxmlformats.org/officeDocument/2006/relationships/hyperlink" Target="https://www.sec.gov/Archives/edgar/data/917520/000091752024000108/iart-20240930xexx31e.htm" TargetMode="External"/><Relationship Id="rId7" Type="http://schemas.openxmlformats.org/officeDocument/2006/relationships/hyperlink" Target="https://www.sec.gov/Archives/edgar/data/917520/000091752024000108/iart-20240930xexx31e.htm" TargetMode="External"/><Relationship Id="rId8" Type="http://schemas.openxmlformats.org/officeDocument/2006/relationships/hyperlink" Target="https://www.sec.gov/Archives/edgar/data/917520/000091752024000108/iart-20240930xexx31e.htm" TargetMode="External"/><Relationship Id="rId9" Type="http://schemas.openxmlformats.org/officeDocument/2006/relationships/hyperlink" Target="https://www.sec.gov/Archives/edgar/data/917520/000091752023000015/iart-20221231xexx33.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30960</Words>
  <Characters>175041</Characters>
  <CharactersWithSpaces>204348</CharactersWithSpaces>
  <Paragraphs>2767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