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6, 2025</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June 6, 2025, Integra LifeSciences Holdings Corporation (the “Company”) entered into an amendment (the “Amendment”) to the Seventh Amended and Restated Credit Agreement, dated as of March 24, 2023, among the Company, a syndicate of lending banks, Bank of America, N.A., as Administrative Agent, Swing Line Lender and L/C Issuer, Citibank N.A., JPMorgan Chase Bank, N.A., Morgan Stanley MUFG Loan Partners, LLC, PNC Bank, N.A., Truist Bank and Wells Fargo Bank, N.A., as Co-Syndication Agents, and The Bank of Nova Scotia, BMO Harris Bank N.A., BNP Paribas, Capital One, National Association, Citizens Bank, N.A., DNB Bank ASA, New York Branch, Santander Bank, N.A. and TD Bank, N.A., as Co-Documentation Agents (as amended, restated, modified and supplemented from time to time prior to the date hereof, the “Credit Agreement”). The Credit Agreement was filed as Exhibit 10.1 to the Company’s Current Report on Form 8-K, filed with the SEC on March 24, 2023.</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Amendment amends the financial covenant requiring the Company to maintain a particular consolidated total leverage ratio. In particular, the Amendment increases the maximum permitted consolidated total leverage ratio from the currently applicable 5.00 to 1.00 (which reflects an increase from 4.25 to 1.00 taken by the Company in connection with the closing of a permitted acquisition and which is applicable through the fiscal quarter ending September 30, 2025) to (a) 5.00 to 1.00 for the fiscal quarters ending March 31, 2025 through June 30, 2026, (b) 4.75 to 1.00 for the fiscal quarter ending September 30, 2026, (c) 4.50 to 1.00 for the fiscal quarter ending December 31, 2026, and (d) 4.00 to 1.00 for the fiscal quarter ending March 31, 2027 and the last day of each fiscal quarter thereafter. During the period commencing on the effective date of the Amendment and ending on the date of delivery of the financial statements and related compliance certificate for the fiscal year ending December 31, 2026 (the “Covenant Relief Period”), the Company will not be permitted to temporarily increase the applicable maximum consolidated total leverage ratio in connection with a permitted acquisition.</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to the foregoing, the Amendment, among other things, also: (i) temporarily establishes, during the Covenant Relief Period, a revised applicable rate schedule; (ii) temporarily limits, during the Covenant Relief Period, the Company’s ability to make certain investments; (iii) temporarily restricts, during the Covenant Relief Period, the Company’s ability to incur incremental indebtedness under the Credit Agreement, create certain liens, make certain restricted payments and incur or guarantee indebtedness of excluded subsidiaries; and (iv) temporarily prohibits, during the Covenant Relief Period, the Company from selling, transferring or exclusively licensing material intellectual property to a subsidiary of the Company that is not a loan party under the Credit Agreement or designating any subsidiary that owns or exclusively licenses any material intellectual property as an excluded subsidiary under the Credit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does not increase the Company’s total indebtedness.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copy of the Amendment is attached as Exhibit 4.1 to this Current Report on Form 8-K and is incorporated by reference into this Item 1.01. The foregoing summary does not purport to be complete and is qualified in its entirety by reference to the full text of the Amendment and the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Direct Financial Obligation or an Obligation under an Off-Balance Sheet Arrangement of a Registrant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into this Item 2.03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jc w:val="both"/>
        <w:ind w:left="460" w:hanging="485"/>
        <w:spacing w:after="0" w:line="242" w:lineRule="auto"/>
        <w:tabs>
          <w:tab w:leader="none" w:pos="4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FF"/>
        </w:rPr>
        <w:t>Amendment No. 1, dated June 6, 2025, to that Seventh Amended and Restated Credit Agreement, among Integra LifeSciences Holdings Corporation, the lenders party thereto, Bank of America, N.A., as Administrative Agent, Swing Line Lender and L/C Issuer, Citibank N.A., JPMorgan Chase Bank, N.A., Morgan Stanley MUFG Loan Partners, LLC, PNC Bank, N.A., Truist Bank and Wells Fargo Bank, N.A., as Co-Syndication Agents, and The Bank of Nova Scotia, BMO Harris Bank N.A., BNP Paribas, Capital One, National Association, Citizens Bank, N.A., DNB Bank ASA, New York Branch, Santander Bank, N.A. and TD Bank, N.A., as Co-Documentation Agents</w:t>
      </w:r>
    </w:p>
    <w:p>
      <w:pPr>
        <w:spacing w:after="0" w:line="21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2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2025</w:t>
            </w: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Lea Knight</w:t>
            </w:r>
          </w:p>
        </w:tc>
      </w:tr>
      <w:tr>
        <w:trPr>
          <w:trHeight w:val="245"/>
        </w:trPr>
        <w:tc>
          <w:tcPr>
            <w:tcW w:w="30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Lea Knight</w:t>
            </w:r>
          </w:p>
        </w:tc>
        <w:tc>
          <w:tcPr>
            <w:tcW w:w="2820" w:type="dxa"/>
            <w:vAlign w:val="bottom"/>
          </w:tcPr>
          <w:p>
            <w:pPr>
              <w:spacing w:after="0"/>
              <w:rPr>
                <w:sz w:val="21"/>
                <w:szCs w:val="21"/>
                <w:color w:val="auto"/>
              </w:rPr>
            </w:pPr>
          </w:p>
        </w:tc>
      </w:tr>
      <w:tr>
        <w:trPr>
          <w:trHeight w:val="234"/>
        </w:trPr>
        <w:tc>
          <w:tcPr>
            <w:tcW w:w="3040" w:type="dxa"/>
            <w:vAlign w:val="bottom"/>
          </w:tcPr>
          <w:p>
            <w:pPr>
              <w:spacing w:after="0"/>
              <w:rPr>
                <w:sz w:val="20"/>
                <w:szCs w:val="20"/>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AMENDMENT NO. 1, dated as of June 6,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Seventh Amended and Restated Credit Agreement, dated as of March 24, 2023 (as amended, restated, modified and supplemented from time to time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by and among INTEGRA LIFESCIENCES HOLDINGS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and issuing bank from time to time party thereto (collectively, the “Lenders” and individually, a “Lender”), BANK OF AMERICA, N.A., as administrative agent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swing line lender.</w:t>
      </w:r>
    </w:p>
    <w:p>
      <w:pPr>
        <w:spacing w:after="0" w:line="183"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of the Existing Credit Agreement permits the Borrower to amend certain provisions of the Existing Credit Agreement with the written consent of the Required Lenders;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hereto wish to amend the Existing Credit Agreement on the terms and subject to the conditions set forth herein;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BofA Securities, Inc. is the sole lead arranger and bookrunner for this Amendment (in such capacity, the “</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94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contained herein, as well as other good and valuable consideration, the receipt and sufficiency of which are hereby acknowledged, the parties hereto agree as follows:</w:t>
      </w:r>
    </w:p>
    <w:p>
      <w:pPr>
        <w:spacing w:after="0" w:line="162"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but not defined herein shall have the respective meanings assigned to such terms in the Existing Credit Agreement, as amended by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Existing Credit Agreement is, effective as of the Amendment No. 1 Effective Date (as defined below), hereby amended as follows:</w:t>
      </w:r>
    </w:p>
    <w:p>
      <w:pPr>
        <w:spacing w:after="0" w:line="137" w:lineRule="exact"/>
        <w:rPr>
          <w:sz w:val="20"/>
          <w:szCs w:val="20"/>
          <w:color w:val="auto"/>
        </w:rPr>
      </w:pPr>
    </w:p>
    <w:p>
      <w:pPr>
        <w:ind w:left="1940" w:hanging="636"/>
        <w:spacing w:after="0"/>
        <w:tabs>
          <w:tab w:leader="none" w:pos="1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new definitions are hereby added to Section 1.01 of the Existing Credit Agreement in the appropriate alphabetical</w:t>
      </w:r>
    </w:p>
    <w:p>
      <w:pPr>
        <w:spacing w:after="0"/>
        <w:rPr>
          <w:sz w:val="20"/>
          <w:szCs w:val="20"/>
          <w:color w:val="auto"/>
        </w:rPr>
      </w:pPr>
      <w:r>
        <w:rPr>
          <w:rFonts w:ascii="Times New Roman" w:cs="Times New Roman" w:eastAsia="Times New Roman" w:hAnsi="Times New Roman"/>
          <w:sz w:val="18"/>
          <w:szCs w:val="18"/>
          <w:color w:val="auto"/>
        </w:rPr>
        <w:t>order:</w:t>
      </w:r>
    </w:p>
    <w:p>
      <w:pPr>
        <w:spacing w:after="0" w:line="19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shall mean that certain Amendment No. 1, dated as of June 6, 2025, to the Seventh Amended and Restated Credit Agreement, by and among the Borrower, the Lenders party thereto and the Administrative Agent.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shall mean June 6, 2025.</w:t>
      </w:r>
    </w:p>
    <w:p>
      <w:pPr>
        <w:spacing w:after="0" w:line="225" w:lineRule="exact"/>
        <w:rPr>
          <w:sz w:val="20"/>
          <w:szCs w:val="20"/>
          <w:color w:val="auto"/>
        </w:rPr>
      </w:pPr>
    </w:p>
    <w:p>
      <w:pPr>
        <w:ind w:left="660" w:right="1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Relief Period</w:t>
      </w:r>
      <w:r>
        <w:rPr>
          <w:rFonts w:ascii="Times New Roman" w:cs="Times New Roman" w:eastAsia="Times New Roman" w:hAnsi="Times New Roman"/>
          <w:sz w:val="18"/>
          <w:szCs w:val="18"/>
          <w:color w:val="auto"/>
        </w:rPr>
        <w:t xml:space="preserve">” shall mean the period commencing on the Amendment No. 1 Effective Date and ending on the date that the Borrower shall have delivered the financial statements required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for the fiscal year ending December 31, 2026, together with the related Compliance Certificate required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Covenant Relief Period End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Relief Period End Date</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Covenant Relief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defined in the Security Agreement.</w:t>
      </w:r>
    </w:p>
    <w:p>
      <w:pPr>
        <w:spacing w:after="0" w:line="225" w:lineRule="exact"/>
        <w:rPr>
          <w:sz w:val="20"/>
          <w:szCs w:val="20"/>
          <w:color w:val="auto"/>
        </w:rPr>
      </w:pPr>
    </w:p>
    <w:p>
      <w:pPr>
        <w:ind w:left="660"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means Intellectual Property that is owned or exclusively licensed by the Borrower or any of its Subsidiaries and is material to the operation of the business of the Borrower and its Subsidiaries, taken as a whole.</w:t>
      </w:r>
    </w:p>
    <w:p>
      <w:pPr>
        <w:spacing w:after="0" w:line="162" w:lineRule="exact"/>
        <w:rPr>
          <w:sz w:val="20"/>
          <w:szCs w:val="20"/>
          <w:color w:val="auto"/>
        </w:rPr>
      </w:pPr>
    </w:p>
    <w:p>
      <w:pPr>
        <w:ind w:left="660" w:right="2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as of the date of this Agreement, and as codified at 31 C.F.R. § 850.101 et seq.</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4" w:name="page5"/>
    <w:bookmarkEnd w:id="4"/>
    <w:p>
      <w:pPr>
        <w:ind w:left="660" w:right="1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for purposes of Sections 5.32 and 7.19, any United States citizen, lawful permanent resident, entity organized under the laws of the United States or any jurisdiction within the United States, including any foreign branch of any such entity, or any person in the United States and (b) otherwise, any Person that is a “United States person” as defined in Section 7701(a)(30) of the Code.</w:t>
      </w:r>
    </w:p>
    <w:p>
      <w:pPr>
        <w:spacing w:after="0" w:line="151" w:lineRule="exact"/>
        <w:rPr>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“Applicable Rate” set forth in Section 1.01 of the Existing Credit Agreement is hereby amended and restated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entirety as follows:</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right="220" w:firstLine="1292"/>
        <w:spacing w:after="0" w:line="266" w:lineRule="auto"/>
        <w:tabs>
          <w:tab w:leader="none" w:pos="22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all times prior to the Amendment No. 1 Effective Date and on and after the first Business Day following the Covenant Relief Period End Date, the following percentages per annum, based upon the Consolidated Total Leverage Ratio as set forth in the most recent Compliance Certificate received by the Administrative Agent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294640</wp:posOffset>
            </wp:positionV>
            <wp:extent cx="5854700" cy="19634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196342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APPLICABLE RATE</w:t>
      </w:r>
    </w:p>
    <w:p>
      <w:pPr>
        <w:spacing w:after="0" w:line="31"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Loans, Swing Line Loans and Letters of Credit</w:t>
      </w:r>
    </w:p>
    <w:p>
      <w:pPr>
        <w:spacing w:after="0" w:line="70"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40" w:type="dxa"/>
            <w:vAlign w:val="bottom"/>
            <w:tcBorders>
              <w:right w:val="single" w:sz="8" w:color="D9D9D9"/>
            </w:tcBorders>
          </w:tcPr>
          <w:p>
            <w:pPr>
              <w:spacing w:after="0"/>
              <w:rPr>
                <w:sz w:val="20"/>
                <w:szCs w:val="20"/>
                <w:color w:val="auto"/>
              </w:rPr>
            </w:pPr>
          </w:p>
        </w:tc>
        <w:tc>
          <w:tcPr>
            <w:tcW w:w="1220" w:type="dxa"/>
            <w:vAlign w:val="bottom"/>
            <w:tcBorders>
              <w:top w:val="single" w:sz="8" w:color="auto"/>
              <w:right w:val="single" w:sz="8" w:color="auto"/>
            </w:tcBorders>
            <w:shd w:val="clear" w:color="auto" w:fill="D9D9D9"/>
          </w:tcPr>
          <w:p>
            <w:pPr>
              <w:spacing w:after="0"/>
              <w:rPr>
                <w:sz w:val="20"/>
                <w:szCs w:val="20"/>
                <w:color w:val="auto"/>
              </w:rPr>
            </w:pPr>
          </w:p>
        </w:tc>
        <w:tc>
          <w:tcPr>
            <w:tcW w:w="20" w:type="dxa"/>
            <w:vAlign w:val="bottom"/>
            <w:tcBorders>
              <w:top w:val="single" w:sz="8" w:color="auto"/>
            </w:tcBorders>
            <w:shd w:val="clear" w:color="auto" w:fill="D9D9D9"/>
          </w:tcPr>
          <w:p>
            <w:pPr>
              <w:spacing w:after="0"/>
              <w:rPr>
                <w:sz w:val="20"/>
                <w:szCs w:val="20"/>
                <w:color w:val="auto"/>
              </w:rPr>
            </w:pPr>
          </w:p>
        </w:tc>
        <w:tc>
          <w:tcPr>
            <w:tcW w:w="100" w:type="dxa"/>
            <w:vAlign w:val="bottom"/>
            <w:tcBorders>
              <w:top w:val="single" w:sz="8" w:color="auto"/>
            </w:tcBorders>
            <w:shd w:val="clear" w:color="auto" w:fill="D9D9D9"/>
          </w:tcPr>
          <w:p>
            <w:pPr>
              <w:spacing w:after="0"/>
              <w:rPr>
                <w:sz w:val="20"/>
                <w:szCs w:val="20"/>
                <w:color w:val="auto"/>
              </w:rPr>
            </w:pPr>
          </w:p>
        </w:tc>
        <w:tc>
          <w:tcPr>
            <w:tcW w:w="1100" w:type="dxa"/>
            <w:vAlign w:val="bottom"/>
            <w:tcBorders>
              <w:top w:val="single" w:sz="8" w:color="auto"/>
            </w:tcBorders>
            <w:shd w:val="clear" w:color="auto" w:fill="D9D9D9"/>
          </w:tcPr>
          <w:p>
            <w:pPr>
              <w:spacing w:after="0"/>
              <w:rPr>
                <w:sz w:val="20"/>
                <w:szCs w:val="20"/>
                <w:color w:val="auto"/>
              </w:rPr>
            </w:pPr>
          </w:p>
        </w:tc>
        <w:tc>
          <w:tcPr>
            <w:tcW w:w="100" w:type="dxa"/>
            <w:vAlign w:val="bottom"/>
            <w:tcBorders>
              <w:top w:val="single" w:sz="8" w:color="auto"/>
            </w:tcBorders>
            <w:shd w:val="clear" w:color="auto" w:fill="D9D9D9"/>
          </w:tcPr>
          <w:p>
            <w:pPr>
              <w:spacing w:after="0"/>
              <w:rPr>
                <w:sz w:val="20"/>
                <w:szCs w:val="20"/>
                <w:color w:val="auto"/>
              </w:rPr>
            </w:pPr>
          </w:p>
        </w:tc>
        <w:tc>
          <w:tcPr>
            <w:tcW w:w="1520" w:type="dxa"/>
            <w:vAlign w:val="bottom"/>
            <w:tcBorders>
              <w:top w:val="single" w:sz="8" w:color="auto"/>
              <w:right w:val="single" w:sz="8" w:color="auto"/>
            </w:tcBorders>
            <w:shd w:val="clear" w:color="auto" w:fill="D9D9D9"/>
          </w:tcPr>
          <w:p>
            <w:pPr>
              <w:spacing w:after="0"/>
              <w:rPr>
                <w:sz w:val="20"/>
                <w:szCs w:val="20"/>
                <w:color w:val="auto"/>
              </w:rPr>
            </w:pPr>
          </w:p>
        </w:tc>
        <w:tc>
          <w:tcPr>
            <w:tcW w:w="18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Term SOFR Loans and</w:t>
            </w:r>
          </w:p>
        </w:tc>
        <w:tc>
          <w:tcPr>
            <w:tcW w:w="18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Base Rate</w:t>
            </w:r>
          </w:p>
        </w:tc>
        <w:tc>
          <w:tcPr>
            <w:tcW w:w="1420" w:type="dxa"/>
            <w:vAlign w:val="bottom"/>
            <w:tcBorders>
              <w:top w:val="single" w:sz="8" w:color="auto"/>
            </w:tcBorders>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0" w:type="dxa"/>
            <w:vAlign w:val="bottom"/>
            <w:tcBorders>
              <w:right w:val="single" w:sz="8" w:color="D9D9D9"/>
            </w:tcBorders>
          </w:tcPr>
          <w:p>
            <w:pPr>
              <w:spacing w:after="0"/>
              <w:rPr>
                <w:sz w:val="18"/>
                <w:szCs w:val="18"/>
                <w:color w:val="auto"/>
              </w:rPr>
            </w:pP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Pricing</w:t>
            </w:r>
          </w:p>
        </w:tc>
        <w:tc>
          <w:tcPr>
            <w:tcW w:w="2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2720" w:type="dxa"/>
            <w:vAlign w:val="bottom"/>
            <w:tcBorders>
              <w:right w:val="single" w:sz="8" w:color="auto"/>
            </w:tcBorders>
            <w:gridSpan w:val="3"/>
            <w:shd w:val="clear" w:color="auto" w:fill="D9D9D9"/>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Consolidated Total</w:t>
            </w:r>
          </w:p>
        </w:tc>
        <w:tc>
          <w:tcPr>
            <w:tcW w:w="18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Letter</w:t>
            </w:r>
          </w:p>
        </w:tc>
        <w:tc>
          <w:tcPr>
            <w:tcW w:w="18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Loans and Swing Line</w:t>
            </w:r>
          </w:p>
        </w:tc>
        <w:tc>
          <w:tcPr>
            <w:tcW w:w="142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r>
      <w:tr>
        <w:trPr>
          <w:trHeight w:val="261"/>
        </w:trPr>
        <w:tc>
          <w:tcPr>
            <w:tcW w:w="40" w:type="dxa"/>
            <w:vAlign w:val="bottom"/>
            <w:tcBorders>
              <w:right w:val="single" w:sz="8" w:color="D9D9D9"/>
            </w:tcBorders>
          </w:tcPr>
          <w:p>
            <w:pPr>
              <w:spacing w:after="0"/>
              <w:rPr>
                <w:sz w:val="22"/>
                <w:szCs w:val="22"/>
                <w:color w:val="auto"/>
              </w:rPr>
            </w:pPr>
          </w:p>
        </w:tc>
        <w:tc>
          <w:tcPr>
            <w:tcW w:w="12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Level</w:t>
            </w:r>
          </w:p>
        </w:tc>
        <w:tc>
          <w:tcPr>
            <w:tcW w:w="2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2720" w:type="dxa"/>
            <w:vAlign w:val="bottom"/>
            <w:tcBorders>
              <w:bottom w:val="single" w:sz="8" w:color="auto"/>
              <w:right w:val="single" w:sz="8" w:color="auto"/>
            </w:tcBorders>
            <w:gridSpan w:val="3"/>
            <w:shd w:val="clear" w:color="auto" w:fill="D9D9D9"/>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Leverage Ratio</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of Credit Fees</w:t>
            </w:r>
          </w:p>
        </w:tc>
        <w:tc>
          <w:tcPr>
            <w:tcW w:w="1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142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Commitment Fee</w:t>
            </w:r>
          </w:p>
        </w:tc>
        <w:tc>
          <w:tcPr>
            <w:tcW w:w="20" w:type="dxa"/>
            <w:vAlign w:val="bottom"/>
          </w:tcPr>
          <w:p>
            <w:pPr>
              <w:spacing w:after="0"/>
              <w:rPr>
                <w:sz w:val="22"/>
                <w:szCs w:val="22"/>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&gt;4.25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1.750%</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0.750%</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0.300%</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II</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&lt;4.25 to 1.0 but &gt; 3.50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1.500%</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0.500%</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0.250%</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III</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&lt;3.50 to 1.0 but &gt;2.50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1.375%</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0.375%</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0.225%</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4"/>
              </w:rPr>
              <w:t>IV</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&lt;2.50 to 1.0 but &gt; 2.00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1.250%</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0.250%</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0.200%</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V</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&lt;2.00 to 1.0 but &gt; 1.50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1.125%</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0.125%</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0.175%</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VI</w:t>
            </w:r>
          </w:p>
        </w:tc>
        <w:tc>
          <w:tcPr>
            <w:tcW w:w="20" w:type="dxa"/>
            <w:vAlign w:val="bottom"/>
          </w:tcPr>
          <w:p>
            <w:pPr>
              <w:spacing w:after="0"/>
              <w:rPr>
                <w:sz w:val="20"/>
                <w:szCs w:val="20"/>
                <w:color w:val="auto"/>
              </w:rPr>
            </w:pPr>
          </w:p>
        </w:tc>
        <w:tc>
          <w:tcPr>
            <w:tcW w:w="28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&lt;1.50 to 1.0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0.150%</w:t>
            </w:r>
          </w:p>
        </w:tc>
        <w:tc>
          <w:tcPr>
            <w:tcW w:w="2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p>
      <w:pPr>
        <w:ind w:left="1300" w:firstLine="1296"/>
        <w:spacing w:after="0" w:line="276" w:lineRule="auto"/>
        <w:rPr>
          <w:sz w:val="20"/>
          <w:szCs w:val="20"/>
          <w:color w:val="auto"/>
        </w:rPr>
      </w:pPr>
      <w:r>
        <w:rPr>
          <w:rFonts w:ascii="Times New Roman" w:cs="Times New Roman" w:eastAsia="Times New Roman" w:hAnsi="Times New Roman"/>
          <w:sz w:val="17"/>
          <w:szCs w:val="17"/>
          <w:color w:val="auto"/>
        </w:rPr>
        <w:t xml:space="preserve">Any increase or decrease in the Applicable Rate resulting from a change in the Consolidated Total Leverage Ratio shall become effective as of the first Business Day immediately following the date a Compliance Certificate is delivered pursuant to </w:t>
      </w:r>
      <w:r>
        <w:rPr>
          <w:rFonts w:ascii="Times New Roman" w:cs="Times New Roman" w:eastAsia="Times New Roman" w:hAnsi="Times New Roman"/>
          <w:sz w:val="17"/>
          <w:szCs w:val="17"/>
          <w:u w:val="single" w:color="auto"/>
          <w:color w:val="auto"/>
        </w:rPr>
        <w:t>Section</w:t>
      </w:r>
    </w:p>
    <w:p>
      <w:pPr>
        <w:spacing w:after="0" w:line="1" w:lineRule="exact"/>
        <w:rPr>
          <w:sz w:val="20"/>
          <w:szCs w:val="20"/>
          <w:color w:val="auto"/>
        </w:rPr>
      </w:pPr>
    </w:p>
    <w:p>
      <w:pPr>
        <w:ind w:left="1300" w:right="20"/>
        <w:spacing w:after="0" w:line="252" w:lineRule="auto"/>
        <w:rPr>
          <w:sz w:val="20"/>
          <w:szCs w:val="20"/>
          <w:color w:val="auto"/>
        </w:rPr>
      </w:pPr>
      <w:r>
        <w:rPr>
          <w:rFonts w:ascii="Times New Roman" w:cs="Times New Roman" w:eastAsia="Times New Roman" w:hAnsi="Times New Roman"/>
          <w:sz w:val="18"/>
          <w:szCs w:val="18"/>
          <w:u w:val="single" w:color="auto"/>
          <w:color w:val="auto"/>
        </w:rPr>
        <w:t>6.02(b)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Compliance Certificate is not delivered within 5 Business Days of its becoming due in accordance with such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then Pricing Level I will be applicable as of the first Business Day after the date on which such Compliance Certificate was required to be delivered until the date five Business Days after the appropriate Compliance Certificate is delivered, whereupon the Applicable Rate shall be adjusted based on the information contained in the Compliance Certificate. Pricing Level III will be in effect during the period from the Closing Date until the first Business Day immediately following the date that the quarterly Compliance Certificate is delivered for the fiscal quarter ending December 31, 2023.</w:t>
      </w:r>
    </w:p>
    <w:p>
      <w:pPr>
        <w:spacing w:after="0" w:line="190" w:lineRule="exact"/>
        <w:rPr>
          <w:sz w:val="20"/>
          <w:szCs w:val="20"/>
          <w:color w:val="auto"/>
        </w:rPr>
      </w:pPr>
    </w:p>
    <w:p>
      <w:pPr>
        <w:ind w:left="660" w:right="40" w:firstLine="1292"/>
        <w:spacing w:after="0" w:line="266" w:lineRule="auto"/>
        <w:tabs>
          <w:tab w:leader="none" w:pos="22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all times commencing on the Amendment No. 1 Effective Date until the first Business Day following the Covenant Relief Period End Date, the following percentages per annum, based upon the Consolidated Total Leverage Ratio as set forth in the most recent Compliance Certificate received by the Administrative Agent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417" w:right="379" w:bottom="1440" w:gutter="0" w:footer="0" w:header="0"/>
        </w:sectPr>
      </w:pPr>
    </w:p>
    <w:bookmarkStart w:id="5" w:name="page6"/>
    <w:bookmarkEnd w:id="5"/>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929005</wp:posOffset>
            </wp:positionV>
            <wp:extent cx="5854700" cy="2323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4700" cy="2323465"/>
                    </a:xfrm>
                    <a:prstGeom prst="rect">
                      <a:avLst/>
                    </a:prstGeom>
                    <a:noFill/>
                  </pic:spPr>
                </pic:pic>
              </a:graphicData>
            </a:graphic>
          </wp:anchor>
        </w:drawing>
      </w: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APPLICABLE RATE</w:t>
      </w:r>
    </w:p>
    <w:p>
      <w:pPr>
        <w:spacing w:after="0" w:line="31"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Loans, Swing Line Loans and Letters of Credit</w:t>
      </w:r>
    </w:p>
    <w:p>
      <w:pPr>
        <w:spacing w:after="0" w:line="70"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40" w:type="dxa"/>
            <w:vAlign w:val="bottom"/>
            <w:tcBorders>
              <w:right w:val="single" w:sz="8" w:color="D9D9D9"/>
            </w:tcBorders>
          </w:tcPr>
          <w:p>
            <w:pPr>
              <w:spacing w:after="0"/>
              <w:rPr>
                <w:sz w:val="20"/>
                <w:szCs w:val="20"/>
                <w:color w:val="auto"/>
              </w:rPr>
            </w:pPr>
          </w:p>
        </w:tc>
        <w:tc>
          <w:tcPr>
            <w:tcW w:w="1220" w:type="dxa"/>
            <w:vAlign w:val="bottom"/>
            <w:tcBorders>
              <w:top w:val="single" w:sz="8" w:color="auto"/>
              <w:right w:val="single" w:sz="8" w:color="auto"/>
            </w:tcBorders>
            <w:shd w:val="clear" w:color="auto" w:fill="D9D9D9"/>
          </w:tcPr>
          <w:p>
            <w:pPr>
              <w:spacing w:after="0"/>
              <w:rPr>
                <w:sz w:val="20"/>
                <w:szCs w:val="20"/>
                <w:color w:val="auto"/>
              </w:rPr>
            </w:pPr>
          </w:p>
        </w:tc>
        <w:tc>
          <w:tcPr>
            <w:tcW w:w="20" w:type="dxa"/>
            <w:vAlign w:val="bottom"/>
            <w:tcBorders>
              <w:top w:val="single" w:sz="8" w:color="auto"/>
            </w:tcBorders>
            <w:shd w:val="clear" w:color="auto" w:fill="D9D9D9"/>
          </w:tcPr>
          <w:p>
            <w:pPr>
              <w:spacing w:after="0"/>
              <w:rPr>
                <w:sz w:val="20"/>
                <w:szCs w:val="20"/>
                <w:color w:val="auto"/>
              </w:rPr>
            </w:pPr>
          </w:p>
        </w:tc>
        <w:tc>
          <w:tcPr>
            <w:tcW w:w="100" w:type="dxa"/>
            <w:vAlign w:val="bottom"/>
            <w:tcBorders>
              <w:top w:val="single" w:sz="8" w:color="auto"/>
            </w:tcBorders>
            <w:shd w:val="clear" w:color="auto" w:fill="D9D9D9"/>
          </w:tcPr>
          <w:p>
            <w:pPr>
              <w:spacing w:after="0"/>
              <w:rPr>
                <w:sz w:val="20"/>
                <w:szCs w:val="20"/>
                <w:color w:val="auto"/>
              </w:rPr>
            </w:pPr>
          </w:p>
        </w:tc>
        <w:tc>
          <w:tcPr>
            <w:tcW w:w="1100" w:type="dxa"/>
            <w:vAlign w:val="bottom"/>
            <w:tcBorders>
              <w:top w:val="single" w:sz="8" w:color="auto"/>
            </w:tcBorders>
            <w:shd w:val="clear" w:color="auto" w:fill="D9D9D9"/>
          </w:tcPr>
          <w:p>
            <w:pPr>
              <w:spacing w:after="0"/>
              <w:rPr>
                <w:sz w:val="20"/>
                <w:szCs w:val="20"/>
                <w:color w:val="auto"/>
              </w:rPr>
            </w:pPr>
          </w:p>
        </w:tc>
        <w:tc>
          <w:tcPr>
            <w:tcW w:w="100" w:type="dxa"/>
            <w:vAlign w:val="bottom"/>
            <w:tcBorders>
              <w:top w:val="single" w:sz="8" w:color="auto"/>
            </w:tcBorders>
            <w:shd w:val="clear" w:color="auto" w:fill="D9D9D9"/>
          </w:tcPr>
          <w:p>
            <w:pPr>
              <w:spacing w:after="0"/>
              <w:rPr>
                <w:sz w:val="20"/>
                <w:szCs w:val="20"/>
                <w:color w:val="auto"/>
              </w:rPr>
            </w:pPr>
          </w:p>
        </w:tc>
        <w:tc>
          <w:tcPr>
            <w:tcW w:w="1520" w:type="dxa"/>
            <w:vAlign w:val="bottom"/>
            <w:tcBorders>
              <w:top w:val="single" w:sz="8" w:color="auto"/>
              <w:right w:val="single" w:sz="8" w:color="auto"/>
            </w:tcBorders>
            <w:shd w:val="clear" w:color="auto" w:fill="D9D9D9"/>
          </w:tcPr>
          <w:p>
            <w:pPr>
              <w:spacing w:after="0"/>
              <w:rPr>
                <w:sz w:val="20"/>
                <w:szCs w:val="20"/>
                <w:color w:val="auto"/>
              </w:rPr>
            </w:pPr>
          </w:p>
        </w:tc>
        <w:tc>
          <w:tcPr>
            <w:tcW w:w="18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Term SOFR Loans and</w:t>
            </w:r>
          </w:p>
        </w:tc>
        <w:tc>
          <w:tcPr>
            <w:tcW w:w="18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Base Rate</w:t>
            </w:r>
          </w:p>
        </w:tc>
        <w:tc>
          <w:tcPr>
            <w:tcW w:w="1420" w:type="dxa"/>
            <w:vAlign w:val="bottom"/>
            <w:tcBorders>
              <w:top w:val="single" w:sz="8" w:color="auto"/>
            </w:tcBorders>
            <w:shd w:val="clear" w:color="auto" w:fill="D9D9D9"/>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0" w:type="dxa"/>
            <w:vAlign w:val="bottom"/>
            <w:tcBorders>
              <w:right w:val="single" w:sz="8" w:color="D9D9D9"/>
            </w:tcBorders>
          </w:tcPr>
          <w:p>
            <w:pPr>
              <w:spacing w:after="0"/>
              <w:rPr>
                <w:sz w:val="18"/>
                <w:szCs w:val="18"/>
                <w:color w:val="auto"/>
              </w:rPr>
            </w:pP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Pricing</w:t>
            </w:r>
          </w:p>
        </w:tc>
        <w:tc>
          <w:tcPr>
            <w:tcW w:w="2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2720" w:type="dxa"/>
            <w:vAlign w:val="bottom"/>
            <w:tcBorders>
              <w:right w:val="single" w:sz="8" w:color="auto"/>
            </w:tcBorders>
            <w:gridSpan w:val="3"/>
            <w:shd w:val="clear" w:color="auto" w:fill="D9D9D9"/>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Consolidated Total</w:t>
            </w:r>
          </w:p>
        </w:tc>
        <w:tc>
          <w:tcPr>
            <w:tcW w:w="18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Letter</w:t>
            </w:r>
          </w:p>
        </w:tc>
        <w:tc>
          <w:tcPr>
            <w:tcW w:w="18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Loans and Swing Line</w:t>
            </w:r>
          </w:p>
        </w:tc>
        <w:tc>
          <w:tcPr>
            <w:tcW w:w="142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r>
      <w:tr>
        <w:trPr>
          <w:trHeight w:val="261"/>
        </w:trPr>
        <w:tc>
          <w:tcPr>
            <w:tcW w:w="40" w:type="dxa"/>
            <w:vAlign w:val="bottom"/>
            <w:tcBorders>
              <w:right w:val="single" w:sz="8" w:color="D9D9D9"/>
            </w:tcBorders>
          </w:tcPr>
          <w:p>
            <w:pPr>
              <w:spacing w:after="0"/>
              <w:rPr>
                <w:sz w:val="22"/>
                <w:szCs w:val="22"/>
                <w:color w:val="auto"/>
              </w:rPr>
            </w:pPr>
          </w:p>
        </w:tc>
        <w:tc>
          <w:tcPr>
            <w:tcW w:w="12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Level</w:t>
            </w:r>
          </w:p>
        </w:tc>
        <w:tc>
          <w:tcPr>
            <w:tcW w:w="2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2720" w:type="dxa"/>
            <w:vAlign w:val="bottom"/>
            <w:tcBorders>
              <w:bottom w:val="single" w:sz="8" w:color="auto"/>
              <w:right w:val="single" w:sz="8" w:color="auto"/>
            </w:tcBorders>
            <w:gridSpan w:val="3"/>
            <w:shd w:val="clear" w:color="auto" w:fill="D9D9D9"/>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Leverage Ratio</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of Credit Fees</w:t>
            </w:r>
          </w:p>
        </w:tc>
        <w:tc>
          <w:tcPr>
            <w:tcW w:w="1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142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Commitment Fee</w:t>
            </w:r>
          </w:p>
        </w:tc>
        <w:tc>
          <w:tcPr>
            <w:tcW w:w="20" w:type="dxa"/>
            <w:vAlign w:val="bottom"/>
          </w:tcPr>
          <w:p>
            <w:pPr>
              <w:spacing w:after="0"/>
              <w:rPr>
                <w:sz w:val="22"/>
                <w:szCs w:val="22"/>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&gt;4.50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2.125%</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1.125%</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0.325%</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II</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&lt;4.50 to 1.0 but &gt; 4.25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1.875%</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0.875%</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0.300%</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III</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&lt;4.25 to 1.0 but &gt; 4.00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1.625%</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0.625%</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0.275%</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4"/>
              </w:rPr>
              <w:t>IV</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&lt;4.00 to 1.0 but &gt; 3.50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1.500%</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0.500%</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0.250%</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V</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&lt;3.50 to 1.0 but &gt;2.50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1.375%</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0.375%</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0.225%</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4"/>
              </w:rPr>
              <w:t>VI</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&lt;2.50 to 1.0 but &gt; 2.00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1.250%</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0.250%</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0.200%</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40" w:type="dxa"/>
            <w:vAlign w:val="bottom"/>
          </w:tcPr>
          <w:p>
            <w:pPr>
              <w:spacing w:after="0"/>
              <w:rPr>
                <w:sz w:val="17"/>
                <w:szCs w:val="17"/>
                <w:color w:val="auto"/>
              </w:rPr>
            </w:pPr>
          </w:p>
        </w:tc>
        <w:tc>
          <w:tcPr>
            <w:tcW w:w="12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VII</w:t>
            </w:r>
          </w:p>
        </w:tc>
        <w:tc>
          <w:tcPr>
            <w:tcW w:w="20" w:type="dxa"/>
            <w:vAlign w:val="bottom"/>
          </w:tcPr>
          <w:p>
            <w:pPr>
              <w:spacing w:after="0"/>
              <w:rPr>
                <w:sz w:val="17"/>
                <w:szCs w:val="17"/>
                <w:color w:val="auto"/>
              </w:rPr>
            </w:pPr>
          </w:p>
        </w:tc>
        <w:tc>
          <w:tcPr>
            <w:tcW w:w="282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&lt;2.00 to 1.0 but &gt; 1.50 to 1.0</w:t>
            </w:r>
          </w:p>
        </w:tc>
        <w:tc>
          <w:tcPr>
            <w:tcW w:w="1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1.125%</w:t>
            </w:r>
          </w:p>
        </w:tc>
        <w:tc>
          <w:tcPr>
            <w:tcW w:w="18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0.125%</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0.175%</w:t>
            </w: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VIII</w:t>
            </w:r>
          </w:p>
        </w:tc>
        <w:tc>
          <w:tcPr>
            <w:tcW w:w="20" w:type="dxa"/>
            <w:vAlign w:val="bottom"/>
          </w:tcPr>
          <w:p>
            <w:pPr>
              <w:spacing w:after="0"/>
              <w:rPr>
                <w:sz w:val="20"/>
                <w:szCs w:val="20"/>
                <w:color w:val="auto"/>
              </w:rPr>
            </w:pPr>
          </w:p>
        </w:tc>
        <w:tc>
          <w:tcPr>
            <w:tcW w:w="28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&lt;1.50 to 1.0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0.150%</w:t>
            </w:r>
          </w:p>
        </w:tc>
        <w:tc>
          <w:tcPr>
            <w:tcW w:w="2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346" w:lineRule="exact"/>
        <w:rPr>
          <w:sz w:val="20"/>
          <w:szCs w:val="20"/>
          <w:color w:val="auto"/>
        </w:rPr>
      </w:pPr>
    </w:p>
    <w:p>
      <w:pPr>
        <w:ind w:left="1120" w:firstLine="1296"/>
        <w:spacing w:after="0" w:line="276" w:lineRule="auto"/>
        <w:rPr>
          <w:sz w:val="20"/>
          <w:szCs w:val="20"/>
          <w:color w:val="auto"/>
        </w:rPr>
      </w:pPr>
      <w:r>
        <w:rPr>
          <w:rFonts w:ascii="Times New Roman" w:cs="Times New Roman" w:eastAsia="Times New Roman" w:hAnsi="Times New Roman"/>
          <w:sz w:val="17"/>
          <w:szCs w:val="17"/>
          <w:color w:val="auto"/>
        </w:rPr>
        <w:t xml:space="preserve">Any increase or decrease in the Applicable Rate resulting from a change in the Consolidated Total Leverage Ratio shall become effective as of the first Business Day immediately following the date a Compliance Certificate is delivered pursuant to </w:t>
      </w:r>
      <w:r>
        <w:rPr>
          <w:rFonts w:ascii="Times New Roman" w:cs="Times New Roman" w:eastAsia="Times New Roman" w:hAnsi="Times New Roman"/>
          <w:sz w:val="17"/>
          <w:szCs w:val="17"/>
          <w:u w:val="single" w:color="auto"/>
          <w:color w:val="auto"/>
        </w:rPr>
        <w:t>Section</w:t>
      </w:r>
    </w:p>
    <w:p>
      <w:pPr>
        <w:spacing w:after="0" w:line="1" w:lineRule="exact"/>
        <w:rPr>
          <w:sz w:val="20"/>
          <w:szCs w:val="20"/>
          <w:color w:val="auto"/>
        </w:rPr>
      </w:pPr>
    </w:p>
    <w:p>
      <w:pPr>
        <w:ind w:left="1120" w:right="60"/>
        <w:spacing w:after="0" w:line="252" w:lineRule="auto"/>
        <w:rPr>
          <w:sz w:val="20"/>
          <w:szCs w:val="20"/>
          <w:color w:val="auto"/>
        </w:rPr>
      </w:pPr>
      <w:r>
        <w:rPr>
          <w:rFonts w:ascii="Times New Roman" w:cs="Times New Roman" w:eastAsia="Times New Roman" w:hAnsi="Times New Roman"/>
          <w:sz w:val="18"/>
          <w:szCs w:val="18"/>
          <w:u w:val="single" w:color="auto"/>
          <w:color w:val="auto"/>
        </w:rPr>
        <w:t>6.02(b)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Compliance Certificate is not delivered within 5 Business Days of its becoming due in accordance with such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then Pricing Level I will be applicable as of the first Business Day after the date on which such Compliance Certificate was required to be delivered until the date five Business Days after the appropriate Compliance Certificate is delivered, whereupon the Applicable Rate shall be adjusted based on the information contained in the Compliance Certificate. Pricing Level II will be in effect during the period from the Amendment No. 1 Effective Date until the first Business Day immediately following the date that the quarterly Compliance Certificate is delivered for the fiscal quarter ending June 30, 2025.</w:t>
      </w:r>
    </w:p>
    <w:p>
      <w:pPr>
        <w:spacing w:after="0" w:line="190" w:lineRule="exact"/>
        <w:rPr>
          <w:sz w:val="20"/>
          <w:szCs w:val="20"/>
          <w:color w:val="auto"/>
        </w:rPr>
      </w:pPr>
    </w:p>
    <w:p>
      <w:pPr>
        <w:ind w:left="480" w:right="2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80" w:right="400" w:firstLine="1304"/>
        <w:spacing w:after="0" w:line="237" w:lineRule="auto"/>
        <w:tabs>
          <w:tab w:leader="none" w:pos="17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“U.S. Government Securities Business Day” set forth in Section 1.01 of the Existing Credit Agreement is hereby amended and restated in its entirety as follows:</w:t>
      </w:r>
    </w:p>
    <w:p>
      <w:pPr>
        <w:spacing w:after="0" w:line="172" w:lineRule="exact"/>
        <w:rPr>
          <w:sz w:val="20"/>
          <w:szCs w:val="20"/>
          <w:color w:val="auto"/>
        </w:rPr>
      </w:pPr>
    </w:p>
    <w:p>
      <w:pPr>
        <w:ind w:left="480" w:right="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2" w:lineRule="exact"/>
        <w:rPr>
          <w:sz w:val="20"/>
          <w:szCs w:val="20"/>
          <w:color w:val="auto"/>
        </w:rPr>
      </w:pPr>
    </w:p>
    <w:p>
      <w:pPr>
        <w:ind w:left="1760" w:hanging="636"/>
        <w:spacing w:after="0"/>
        <w:tabs>
          <w:tab w:leader="none" w:pos="1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(a) of Section 2.16 of the Existing Credit Agreement is hereby amended and restated in its entirety as follows:</w:t>
      </w:r>
    </w:p>
    <w:p>
      <w:pPr>
        <w:spacing w:after="0" w:line="212" w:lineRule="exact"/>
        <w:rPr>
          <w:sz w:val="20"/>
          <w:szCs w:val="20"/>
          <w:color w:val="auto"/>
        </w:rPr>
      </w:pPr>
    </w:p>
    <w:p>
      <w:pPr>
        <w:ind w:left="1440"/>
        <w:spacing w:after="0"/>
        <w:tabs>
          <w:tab w:leader="none" w:pos="1880" w:val="left"/>
        </w:tabs>
        <w:rPr>
          <w:sz w:val="20"/>
          <w:szCs w:val="20"/>
          <w:color w:val="auto"/>
        </w:rPr>
      </w:pPr>
      <w:r>
        <w:rPr>
          <w:rFonts w:ascii="Times New Roman" w:cs="Times New Roman" w:eastAsia="Times New Roman" w:hAnsi="Times New Roman"/>
          <w:sz w:val="18"/>
          <w:szCs w:val="18"/>
          <w:color w:val="auto"/>
        </w:rPr>
        <w:t>“(a)</w:t>
        <w:tab/>
        <w:t>Upon notice to the Administrative Agent (which shall promptly notify the Lenders), the Borrower may from time to time add</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one or more new tranches of term loan facilities (each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or request an increase in the Aggregate</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Commitments (which increase may take the form of an increase to the Revolving Credit Facility or to the Term Facility) (each an</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Increase</w:t>
      </w:r>
      <w:r>
        <w:rPr>
          <w:rFonts w:ascii="Times New Roman" w:cs="Times New Roman" w:eastAsia="Times New Roman" w:hAnsi="Times New Roman"/>
          <w:sz w:val="18"/>
          <w:szCs w:val="18"/>
          <w:color w:val="auto"/>
        </w:rPr>
        <w:t>”; together with the Incremental Term Loans, and each, an “</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by an amount (the “</w:t>
      </w:r>
      <w:r>
        <w:rPr>
          <w:rFonts w:ascii="Times New Roman" w:cs="Times New Roman" w:eastAsia="Times New Roman" w:hAnsi="Times New Roman"/>
          <w:sz w:val="18"/>
          <w:szCs w:val="18"/>
          <w:u w:val="single" w:color="auto"/>
          <w:color w:val="auto"/>
        </w:rPr>
        <w:t>Incremental</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together with amounts utilized to incur any Incremental Notes, not exceeding the sum of (A) the greater of (x) $450,000,000</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 xml:space="preserve">and (y) 100% of Consolidated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to the contrary herein, during the Covenant Relief</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 xml:space="preserve">Period, the foregoing portion of this clause (A) shall not be permitted to be utilized,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of all voluntary</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prepayments of Term Loans and permanent reductions of Revolving Credit Commitments made prior to the date of any applicable</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 xml:space="preserve">incurrence (other than, in each case, prepayments made with the proceeds of long term indebtedness), </w:t>
      </w:r>
      <w:r>
        <w:rPr>
          <w:rFonts w:ascii="Times New Roman" w:cs="Times New Roman" w:eastAsia="Times New Roman" w:hAnsi="Times New Roman"/>
          <w:sz w:val="18"/>
          <w:szCs w:val="18"/>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500" w:top="1440" w:right="379" w:bottom="1440" w:gutter="0" w:footer="0" w:header="0"/>
        </w:sectPr>
      </w:pPr>
    </w:p>
    <w:bookmarkStart w:id="6" w:name="page7"/>
    <w:bookmarkEnd w:id="6"/>
    <w:p>
      <w:pPr>
        <w:ind w:left="1120" w:firstLine="4"/>
        <w:spacing w:after="0" w:line="251" w:lineRule="auto"/>
        <w:tabs>
          <w:tab w:leader="none" w:pos="14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amount so long as, in the case of this clause (B), (x) in the case of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Term Loans, the Consolidated Senior Secured Net Leverage Ratio of the Borrower and its Subsidiaries as of the last day of the applicable Reference Period, on a pro forma basis, does not exceed the Consolidated Senior Secured Net Leverage Incurrence Ratio, and (y) in the case of Indebtedness secured on a junior lien or unsecured basis, the Consolidated Total Leverage Ratio of the Borrower and its Subsidiaries as of the last day of the applicable Reference Period, on a pro forma basis does not exceed the Consolidated Total Leverage Incurrence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Incremental Facilities may be incurred under both the preceding clauses (A) and (B) in a single transaction by first calculating the portion of the Indebtedness being incurred under clause (B) (without giving effect to the Indebtedness being incurred under clause (A)) and second calculating the portion of the Indebtedness being incurred under clause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 any such request for an Incremental Facility shall be in a minimum amount of $25,000,000, (ii) the Borrower may make a maximum of five such requests, (iii) no Incremental Term Loan shall mature earlier than the Maturity Date or have a shorter weighted average life to maturity than the remaining weighted average life to maturity of the Term Facility, (iv) each Incremental Term Loan shall rank pari passu or junior in right of payment, prepayment and/or voting with the Term Loans, including sharing in mandatory prepayments under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pro rata with the Term Loans (unless agreed to be paid after the Term Loans by the Lenders providing such Incremental Term Loans), (v) any Incremental Term Loan secured on a junior lien basis to the Term Facility shall be subject to customary second lien, prepayment, standstill and other provisions reasonably acceptable to the Administrative Agent and the Borrower), (vi) no Incremental Facility shall be guaranteed by entities other than Subsidiary Guarantors and no Incremental Facility that is secured shall be secured by any assets other than Collateral, (vii) other than as expressly provided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any Incremental Term Loan shall be on terms and conditions substantially identical to, or (taken as a whole) not materially more favorable (as reasonably determined by the Borrower) to the lenders providing such Incremental Term Loan than those applicable to the Term Facility (except for covenants or other provisions applicable only to periods after the Maturity Date, closing date conditions, fees, interest rate and other economic terms) and (viii) any Incremental Increase of the Revolving Credit Facility or the Term Facility shall be on terms identical to and pursuant to the documentation applicable to the Revolving Credit Facility or the Term Facility, as applicable (other than with respect to closing date conditions, fees for such Incremental Increase and other terms meant to implement such Incremental Increase). Incremental Facilities may be (but shall not be required to be) provided by any existing Lender, in each case on terms permitted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otherwise on terms reasonably acceptable to the Borrower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offer or accept commitments from existing Lenders for any Incremental Facility. At the time of sending the notice referred to in the foregoing sentence, the Borrower (in consultation with the Administrative Agent) shall specify the time period within which any Appropriate Lender is requested to respond (which shall in no event be less than ten Business Days from the date of delivery of such notice to the Appropriate Lenders).”</w:t>
      </w:r>
    </w:p>
    <w:p>
      <w:pPr>
        <w:spacing w:after="0" w:line="218" w:lineRule="exact"/>
        <w:rPr>
          <w:sz w:val="20"/>
          <w:szCs w:val="20"/>
          <w:color w:val="auto"/>
        </w:rPr>
      </w:pPr>
    </w:p>
    <w:p>
      <w:pPr>
        <w:ind w:left="1760" w:hanging="636"/>
        <w:spacing w:after="0"/>
        <w:tabs>
          <w:tab w:leader="none" w:pos="1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 of the Existing Credit Agreement is hereby amended by adding a new Section 5.32 at the end thereof as follows:</w:t>
      </w:r>
    </w:p>
    <w:p>
      <w:pPr>
        <w:spacing w:after="0" w:line="194" w:lineRule="exact"/>
        <w:rPr>
          <w:rFonts w:ascii="Times New Roman" w:cs="Times New Roman" w:eastAsia="Times New Roman" w:hAnsi="Times New Roman"/>
          <w:sz w:val="18"/>
          <w:szCs w:val="18"/>
          <w:color w:val="auto"/>
        </w:rPr>
      </w:pPr>
    </w:p>
    <w:p>
      <w:pPr>
        <w:ind w:left="1780" w:right="8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5.32 Outbound Investment Rules.</w:t>
      </w:r>
      <w:r>
        <w:rPr>
          <w:rFonts w:ascii="Times New Roman" w:cs="Times New Roman" w:eastAsia="Times New Roman" w:hAnsi="Times New Roman"/>
          <w:sz w:val="18"/>
          <w:szCs w:val="18"/>
          <w:color w:val="auto"/>
        </w:rPr>
        <w:t xml:space="preserve"> Neither the Borrower nor any of its Subsidiaries is a “covered foreign person” as that term is used in the Outbound Investment Rules. No Loan Party currently engages, or has any present intention to engage in the future, directly or indirectly, in any activity that would cause the Administrative Agent or Lenders to be in violation of the Outbound Investment Rules or cause the Administrative Agent or Lenders to be legally prohibited by the Outbound Investment Rules from performing under this Agreement.”</w:t>
      </w:r>
    </w:p>
    <w:p>
      <w:pPr>
        <w:spacing w:after="0" w:line="196" w:lineRule="exact"/>
        <w:rPr>
          <w:rFonts w:ascii="Times New Roman" w:cs="Times New Roman" w:eastAsia="Times New Roman" w:hAnsi="Times New Roman"/>
          <w:sz w:val="18"/>
          <w:szCs w:val="18"/>
          <w:color w:val="auto"/>
        </w:rPr>
      </w:pPr>
    </w:p>
    <w:p>
      <w:pPr>
        <w:ind w:left="-180" w:right="280" w:firstLine="1304"/>
        <w:spacing w:after="0" w:line="250" w:lineRule="auto"/>
        <w:tabs>
          <w:tab w:leader="none" w:pos="17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7.01 of the Existing Credit Agreement is hereby amended to insert “;” at the end of clause (v) thereof and adding the following proviso immediately following such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500" w:top="1415" w:right="379" w:bottom="1440" w:gutter="0" w:footer="0" w:header="0"/>
        </w:sectPr>
      </w:pPr>
    </w:p>
    <w:bookmarkStart w:id="7" w:name="page8"/>
    <w:bookmarkEnd w:id="7"/>
    <w:p>
      <w:pPr>
        <w:ind w:left="1120" w:right="2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the Borrower and its Subsidiaries shall not be permitted to incur Liens pursuant to </w:t>
      </w:r>
      <w:r>
        <w:rPr>
          <w:rFonts w:ascii="Times New Roman" w:cs="Times New Roman" w:eastAsia="Times New Roman" w:hAnsi="Times New Roman"/>
          <w:sz w:val="18"/>
          <w:szCs w:val="18"/>
          <w:u w:val="single" w:color="auto"/>
          <w:color w:val="auto"/>
        </w:rPr>
        <w:t>Sections 7.01(i)</w:t>
      </w:r>
      <w:r>
        <w:rPr>
          <w:rFonts w:ascii="Times New Roman" w:cs="Times New Roman" w:eastAsia="Times New Roman" w:hAnsi="Times New Roman"/>
          <w:sz w:val="18"/>
          <w:szCs w:val="18"/>
          <w:color w:val="auto"/>
        </w:rPr>
        <w:t xml:space="preserve"> (other than Liens securing Indebtedness permitted under </w:t>
      </w:r>
      <w:r>
        <w:rPr>
          <w:rFonts w:ascii="Times New Roman" w:cs="Times New Roman" w:eastAsia="Times New Roman" w:hAnsi="Times New Roman"/>
          <w:sz w:val="18"/>
          <w:szCs w:val="18"/>
          <w:u w:val="single" w:color="auto"/>
          <w:color w:val="auto"/>
        </w:rPr>
        <w:t>Sections 7.03(d)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7.01(t)</w:t>
      </w:r>
      <w:r>
        <w:rPr>
          <w:rFonts w:ascii="Times New Roman" w:cs="Times New Roman" w:eastAsia="Times New Roman" w:hAnsi="Times New Roman"/>
          <w:sz w:val="18"/>
          <w:szCs w:val="18"/>
          <w:color w:val="auto"/>
        </w:rPr>
        <w:t xml:space="preserve"> during the Covenant Relief Period.”</w:t>
      </w:r>
    </w:p>
    <w:p>
      <w:pPr>
        <w:spacing w:after="0" w:line="189" w:lineRule="exact"/>
        <w:rPr>
          <w:sz w:val="20"/>
          <w:szCs w:val="20"/>
          <w:color w:val="auto"/>
        </w:rPr>
      </w:pPr>
    </w:p>
    <w:p>
      <w:pPr>
        <w:ind w:left="1760" w:hanging="636"/>
        <w:spacing w:after="0"/>
        <w:tabs>
          <w:tab w:leader="none" w:pos="1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(g) of Section 7.02 of the Existing Credit Agreement is hereby amended and restated in its entirety as follows:</w:t>
      </w:r>
    </w:p>
    <w:p>
      <w:pPr>
        <w:spacing w:after="0" w:line="198" w:lineRule="exact"/>
        <w:rPr>
          <w:sz w:val="20"/>
          <w:szCs w:val="20"/>
          <w:color w:val="auto"/>
        </w:rPr>
      </w:pPr>
    </w:p>
    <w:p>
      <w:pPr>
        <w:ind w:left="1780" w:right="160"/>
        <w:spacing w:after="0" w:line="258" w:lineRule="auto"/>
        <w:rPr>
          <w:sz w:val="20"/>
          <w:szCs w:val="20"/>
          <w:color w:val="auto"/>
        </w:rPr>
      </w:pPr>
      <w:r>
        <w:rPr>
          <w:rFonts w:ascii="Times New Roman" w:cs="Times New Roman" w:eastAsia="Times New Roman" w:hAnsi="Times New Roman"/>
          <w:sz w:val="18"/>
          <w:szCs w:val="18"/>
          <w:color w:val="auto"/>
        </w:rPr>
        <w:t xml:space="preserve">“(g) (i) Investments that constitute Permitted Acquisitions (including Investments in Foreign Subsidiaries for the purpose of effecting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during the Covenant Relief Period, for so long as the Consolidated Total Leverage Ratio as of the last day of the most recently ended Reference Period exceeds 3.50 to 1.00 on a Pro Forma Basis, the aggregate amount of Investments made pursuant to this clause (i) shall not exceed $50,000,000 in the aggregate, and (ii) Investments in Minority Equity Interests;”</w:t>
      </w:r>
    </w:p>
    <w:p>
      <w:pPr>
        <w:spacing w:after="0" w:line="197" w:lineRule="exact"/>
        <w:rPr>
          <w:sz w:val="20"/>
          <w:szCs w:val="20"/>
          <w:color w:val="auto"/>
        </w:rPr>
      </w:pPr>
    </w:p>
    <w:p>
      <w:pPr>
        <w:ind w:left="1760" w:hanging="636"/>
        <w:spacing w:after="0"/>
        <w:tabs>
          <w:tab w:leader="none" w:pos="1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(s) of Section 7.02 of the Existing Credit Agreement is hereby amended and restated in its entirety as follows:</w:t>
      </w:r>
    </w:p>
    <w:p>
      <w:pPr>
        <w:spacing w:after="0" w:line="212" w:lineRule="exact"/>
        <w:rPr>
          <w:sz w:val="20"/>
          <w:szCs w:val="20"/>
          <w:color w:val="auto"/>
        </w:rPr>
      </w:pPr>
    </w:p>
    <w:p>
      <w:pPr>
        <w:ind w:left="1780"/>
        <w:spacing w:after="0" w:line="258" w:lineRule="auto"/>
        <w:rPr>
          <w:sz w:val="20"/>
          <w:szCs w:val="20"/>
          <w:color w:val="auto"/>
        </w:rPr>
      </w:pPr>
      <w:r>
        <w:rPr>
          <w:rFonts w:ascii="Times New Roman" w:cs="Times New Roman" w:eastAsia="Times New Roman" w:hAnsi="Times New Roman"/>
          <w:sz w:val="18"/>
          <w:szCs w:val="18"/>
          <w:color w:val="auto"/>
        </w:rPr>
        <w:t>“(s) additional Investments; provided that after giving pro forma effect to such Investments (x) (i) at all times prior to the Amendment No. 1 Effective Date and on and after the first Business Day following the Covenant Relief Period End Date, the Consolidated Total Leverage Ratio does not exceed 4.00 to 1.00 and (ii) at all times during the Covenant Relief Period and until the first Business Day following the Covenant Relief Period End Date, the Consolidated Total Leverage Ratio does not exceed 3.50 to 1.00, and (y) no Event of Default shall have occurred and be continuing or would result therefrom;”</w:t>
      </w:r>
    </w:p>
    <w:p>
      <w:pPr>
        <w:spacing w:after="0" w:line="197" w:lineRule="exact"/>
        <w:rPr>
          <w:sz w:val="20"/>
          <w:szCs w:val="20"/>
          <w:color w:val="auto"/>
        </w:rPr>
      </w:pPr>
    </w:p>
    <w:p>
      <w:pPr>
        <w:ind w:left="-180" w:right="240" w:firstLine="1304"/>
        <w:spacing w:after="0" w:line="237" w:lineRule="auto"/>
        <w:tabs>
          <w:tab w:leader="none" w:pos="17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7.02 of the Existing Credit Agreement is hereby amended to insert “;” at the end of clause (v) thereof and adding the following proviso immediately following such “;”:</w:t>
      </w:r>
    </w:p>
    <w:p>
      <w:pPr>
        <w:spacing w:after="0" w:line="172" w:lineRule="exact"/>
        <w:rPr>
          <w:sz w:val="20"/>
          <w:szCs w:val="20"/>
          <w:color w:val="auto"/>
        </w:rPr>
      </w:pPr>
    </w:p>
    <w:p>
      <w:pPr>
        <w:ind w:left="1780" w:right="1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notwithstanding anything to the contrary herein, the Borrower and its Subsidiaries shall not be permitted to make any Investments pursuant to clauses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above during the Covenant Relief Period, except in an amount not to exceed $20,000,000 in the aggregate at any time outstanding.”</w:t>
      </w:r>
    </w:p>
    <w:p>
      <w:pPr>
        <w:spacing w:after="0" w:line="189" w:lineRule="exact"/>
        <w:rPr>
          <w:sz w:val="20"/>
          <w:szCs w:val="20"/>
          <w:color w:val="auto"/>
        </w:rPr>
      </w:pPr>
    </w:p>
    <w:p>
      <w:pPr>
        <w:ind w:left="1760" w:hanging="636"/>
        <w:spacing w:after="0"/>
        <w:tabs>
          <w:tab w:leader="none" w:pos="1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7.02 of the Existing Credit Agreement is hereby amended to insert the following text after clause (v) thereof:</w:t>
      </w:r>
    </w:p>
    <w:p>
      <w:pPr>
        <w:spacing w:after="0" w:line="211" w:lineRule="exact"/>
        <w:rPr>
          <w:rFonts w:ascii="Times New Roman" w:cs="Times New Roman" w:eastAsia="Times New Roman" w:hAnsi="Times New Roman"/>
          <w:sz w:val="18"/>
          <w:szCs w:val="18"/>
          <w:color w:val="auto"/>
        </w:rPr>
      </w:pPr>
    </w:p>
    <w:p>
      <w:pPr>
        <w:ind w:left="1780" w:right="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“Notwithstanding anything to the contrary in this Agreement or in any other Loan Document, during the Covenant Relief Period, (a) the Borrower and the other Loan Parties shall not, directly or indirectly, sell, transfer or exclusively license ((i) including pursuant to an Investment, Restricted Payment or otherwise and (ii) excluding any non-exclusive license or exclusive license outside of the United States to a third party) any Material Intellectual Property (or Equity Interests in any Loan Party or Subsidiary that owns any such Material Intellectual Property) to any Subsidiary of the Borrower that is not a Loan Party or designate any Subsidiary that owns or exclusively licenses any Material Intellectual Property as an Excluded Subsidiary.”</w:t>
      </w:r>
    </w:p>
    <w:p>
      <w:pPr>
        <w:spacing w:after="0" w:line="186" w:lineRule="exact"/>
        <w:rPr>
          <w:rFonts w:ascii="Times New Roman" w:cs="Times New Roman" w:eastAsia="Times New Roman" w:hAnsi="Times New Roman"/>
          <w:sz w:val="18"/>
          <w:szCs w:val="18"/>
          <w:color w:val="auto"/>
        </w:rPr>
      </w:pPr>
    </w:p>
    <w:p>
      <w:pPr>
        <w:ind w:left="1760" w:hanging="636"/>
        <w:spacing w:after="0"/>
        <w:tabs>
          <w:tab w:leader="none" w:pos="1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(j) of Section 7.03 of the Existing Credit Agreement is hereby amended and restated in its entirety as follows:</w:t>
      </w:r>
    </w:p>
    <w:p>
      <w:pPr>
        <w:spacing w:after="0" w:line="198" w:lineRule="exact"/>
        <w:rPr>
          <w:sz w:val="20"/>
          <w:szCs w:val="20"/>
          <w:color w:val="auto"/>
        </w:rPr>
      </w:pPr>
    </w:p>
    <w:p>
      <w:pPr>
        <w:ind w:left="1780" w:right="60"/>
        <w:spacing w:after="0" w:line="312" w:lineRule="auto"/>
        <w:rPr>
          <w:sz w:val="20"/>
          <w:szCs w:val="20"/>
          <w:color w:val="auto"/>
        </w:rPr>
      </w:pPr>
      <w:r>
        <w:rPr>
          <w:rFonts w:ascii="Times New Roman" w:cs="Times New Roman" w:eastAsia="Times New Roman" w:hAnsi="Times New Roman"/>
          <w:sz w:val="17"/>
          <w:szCs w:val="17"/>
          <w:color w:val="auto"/>
        </w:rPr>
        <w:t xml:space="preserve">“(j) Indebtedness of any Loan Party in the form of notes that are (at the option of the Borrower) unsecured or secured by the Collateral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or junior lien basis (“</w:t>
      </w:r>
      <w:r>
        <w:rPr>
          <w:rFonts w:ascii="Times New Roman" w:cs="Times New Roman" w:eastAsia="Times New Roman" w:hAnsi="Times New Roman"/>
          <w:sz w:val="17"/>
          <w:szCs w:val="17"/>
          <w:u w:val="single" w:color="auto"/>
          <w:color w:val="auto"/>
        </w:rPr>
        <w:t>Incremental Notes</w:t>
      </w:r>
      <w:r>
        <w:rPr>
          <w:rFonts w:ascii="Times New Roman" w:cs="Times New Roman" w:eastAsia="Times New Roman" w:hAnsi="Times New Roman"/>
          <w:sz w:val="17"/>
          <w:szCs w:val="17"/>
          <w:color w:val="auto"/>
        </w:rPr>
        <w:t>”) in an amount not to exceed, together with any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500" w:top="1417" w:right="419" w:bottom="1440" w:gutter="0" w:footer="0" w:header="0"/>
        </w:sectPr>
      </w:pPr>
    </w:p>
    <w:bookmarkStart w:id="8" w:name="page9"/>
    <w:bookmarkEnd w:id="8"/>
    <w:p>
      <w:pPr>
        <w:ind w:left="1780"/>
        <w:spacing w:after="0" w:line="253" w:lineRule="auto"/>
        <w:rPr>
          <w:sz w:val="20"/>
          <w:szCs w:val="20"/>
          <w:color w:val="auto"/>
        </w:rPr>
      </w:pPr>
      <w:r>
        <w:rPr>
          <w:rFonts w:ascii="Times New Roman" w:cs="Times New Roman" w:eastAsia="Times New Roman" w:hAnsi="Times New Roman"/>
          <w:sz w:val="18"/>
          <w:szCs w:val="18"/>
          <w:color w:val="auto"/>
        </w:rPr>
        <w:t xml:space="preserve">Facilities incurred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Incremental Amount (for the avoidance of doubt, subject to the limitation thereunder during a Covenant Relief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Incremental Notes (i) do not mature prior to the latest final maturity date of, or have a shorter weighted average life than, any class of then outstanding Loans under the Facilities, (ii) have covenants and defaults no more restrictive (excluding pricing and optional prepayment and redemption terms), when taken as a whole, than those under the Facilities (except for covenants or other provisions (x) applicable only to periods after the latest final maturity of any Class of then outstanding Loans under the Facilities or (y) reasonably satisfactory to the Administrative Agent), (iii) do not require mandatory prepayments to be made except to the extent required to be applied pro rata to the Term Loans and any first lien secured Incremental Notes, (iv) to the extent secured, shall not be secured by any lien on any asset of the Borrower or any Subsidiary that does not also secure the Facilities, or be guaranteed by any person other than the Subsidiary Guarantors and (v) to the extent secured, shall be subject to customary intercreditor terms reasonably agreed between the Borrower and the Administrative Agent;”</w:t>
      </w:r>
    </w:p>
    <w:p>
      <w:pPr>
        <w:spacing w:after="0" w:line="205" w:lineRule="exact"/>
        <w:rPr>
          <w:sz w:val="20"/>
          <w:szCs w:val="20"/>
          <w:color w:val="auto"/>
        </w:rPr>
      </w:pPr>
    </w:p>
    <w:p>
      <w:pPr>
        <w:ind w:left="-180" w:right="320" w:firstLine="1304"/>
        <w:spacing w:after="0" w:line="237" w:lineRule="auto"/>
        <w:tabs>
          <w:tab w:leader="none" w:pos="17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7.03 of the Existing Credit Agreement is hereby amended to insert “;” at the end of clause (u) thereof and adding the following proviso immediately following such “;”:</w:t>
      </w:r>
    </w:p>
    <w:p>
      <w:pPr>
        <w:spacing w:after="0" w:line="185" w:lineRule="exact"/>
        <w:rPr>
          <w:sz w:val="20"/>
          <w:szCs w:val="20"/>
          <w:color w:val="auto"/>
        </w:rPr>
      </w:pPr>
    </w:p>
    <w:p>
      <w:pPr>
        <w:ind w:left="1780" w:right="4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the Borrower and its Subsidiaries shall not be permitted to incur Indebtedness pursuant to clauses </w:t>
      </w:r>
      <w:r>
        <w:rPr>
          <w:rFonts w:ascii="Times New Roman" w:cs="Times New Roman" w:eastAsia="Times New Roman" w:hAnsi="Times New Roman"/>
          <w:sz w:val="18"/>
          <w:szCs w:val="18"/>
          <w:u w:val="single" w:color="auto"/>
          <w:color w:val="auto"/>
        </w:rPr>
        <w:t>(c)(i)(B)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above during the Covenant Relief Period.”</w:t>
      </w:r>
    </w:p>
    <w:p>
      <w:pPr>
        <w:spacing w:after="0" w:line="175" w:lineRule="exact"/>
        <w:rPr>
          <w:sz w:val="20"/>
          <w:szCs w:val="20"/>
          <w:color w:val="auto"/>
        </w:rPr>
      </w:pPr>
    </w:p>
    <w:p>
      <w:pPr>
        <w:ind w:left="-180" w:right="320" w:firstLine="1304"/>
        <w:spacing w:after="0" w:line="237" w:lineRule="auto"/>
        <w:tabs>
          <w:tab w:leader="none" w:pos="17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7.06 of the Existing Credit Agreement is hereby amended to insert “;” at the end of clause (o) thereof and adding the following proviso immediately following such “;”:</w:t>
      </w:r>
    </w:p>
    <w:p>
      <w:pPr>
        <w:spacing w:after="0" w:line="172" w:lineRule="exact"/>
        <w:rPr>
          <w:sz w:val="20"/>
          <w:szCs w:val="20"/>
          <w:color w:val="auto"/>
        </w:rPr>
      </w:pPr>
    </w:p>
    <w:p>
      <w:pPr>
        <w:ind w:left="1780" w:right="72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to the contrary herein, the Borrower and its Subsidiaries shall not, directly or indirectly, make any Restricted Payments pursuant to clauses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(m)</w:t>
      </w:r>
      <w:r>
        <w:rPr>
          <w:rFonts w:ascii="Times New Roman" w:cs="Times New Roman" w:eastAsia="Times New Roman" w:hAnsi="Times New Roman"/>
          <w:sz w:val="17"/>
          <w:szCs w:val="17"/>
          <w:color w:val="auto"/>
        </w:rPr>
        <w:t xml:space="preserve"> above during the Covenant Relief Period.”</w:t>
      </w:r>
    </w:p>
    <w:p>
      <w:pPr>
        <w:spacing w:after="0" w:line="153" w:lineRule="exact"/>
        <w:rPr>
          <w:sz w:val="20"/>
          <w:szCs w:val="20"/>
          <w:color w:val="auto"/>
        </w:rPr>
      </w:pPr>
    </w:p>
    <w:p>
      <w:pPr>
        <w:ind w:left="1760" w:hanging="636"/>
        <w:spacing w:after="0"/>
        <w:tabs>
          <w:tab w:leader="none" w:pos="1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(a) of Section 7.17 of the Existing Credit Agreement is hereby amended and restated in its entirety as follows:</w:t>
      </w:r>
    </w:p>
    <w:p>
      <w:pPr>
        <w:spacing w:after="0" w:line="212" w:lineRule="exact"/>
        <w:rPr>
          <w:sz w:val="20"/>
          <w:szCs w:val="20"/>
          <w:color w:val="auto"/>
        </w:rPr>
      </w:pPr>
    </w:p>
    <w:p>
      <w:pPr>
        <w:ind w:left="1780" w:right="8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Maximum Consolidated Total Leverage Ratio</w:t>
      </w:r>
      <w:r>
        <w:rPr>
          <w:rFonts w:ascii="Times New Roman" w:cs="Times New Roman" w:eastAsia="Times New Roman" w:hAnsi="Times New Roman"/>
          <w:sz w:val="18"/>
          <w:szCs w:val="18"/>
          <w:color w:val="auto"/>
        </w:rPr>
        <w:t>. Permit the Consolidated Total Leverage Ratio of the Borrower and its Consolidated Subsidiaries as of the last day of any consecutive four fiscal quarter period ending on the dates identified below to be greater than the ratio set forth below opposite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500" w:top="1417" w:right="339" w:bottom="1440" w:gutter="0" w:footer="0" w:header="0"/>
        </w:sectPr>
      </w:pPr>
    </w:p>
    <w:bookmarkStart w:id="9" w:name="page10"/>
    <w:bookmarkEnd w:id="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780" w:type="dxa"/>
            <w:vAlign w:val="bottom"/>
            <w:tcBorders>
              <w:top w:val="single" w:sz="8" w:color="auto"/>
              <w:left w:val="single" w:sz="8" w:color="auto"/>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Quarters Ending</w:t>
            </w:r>
          </w:p>
        </w:tc>
        <w:tc>
          <w:tcPr>
            <w:tcW w:w="4860" w:type="dxa"/>
            <w:vAlign w:val="bottom"/>
            <w:tcBorders>
              <w:top w:val="single" w:sz="8" w:color="auto"/>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Consolidated Total Leverage Ratio</w:t>
            </w:r>
          </w:p>
        </w:tc>
        <w:tc>
          <w:tcPr>
            <w:tcW w:w="0" w:type="dxa"/>
            <w:vAlign w:val="bottom"/>
          </w:tcPr>
          <w:p>
            <w:pPr>
              <w:spacing w:after="0"/>
              <w:rPr>
                <w:sz w:val="1"/>
                <w:szCs w:val="1"/>
                <w:color w:val="auto"/>
              </w:rPr>
            </w:pPr>
          </w:p>
        </w:tc>
      </w:tr>
      <w:tr>
        <w:trPr>
          <w:trHeight w:val="223"/>
        </w:trPr>
        <w:tc>
          <w:tcPr>
            <w:tcW w:w="5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First fiscal quarter ending after the Closing Date through December 31, 2024</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4.50 to 1.00</w:t>
            </w:r>
          </w:p>
        </w:tc>
        <w:tc>
          <w:tcPr>
            <w:tcW w:w="0" w:type="dxa"/>
            <w:vAlign w:val="bottom"/>
          </w:tcPr>
          <w:p>
            <w:pPr>
              <w:spacing w:after="0"/>
              <w:rPr>
                <w:sz w:val="1"/>
                <w:szCs w:val="1"/>
                <w:color w:val="auto"/>
              </w:rPr>
            </w:pPr>
          </w:p>
        </w:tc>
      </w:tr>
      <w:tr>
        <w:trPr>
          <w:trHeight w:val="223"/>
        </w:trPr>
        <w:tc>
          <w:tcPr>
            <w:tcW w:w="5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2025 through June 30, 2026</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 to 1.00</w:t>
            </w:r>
          </w:p>
        </w:tc>
        <w:tc>
          <w:tcPr>
            <w:tcW w:w="0" w:type="dxa"/>
            <w:vAlign w:val="bottom"/>
          </w:tcPr>
          <w:p>
            <w:pPr>
              <w:spacing w:after="0"/>
              <w:rPr>
                <w:sz w:val="1"/>
                <w:szCs w:val="1"/>
                <w:color w:val="auto"/>
              </w:rPr>
            </w:pPr>
          </w:p>
        </w:tc>
      </w:tr>
      <w:tr>
        <w:trPr>
          <w:trHeight w:val="223"/>
        </w:trPr>
        <w:tc>
          <w:tcPr>
            <w:tcW w:w="5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30, 2026</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4.75 to 1.00</w:t>
            </w:r>
          </w:p>
        </w:tc>
        <w:tc>
          <w:tcPr>
            <w:tcW w:w="0" w:type="dxa"/>
            <w:vAlign w:val="bottom"/>
          </w:tcPr>
          <w:p>
            <w:pPr>
              <w:spacing w:after="0"/>
              <w:rPr>
                <w:sz w:val="1"/>
                <w:szCs w:val="1"/>
                <w:color w:val="auto"/>
              </w:rPr>
            </w:pPr>
          </w:p>
        </w:tc>
      </w:tr>
      <w:tr>
        <w:trPr>
          <w:trHeight w:val="223"/>
        </w:trPr>
        <w:tc>
          <w:tcPr>
            <w:tcW w:w="5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4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4.50 to 1.00</w:t>
            </w:r>
          </w:p>
        </w:tc>
        <w:tc>
          <w:tcPr>
            <w:tcW w:w="0" w:type="dxa"/>
            <w:vAlign w:val="bottom"/>
          </w:tcPr>
          <w:p>
            <w:pPr>
              <w:spacing w:after="0"/>
              <w:rPr>
                <w:sz w:val="1"/>
                <w:szCs w:val="1"/>
                <w:color w:val="auto"/>
              </w:rPr>
            </w:pPr>
          </w:p>
        </w:tc>
      </w:tr>
      <w:tr>
        <w:trPr>
          <w:trHeight w:val="218"/>
        </w:trPr>
        <w:tc>
          <w:tcPr>
            <w:tcW w:w="5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31, 2027 and the last day of each</w:t>
            </w:r>
          </w:p>
        </w:tc>
        <w:tc>
          <w:tcPr>
            <w:tcW w:w="4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4.00 to 1.00</w:t>
            </w:r>
          </w:p>
        </w:tc>
        <w:tc>
          <w:tcPr>
            <w:tcW w:w="0" w:type="dxa"/>
            <w:vAlign w:val="bottom"/>
          </w:tcPr>
          <w:p>
            <w:pPr>
              <w:spacing w:after="0"/>
              <w:rPr>
                <w:sz w:val="1"/>
                <w:szCs w:val="1"/>
                <w:color w:val="auto"/>
              </w:rPr>
            </w:pPr>
          </w:p>
        </w:tc>
      </w:tr>
      <w:tr>
        <w:trPr>
          <w:trHeight w:val="126"/>
        </w:trPr>
        <w:tc>
          <w:tcPr>
            <w:tcW w:w="5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fiscal quarter thereafter</w:t>
            </w:r>
          </w:p>
        </w:tc>
        <w:tc>
          <w:tcPr>
            <w:tcW w:w="4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80" w:type="dxa"/>
            <w:vAlign w:val="bottom"/>
            <w:tcBorders>
              <w:left w:val="single" w:sz="8" w:color="auto"/>
              <w:right w:val="single" w:sz="8" w:color="auto"/>
            </w:tcBorders>
            <w:vMerge w:val="continue"/>
          </w:tcPr>
          <w:p>
            <w:pPr>
              <w:spacing w:after="0"/>
              <w:rPr>
                <w:sz w:val="9"/>
                <w:szCs w:val="9"/>
                <w:color w:val="auto"/>
              </w:rPr>
            </w:pPr>
          </w:p>
        </w:tc>
        <w:tc>
          <w:tcPr>
            <w:tcW w:w="4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780" w:type="dxa"/>
            <w:vAlign w:val="bottom"/>
            <w:tcBorders>
              <w:left w:val="single" w:sz="8" w:color="auto"/>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96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at the election of the Borrower, up to two times during the term of this Agreement, the maximum Consolidated Total Leverage Ratio set forth in the grid above may be increased to accommodate a Permitted Acquisition, as determined by the Borrower and as designated in the Compliance Certificate or earlier notice given by the Borrower in connection with such Permitted Acquisition (including for determining any ratios, baskets, representations and warranties or test any Default or Event of Default blocker pursuant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such increase will not otherwise go into effect until the closing of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increase will not go into effect during the Covenant Relief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such increase shall only apply for a period of twelve months from and after such Permitted Acquisition and immediately upon the expiration of such twelve month period, the required maximum Consolidated Total Leverage Ratio shall revert to the level set forth above for the measurement period in which such step down occurs; (ii) in no event shall the maximum Consolidated Total Leverage Ratio after giving effect to any such step-up exceed 5.00 to 1.00; and (iii) the maximum amount that any Consolidated Total Leverage Ratio covenant level may step-up during any Consolidated Total Leverage Ratio measurement period is 1.00.”</w:t>
      </w:r>
    </w:p>
    <w:p>
      <w:pPr>
        <w:spacing w:after="0" w:line="203" w:lineRule="exact"/>
        <w:rPr>
          <w:sz w:val="20"/>
          <w:szCs w:val="20"/>
          <w:color w:val="auto"/>
        </w:rPr>
      </w:pPr>
    </w:p>
    <w:p>
      <w:pPr>
        <w:ind w:left="1940" w:hanging="636"/>
        <w:spacing w:after="0"/>
        <w:tabs>
          <w:tab w:leader="none" w:pos="1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 of the Existing Credit Agreement is hereby amended by adding a new Section 7.19 at the end thereof as follows:</w:t>
      </w:r>
    </w:p>
    <w:p>
      <w:pPr>
        <w:spacing w:after="0" w:line="194" w:lineRule="exact"/>
        <w:rPr>
          <w:rFonts w:ascii="Times New Roman" w:cs="Times New Roman" w:eastAsia="Times New Roman" w:hAnsi="Times New Roman"/>
          <w:sz w:val="18"/>
          <w:szCs w:val="18"/>
          <w:color w:val="auto"/>
        </w:rPr>
      </w:pPr>
    </w:p>
    <w:p>
      <w:pPr>
        <w:ind w:left="1960" w:right="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7.19 Outbound Investment Rules.</w:t>
      </w:r>
      <w:r>
        <w:rPr>
          <w:rFonts w:ascii="Times New Roman" w:cs="Times New Roman" w:eastAsia="Times New Roman" w:hAnsi="Times New Roman"/>
          <w:sz w:val="18"/>
          <w:szCs w:val="18"/>
          <w:color w:val="auto"/>
        </w:rPr>
        <w:t xml:space="preserve"> The Borrower will not, and will not permit any of its Subsidiaries to, (i) be or become a “covered foreign person”, as that term is defined in the Outbound Investment Rules, or (ii) engage, directly or indirectly, in any activities in violation of the Outbound Investment Rules, or (iii) engage directly or indirectly, in any activity that would cause the Administrative Agent or any Lender to be in violation of the Outbound Investment Rules or that the Administrative Agent or any Lender would be legally prohibited by the Outbound Investment Rules from performing under this Agreement.”</w:t>
      </w:r>
    </w:p>
    <w:p>
      <w:pPr>
        <w:spacing w:after="0" w:line="196"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10.07 of the Existing Credit Agreement is hereby amended to insert the following text after the last paragraph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ind w:left="1960" w:right="180"/>
        <w:spacing w:after="0" w:line="266"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89" w:lineRule="exact"/>
        <w:rPr>
          <w:sz w:val="20"/>
          <w:szCs w:val="20"/>
          <w:color w:val="auto"/>
        </w:rPr>
      </w:pPr>
    </w:p>
    <w:p>
      <w:pPr>
        <w:ind w:right="320" w:firstLine="1296"/>
        <w:spacing w:after="0" w:line="236"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Amendment Fee</w:t>
      </w:r>
      <w:r>
        <w:rPr>
          <w:rFonts w:ascii="Times New Roman" w:cs="Times New Roman" w:eastAsia="Times New Roman" w:hAnsi="Times New Roman"/>
          <w:sz w:val="17"/>
          <w:szCs w:val="17"/>
          <w:color w:val="auto"/>
        </w:rPr>
        <w:t>. In consideration of the Lenders’ agreements set forth herein, the Borrower agrees to pay to the Administrative Agent, for the account of each Consenting Lender (as defined below), an amendment fee (the “</w:t>
      </w:r>
      <w:r>
        <w:rPr>
          <w:rFonts w:ascii="Times New Roman" w:cs="Times New Roman" w:eastAsia="Times New Roman" w:hAnsi="Times New Roman"/>
          <w:sz w:val="17"/>
          <w:szCs w:val="17"/>
          <w:u w:val="single" w:color="auto"/>
          <w:color w:val="auto"/>
        </w:rPr>
        <w:t>Amendment Fee</w:t>
      </w:r>
      <w:r>
        <w:rPr>
          <w:rFonts w:ascii="Times New Roman" w:cs="Times New Roman" w:eastAsia="Times New Roman" w:hAnsi="Times New Roman"/>
          <w:sz w:val="17"/>
          <w:szCs w:val="17"/>
          <w:color w:val="auto"/>
        </w:rPr>
        <w:t>”) in an amount equal to</w:t>
      </w:r>
    </w:p>
    <w:p>
      <w:pPr>
        <w:ind w:right="180"/>
        <w:spacing w:after="0" w:line="220" w:lineRule="auto"/>
        <w:rPr>
          <w:sz w:val="20"/>
          <w:szCs w:val="20"/>
          <w:color w:val="auto"/>
        </w:rPr>
      </w:pPr>
      <w:r>
        <w:rPr>
          <w:rFonts w:ascii="Times New Roman" w:cs="Times New Roman" w:eastAsia="Times New Roman" w:hAnsi="Times New Roman"/>
          <w:sz w:val="17"/>
          <w:szCs w:val="17"/>
          <w:color w:val="auto"/>
        </w:rPr>
        <w:t>15.0 basis points (0.150%) of the outstanding principal amount of such Lender’s Term Loans and Revolving Credit Commitments as of the Amendment No. 1 Effective Date (as defined below). The Amendment Fee shall be fully-earned, payable and nonrefundable on the Amendment No. 1 Effective Date. As used herein, “</w:t>
      </w:r>
      <w:r>
        <w:rPr>
          <w:rFonts w:ascii="Times New Roman" w:cs="Times New Roman" w:eastAsia="Times New Roman" w:hAnsi="Times New Roman"/>
          <w:sz w:val="17"/>
          <w:szCs w:val="17"/>
          <w:u w:val="single" w:color="auto"/>
          <w:color w:val="auto"/>
        </w:rPr>
        <w:t>Consenting Lender</w:t>
      </w:r>
      <w:r>
        <w:rPr>
          <w:rFonts w:ascii="Times New Roman" w:cs="Times New Roman" w:eastAsia="Times New Roman" w:hAnsi="Times New Roman"/>
          <w:sz w:val="17"/>
          <w:szCs w:val="17"/>
          <w:color w:val="auto"/>
        </w:rPr>
        <w:t>” means a Lender that executes and delivers to the Administrative Agent a signature page to this Amendment on or</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prior to 5:00 p.m. New York City time on June 5, 2025 (or, as to any Lender, such later time or date as may be agreed by the Administrative Agent and the Borrower) and that does not revoke or otherwise withdraw such signature page prior to the effectiveness of this Amendment on the Amendment No. 1 Effective Date.</w:t>
      </w:r>
    </w:p>
    <w:p>
      <w:pPr>
        <w:spacing w:after="0" w:line="172" w:lineRule="exact"/>
        <w:rPr>
          <w:sz w:val="20"/>
          <w:szCs w:val="20"/>
          <w:color w:val="auto"/>
        </w:rPr>
      </w:pPr>
    </w:p>
    <w:p>
      <w:pPr>
        <w:ind w:right="420"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The amendments set forth herein shall become effective only upon the satisfaction or waiver of the following conditions precedent (the date of satisfaction of such conditions being referred to herein as the “</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0" w:firstLine="1304"/>
        <w:spacing w:after="0" w:line="250" w:lineRule="auto"/>
        <w:tabs>
          <w:tab w:leader="none" w:pos="19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counterparts of this Amendment duly executed by the Borrower and Lenders that together constitute the Required Lenders;</w:t>
      </w:r>
    </w:p>
    <w:p>
      <w:pPr>
        <w:spacing w:after="0" w:line="13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any fees owed to the Arranger and the Amendment Fee on behalf of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Consenting Lenders;</w:t>
      </w:r>
    </w:p>
    <w:p>
      <w:pPr>
        <w:spacing w:after="0" w:line="178" w:lineRule="exact"/>
        <w:rPr>
          <w:rFonts w:ascii="Times New Roman" w:cs="Times New Roman" w:eastAsia="Times New Roman" w:hAnsi="Times New Roman"/>
          <w:sz w:val="18"/>
          <w:szCs w:val="18"/>
          <w:color w:val="auto"/>
        </w:rPr>
      </w:pPr>
    </w:p>
    <w:p>
      <w:pPr>
        <w:ind w:firstLine="1304"/>
        <w:spacing w:after="0" w:line="226" w:lineRule="auto"/>
        <w:tabs>
          <w:tab w:leader="none" w:pos="19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Arranger shall have received all reasonable and documented out-of-pocket costs and expenses required to be paid or reimbursed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of the Credit Agreement or as otherwise agreed in writing for which invoices have been presented at least one Business Day prior to the Amendment No. 1 Effective Date.</w:t>
      </w:r>
    </w:p>
    <w:p>
      <w:pPr>
        <w:spacing w:after="0" w:line="185"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In order to induce the Administrative Agent and the Lenders to enter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the Borrower represents and warrants to each Lender and the Administrative Agent that, as of the Amendment No. 1 Effective Date:</w:t>
      </w:r>
    </w:p>
    <w:p>
      <w:pPr>
        <w:spacing w:after="0" w:line="207" w:lineRule="exact"/>
        <w:rPr>
          <w:sz w:val="20"/>
          <w:szCs w:val="20"/>
          <w:color w:val="auto"/>
        </w:rPr>
      </w:pPr>
    </w:p>
    <w:p>
      <w:pPr>
        <w:ind w:left="1680" w:hanging="376"/>
        <w:spacing w:after="0"/>
        <w:tabs>
          <w:tab w:leader="none" w:pos="1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w:t>
      </w:r>
    </w:p>
    <w:p>
      <w:pPr>
        <w:spacing w:after="0" w:line="225" w:lineRule="exact"/>
        <w:rPr>
          <w:rFonts w:ascii="Times New Roman" w:cs="Times New Roman" w:eastAsia="Times New Roman" w:hAnsi="Times New Roman"/>
          <w:sz w:val="18"/>
          <w:szCs w:val="18"/>
          <w:color w:val="auto"/>
        </w:rPr>
      </w:pPr>
    </w:p>
    <w:p>
      <w:pPr>
        <w:ind w:left="660" w:right="200" w:firstLine="644"/>
        <w:spacing w:after="0" w:line="282" w:lineRule="auto"/>
        <w:tabs>
          <w:tab w:leader="none" w:pos="16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Amendment by the Borrower and the performance of this Amendment and the Amended Credit Agreement by the Borrower have been duly authorized by all necessary corporate or other organizational action;</w:t>
      </w:r>
    </w:p>
    <w:p>
      <w:pPr>
        <w:spacing w:after="0" w:line="161" w:lineRule="exact"/>
        <w:rPr>
          <w:rFonts w:ascii="Times New Roman" w:cs="Times New Roman" w:eastAsia="Times New Roman" w:hAnsi="Times New Roman"/>
          <w:sz w:val="18"/>
          <w:szCs w:val="18"/>
          <w:color w:val="auto"/>
        </w:rPr>
      </w:pPr>
    </w:p>
    <w:p>
      <w:pPr>
        <w:ind w:left="660" w:right="180" w:firstLine="644"/>
        <w:spacing w:after="0" w:line="266" w:lineRule="auto"/>
        <w:tabs>
          <w:tab w:leader="none" w:pos="16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executed and delivered by the Borrower and this Amendment and the Amended Credit Agreement constitutes a legal, valid and binding obligation of the Borrower, enforceable against each such Person in accordance with its terms, subject to equitable principles and Debtor Relief Laws; and</w:t>
      </w:r>
    </w:p>
    <w:p>
      <w:pPr>
        <w:spacing w:after="0" w:line="175" w:lineRule="exact"/>
        <w:rPr>
          <w:rFonts w:ascii="Times New Roman" w:cs="Times New Roman" w:eastAsia="Times New Roman" w:hAnsi="Times New Roman"/>
          <w:sz w:val="18"/>
          <w:szCs w:val="18"/>
          <w:color w:val="auto"/>
        </w:rPr>
      </w:pPr>
    </w:p>
    <w:p>
      <w:pPr>
        <w:ind w:left="660" w:right="120" w:firstLine="644"/>
        <w:spacing w:after="0" w:line="256" w:lineRule="auto"/>
        <w:tabs>
          <w:tab w:leader="none" w:pos="16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each of the Loan Parties in or pursuant to the Loan Documents is true and correct in all material respects on and as of the date hereof as if made on the date hereof (or, if any such representation or warranty is by its terms qualified by concepts of materiality or reference to Material Adverse Effect, such representation or warranty shall be true and correct in all respects), except to the extent that such representations and warranties specifically refer to an earlier date, in which case they shall be true and correct in all material respects (or, if any such representation or warranty is by its terms qualified by concepts of materiality or reference to Material Adverse Effect, such representation or warranty shall be true and correct in all respects)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17" w:right="359" w:bottom="1440" w:gutter="0" w:footer="0" w:header="0"/>
        </w:sectPr>
      </w:pPr>
    </w:p>
    <w:bookmarkStart w:id="11" w:name="page12"/>
    <w:bookmarkEnd w:id="11"/>
    <w:p>
      <w:pPr>
        <w:ind w:right="740"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Amendment, Modification and Waiver</w:t>
      </w:r>
      <w:r>
        <w:rPr>
          <w:rFonts w:ascii="Times New Roman" w:cs="Times New Roman" w:eastAsia="Times New Roman" w:hAnsi="Times New Roman"/>
          <w:sz w:val="18"/>
          <w:szCs w:val="18"/>
          <w:color w:val="auto"/>
        </w:rPr>
        <w:t xml:space="preserve">. This Amendment may not be amended, modified or waived except as permitted by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of the Credit Agreement.</w:t>
      </w:r>
    </w:p>
    <w:p>
      <w:pPr>
        <w:spacing w:after="0" w:line="172" w:lineRule="exact"/>
        <w:rPr>
          <w:sz w:val="20"/>
          <w:szCs w:val="20"/>
          <w:color w:val="auto"/>
        </w:rPr>
      </w:pPr>
    </w:p>
    <w:p>
      <w:pPr>
        <w:ind w:right="20" w:firstLine="1296"/>
        <w:spacing w:after="0" w:line="229"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Reference to and Effect on the Loan Documents</w:t>
      </w:r>
      <w:r>
        <w:rPr>
          <w:rFonts w:ascii="Times New Roman" w:cs="Times New Roman" w:eastAsia="Times New Roman" w:hAnsi="Times New Roman"/>
          <w:sz w:val="17"/>
          <w:szCs w:val="17"/>
          <w:color w:val="auto"/>
        </w:rPr>
        <w:t>. This Amendment, the other Loan Documents and any separate letter agreements with respect to fees payable constitute the entire agreement among the parties hereto with respect to the subject matter hereof and thereof and supersede all other prior agreements and understandings, both written and verbal, among the parties hereto with respect to the subject matter hereof. On and</w:t>
      </w:r>
    </w:p>
    <w:p>
      <w:pPr>
        <w:ind w:right="260"/>
        <w:spacing w:after="0" w:line="208" w:lineRule="auto"/>
        <w:rPr>
          <w:sz w:val="20"/>
          <w:szCs w:val="20"/>
          <w:color w:val="auto"/>
        </w:rPr>
      </w:pPr>
      <w:r>
        <w:rPr>
          <w:rFonts w:ascii="Times New Roman" w:cs="Times New Roman" w:eastAsia="Times New Roman" w:hAnsi="Times New Roman"/>
          <w:sz w:val="18"/>
          <w:szCs w:val="18"/>
          <w:color w:val="auto"/>
        </w:rPr>
        <w:t>after the Amendment No. 1 Effective Date, each reference in the Existing Credit Agreement to “this Agreement,” “hereunder,” “hereof” or words of like import referring the Existing Credit Agreement, and each reference in each of the other Loan Documents to “the Credit Agreement,” “thereunder,” “thereof” or words of like import referring to the Existing Credit Agreement, shall mean and be a reference to the Amended Credit Agreement. This</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Amendment constitutes a Loan Document.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Each of the Loan Parties hereby consents to the Amendment and (i) agrees that all Loans shall be guaranteed</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pursuant to the Subsidiary Guaranty in accordance with the terms and provisions thereof and shall be secured pursuant to the Collateral Documents in accordance with the terms and provisions thereof, (ii) reaffirms its obligations under the Loan Documents to which it is party and confirms that each Loan Document to which such Loan Party is a party is, and shall continue to be, in full force and effect and is hereby ratified and confirmed in all respects and</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shall remain in full force and effect according to its terms and reaffirms its prior grant and the validity of the Liens granted by it pursuant to the Collateral Documents, with all such Liens continuing in full force and effect after giving effect to this Amendment and (iii) affirms, acknowledges and confirms all of its obligations, liabilities and guarantees under the Loan Document to which it is a party, in each case after giving effect to this Amendment, all as provided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such Loan Documents, and acknowledges and agrees that such obligations, liabilities and guarantees continue in full force and effect in respect of, and to secure, the Obligations under the Loan Documents, in each case after giving effect to this Amendment. Without limiting the generality of the foregoing, the Collateral Documents and all of the Collateral described therein do and shall continue to secure the payment of all Obligations of the Loan Parties under the</w:t>
      </w:r>
    </w:p>
    <w:p>
      <w:pPr>
        <w:spacing w:after="0" w:line="2"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Loan Documents, as amended by, and after giving effect to, this Amendment. This Amendment shall not constitute a novation of the Existing Credit Agreement or any of the Loan Documents.</w:t>
      </w:r>
    </w:p>
    <w:p>
      <w:pPr>
        <w:spacing w:after="0" w:line="157"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 THIS AMENDMENT, THE RIGHTS AND OBLIGATIONS OF</w:t>
      </w:r>
    </w:p>
    <w:p>
      <w:pPr>
        <w:spacing w:after="0" w:line="2" w:lineRule="exact"/>
        <w:rPr>
          <w:sz w:val="20"/>
          <w:szCs w:val="20"/>
          <w:color w:val="auto"/>
        </w:rPr>
      </w:pPr>
    </w:p>
    <w:p>
      <w:pPr>
        <w:ind w:right="280"/>
        <w:spacing w:after="0" w:line="220" w:lineRule="auto"/>
        <w:rPr>
          <w:sz w:val="20"/>
          <w:szCs w:val="20"/>
          <w:color w:val="auto"/>
        </w:rPr>
      </w:pPr>
      <w:r>
        <w:rPr>
          <w:rFonts w:ascii="Times New Roman" w:cs="Times New Roman" w:eastAsia="Times New Roman" w:hAnsi="Times New Roman"/>
          <w:sz w:val="17"/>
          <w:szCs w:val="17"/>
          <w:color w:val="auto"/>
        </w:rPr>
        <w:t>THE PARTIES HEREUNDER AND ANY CLAIM, CONTROVERSY, DISPUTE, PROCEEDING OR CAUSE OF ACTION (WHETHER IN CONTRACT, TORT OR OTHERWISE AND WHETHER AT LAW OR IN EQUITY) BASED UPON, ARISING OUT OF OR RELATING TO THE AMENDMENT AND THE TRANSACTIONS CONTEMPLATED HEREBY SHALL BE GOVERNED BY, CONSTRUED AND INTERPRETED IN</w:t>
      </w:r>
    </w:p>
    <w:p>
      <w:pPr>
        <w:spacing w:after="0" w:line="2"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 xml:space="preserve">ACCORDANCE WITH, THE LAWS OF THE STATE OF NEW YORK. </w:t>
      </w:r>
      <w:r>
        <w:rPr>
          <w:rFonts w:ascii="Times New Roman" w:cs="Times New Roman" w:eastAsia="Times New Roman" w:hAnsi="Times New Roman"/>
          <w:sz w:val="18"/>
          <w:szCs w:val="18"/>
          <w:u w:val="single" w:color="auto"/>
          <w:color w:val="auto"/>
        </w:rPr>
        <w:t>SECTIONS 10.14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OF THE EXISTING CREDIT AGREEMENT ARE HEREBY INCORPORATED BY REFERENCE INTO THIS AMENDMENT AND SHALL APPLY HERETO.</w:t>
      </w:r>
    </w:p>
    <w:p>
      <w:pPr>
        <w:spacing w:after="0" w:line="157"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Amendment is held to be illegal, invalid or unenforceable, the legality, validity</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and enforceability of the remaining provisions of this Amendment shall not be affected or impaired thereby. The invalidity of a provision in a particular jurisdiction shall not invalidate or render unenforceable such provision in any other jurisdiction.</w:t>
      </w:r>
    </w:p>
    <w:p>
      <w:pPr>
        <w:spacing w:after="0" w:line="171"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of reference only, are not part of this Amendment and are not to affect the construction of, or to be taken into consideration in interpreting, this Amendment.</w:t>
      </w:r>
    </w:p>
    <w:p>
      <w:pPr>
        <w:spacing w:after="0" w:line="148"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(and by different parties hereto in different</w:t>
      </w:r>
    </w:p>
    <w:p>
      <w:pPr>
        <w:spacing w:after="0" w:line="2"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17"/>
          <w:szCs w:val="17"/>
          <w:color w:val="auto"/>
        </w:rPr>
        <w:t>counterparts), each of which shall constitute an original, but all of which when taken together shall constitute a single contract. Delivery of an executed counterpart of a signature page of this Amendment by facsimile or other electronic imaging (including in .pdf format) means shall be effective as delivery of a manually executed counterpart of this Amendment. This Amendment may be in the form of an Electronic Record (as defined in 15 USC §7006, as it may be amended from time to time) and may be executed using Electronic Signatures (as defined in 15 USC §7006, as it may be amended from time to</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time) (including, without limitation, facsimile and .pdf) and shall be considered an original, and shall have the same legal effect, validity and enforceability as a paper record. For the avoidance of doubt, the authorization under this paragraph may include, without limitation, use or acceptance by the parties hereto of a manually signed paper counterpart to this Amendment which has been converted into electronic form (such as scanned into PDF format), or an</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electronically signed counterpart to this Amendment converted into another format, for transmission, delivery and/or retention. For the avoidance of doubt, the foregoing applies to any amendment, extension, or renewal of this Amendment.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4" w:right="339" w:bottom="1440" w:gutter="0" w:footer="0" w:header="0"/>
        </w:sectPr>
      </w:pPr>
    </w:p>
    <w:bookmarkStart w:id="12" w:name="page13"/>
    <w:bookmarkEnd w:id="1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by their respective authorized officers as of the day and year first written above.</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INTEGRA LIFESCIENCES HOLDINGS CORPORATION, as Borrower</w:t>
      </w:r>
    </w:p>
    <w:p>
      <w:pPr>
        <w:spacing w:after="0" w:line="200" w:lineRule="exact"/>
        <w:rPr>
          <w:sz w:val="20"/>
          <w:szCs w:val="20"/>
          <w:color w:val="auto"/>
        </w:rPr>
      </w:pPr>
    </w:p>
    <w:p>
      <w:pPr>
        <w:spacing w:after="0" w:line="241" w:lineRule="exact"/>
        <w:rPr>
          <w:sz w:val="20"/>
          <w:szCs w:val="20"/>
          <w:color w:val="auto"/>
        </w:rPr>
      </w:pPr>
    </w:p>
    <w:p>
      <w:pPr>
        <w:ind w:left="3980"/>
        <w:spacing w:after="0"/>
        <w:tabs>
          <w:tab w:leader="none" w:pos="4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Swiss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-7620</wp:posOffset>
            </wp:positionV>
            <wp:extent cx="935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535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Timothy Swiss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1120"/>
          </w:cols>
          <w:pgMar w:left="320" w:top="1417" w:right="459" w:bottom="1440" w:gutter="0" w:footer="0" w:header="0"/>
        </w:sectPr>
      </w:pPr>
    </w:p>
    <w:bookmarkStart w:id="13" w:name="page14"/>
    <w:bookmarkEnd w:id="13"/>
    <w:p>
      <w:pPr>
        <w:ind w:left="2780"/>
        <w:spacing w:after="0"/>
        <w:rPr>
          <w:sz w:val="20"/>
          <w:szCs w:val="20"/>
          <w:color w:val="auto"/>
        </w:rPr>
      </w:pPr>
      <w:r>
        <w:rPr>
          <w:rFonts w:ascii="Times New Roman" w:cs="Times New Roman" w:eastAsia="Times New Roman" w:hAnsi="Times New Roman"/>
          <w:sz w:val="18"/>
          <w:szCs w:val="18"/>
          <w:color w:val="auto"/>
        </w:rPr>
        <w:t>BANK OF AMERICA, N.A, as Administrative Agent</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L. Ahart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945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Name: Kevin L. Ahart</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BANK OF AMERICA, N.A, as a Lender, L/C Issuer and Swing Line Lender</w:t>
      </w:r>
    </w:p>
    <w:p>
      <w:pPr>
        <w:spacing w:after="0" w:line="200" w:lineRule="exact"/>
        <w:rPr>
          <w:sz w:val="20"/>
          <w:szCs w:val="20"/>
          <w:color w:val="auto"/>
        </w:rPr>
      </w:pPr>
    </w:p>
    <w:p>
      <w:pPr>
        <w:spacing w:after="0" w:line="253"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-7620</wp:posOffset>
            </wp:positionV>
            <wp:extent cx="878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78205" cy="8255"/>
                    </a:xfrm>
                    <a:prstGeom prst="rect">
                      <a:avLst/>
                    </a:prstGeom>
                    <a:noFill/>
                  </pic:spPr>
                </pic:pic>
              </a:graphicData>
            </a:graphic>
          </wp:anchor>
        </w:drawing>
      </w:r>
    </w:p>
    <w:p>
      <w:pPr>
        <w:spacing w:after="0" w:line="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Name: Tyler Morgan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9019"/>
          </w:cols>
          <w:pgMar w:left="1440" w:top="1417"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tab/>
        <w:t>/s/ Andrea S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948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ANDREA S CHEN</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Ciok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7804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Kevin Ciok</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b w:val="1"/>
          <w:bCs w:val="1"/>
          <w:color w:val="auto"/>
        </w:rPr>
        <w:t xml:space="preserve">PNC Bank, National Association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Zingaro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951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Robert Zingaro</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Anton Brykalin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964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456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Anton Brykalin</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Helen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958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821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Helen D. Davis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Santander Bank,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Melissa 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774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Melissa Gu</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b w:val="1"/>
          <w:bCs w:val="1"/>
          <w:color w:val="auto"/>
        </w:rPr>
        <w:t>THE BANK OF NOVA SCOTIA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Iain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805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Iain Stewart</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BNP PARIBAS</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Bosco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7810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John Bosco</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8439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David Foster</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 Warash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8667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677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Chris Warash</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Citizens Bank,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Jamie Harbeson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983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Jamie Harbeson</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DNB Capital LLC</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Dania Hinedi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8629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Dania Hinedi</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23"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Bret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856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Bret Douglas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TD Bank,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Uk-Sun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8375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Uk-Sun Kim</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M&amp;T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Darci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9899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Darci Buchanan</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18"/>
          <w:szCs w:val="18"/>
          <w:b w:val="1"/>
          <w:bCs w:val="1"/>
          <w:color w:val="auto"/>
        </w:rPr>
        <w:t>MORGAN STANLEY BANK,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Tayo Lapite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7981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819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Tayo Lapite</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MUFG BANK, LTD.</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Jamie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799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Jamie Craig</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8"/>
          <w:szCs w:val="18"/>
          <w:b w:val="1"/>
          <w:bCs w:val="1"/>
          <w:color w:val="auto"/>
        </w:rPr>
        <w:t>Goldman Sachs Bank USA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Priyankush Goswami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12312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Priyankush Goswami</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b w:val="1"/>
          <w:bCs w:val="1"/>
          <w:color w:val="auto"/>
        </w:rPr>
        <w:t>HANCOCK WHITNEY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Bertani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8947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David Bertani</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Director, Healthcare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8"/>
          <w:szCs w:val="18"/>
          <w:b w:val="1"/>
          <w:bCs w:val="1"/>
          <w:color w:val="auto"/>
        </w:rPr>
        <w:t>The Huntington National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Hricovsky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10661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Joseph Hricovsky</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[Signature Page to Amendment No. 1]</w:t>
      </w:r>
    </w:p>
    <w:p>
      <w:pPr>
        <w:sectPr>
          <w:pgSz w:w="11900" w:h="16838" w:orient="portrait"/>
          <w:cols w:equalWidth="0" w:num="1">
            <w:col w:w="10139"/>
          </w:cols>
          <w:pgMar w:left="320" w:top="1417"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undersigned evidences its consent to the amendments reflected in this Amendment:</w:t>
      </w:r>
    </w:p>
    <w:p>
      <w:pPr>
        <w:spacing w:after="0" w:line="200" w:lineRule="exact"/>
        <w:rPr>
          <w:sz w:val="20"/>
          <w:szCs w:val="20"/>
          <w:color w:val="auto"/>
        </w:rPr>
      </w:pPr>
    </w:p>
    <w:p>
      <w:pPr>
        <w:spacing w:after="0" w:line="264"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8"/>
          <w:szCs w:val="18"/>
          <w:b w:val="1"/>
          <w:bCs w:val="1"/>
          <w:color w:val="auto"/>
        </w:rPr>
        <w:t>Taiwan Cooperative Bank, Seattle Branch</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/s/Yu-Lin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7010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040" cy="8255"/>
                    </a:xfrm>
                    <a:prstGeom prst="rect">
                      <a:avLst/>
                    </a:prstGeom>
                    <a:noFill/>
                  </pic:spPr>
                </pic:pic>
              </a:graphicData>
            </a:graphic>
          </wp:anchor>
        </w:drawing>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Name: Yu-Lin Lu</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Title: VP &amp; General Manager</w:t>
      </w:r>
    </w:p>
    <w:p>
      <w:pPr>
        <w:sectPr>
          <w:pgSz w:w="11900" w:h="16838" w:orient="portrait"/>
          <w:cols w:equalWidth="0" w:num="1">
            <w:col w:w="10139"/>
          </w:cols>
          <w:pgMar w:left="320" w:top="1417" w:right="1440" w:bottom="10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[Signature Page to Amendment No. 1]</w:t>
      </w:r>
    </w:p>
    <w:sectPr>
      <w:pgSz w:w="11900" w:h="16838" w:orient="portrait"/>
      <w:cols w:equalWidth="0" w:num="1">
        <w:col w:w="10139"/>
      </w:cols>
      <w:pgMar w:left="320" w:top="1417" w:right="1440"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1"/>
    </w:lvl>
  </w:abstractNum>
  <w:abstractNum w:abstractNumId="2">
    <w:nsid w:val="1F16E9E8"/>
    <w:multiLevelType w:val="hybridMultilevel"/>
    <w:lvl w:ilvl="0">
      <w:lvlJc w:val="left"/>
      <w:lvlText w:val="(%1)"/>
      <w:numFmt w:val="lowerLetter"/>
      <w:start w:val="2"/>
    </w:lvl>
  </w:abstractNum>
  <w:abstractNum w:abstractNumId="3">
    <w:nsid w:val="1190CDE7"/>
    <w:multiLevelType w:val="hybridMultilevel"/>
    <w:lvl w:ilvl="0">
      <w:lvlJc w:val="left"/>
      <w:lvlText w:val="(%1)"/>
      <w:numFmt w:val="lowerRoman"/>
      <w:start w:val="10"/>
    </w:lvl>
  </w:abstractNum>
  <w:abstractNum w:abstractNumId="4">
    <w:nsid w:val="66EF438D"/>
    <w:multiLevelType w:val="hybridMultilevel"/>
    <w:lvl w:ilvl="0">
      <w:lvlJc w:val="left"/>
      <w:lvlText w:val="(%1)"/>
      <w:numFmt w:val="lowerLetter"/>
      <w:start w:val="25"/>
    </w:lvl>
  </w:abstractNum>
  <w:abstractNum w:abstractNumId="5">
    <w:nsid w:val="140E0F76"/>
    <w:multiLevelType w:val="hybridMultilevel"/>
    <w:lvl w:ilvl="0">
      <w:lvlJc w:val="left"/>
      <w:lvlText w:val="(%1)"/>
      <w:numFmt w:val="lowerLetter"/>
      <w:start w:val="3"/>
    </w:lvl>
  </w:abstractNum>
  <w:abstractNum w:abstractNumId="6">
    <w:nsid w:val="3352255A"/>
    <w:multiLevelType w:val="hybridMultilevel"/>
    <w:lvl w:ilvl="0">
      <w:lvlJc w:val="left"/>
      <w:lvlText w:val="(%1)"/>
      <w:numFmt w:val="lowerLetter"/>
      <w:start w:val="4"/>
    </w:lvl>
  </w:abstractNum>
  <w:abstractNum w:abstractNumId="7">
    <w:nsid w:val="109CF92E"/>
    <w:multiLevelType w:val="hybridMultilevel"/>
    <w:lvl w:ilvl="0">
      <w:lvlJc w:val="left"/>
      <w:lvlText w:val="(%1)"/>
      <w:numFmt w:val="upperLetter"/>
      <w:start w:val="2"/>
    </w:lvl>
  </w:abstractNum>
  <w:abstractNum w:abstractNumId="8">
    <w:nsid w:val="DED7263"/>
    <w:multiLevelType w:val="hybridMultilevel"/>
    <w:lvl w:ilvl="0">
      <w:lvlJc w:val="left"/>
      <w:lvlText w:val="(%1)"/>
      <w:numFmt w:val="lowerLetter"/>
      <w:start w:val="5"/>
    </w:lvl>
  </w:abstractNum>
  <w:abstractNum w:abstractNumId="9">
    <w:nsid w:val="7FDCC233"/>
    <w:multiLevelType w:val="hybridMultilevel"/>
    <w:lvl w:ilvl="0">
      <w:lvlJc w:val="left"/>
      <w:lvlText w:val="(%1)"/>
      <w:numFmt w:val="lowerLetter"/>
      <w:start w:val="7"/>
    </w:lvl>
  </w:abstractNum>
  <w:abstractNum w:abstractNumId="10">
    <w:nsid w:val="1BEFD79F"/>
    <w:multiLevelType w:val="hybridMultilevel"/>
    <w:lvl w:ilvl="0">
      <w:lvlJc w:val="left"/>
      <w:lvlText w:val="(%1)"/>
      <w:numFmt w:val="lowerLetter"/>
      <w:start w:val="8"/>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lowerLetter"/>
      <w:start w:val="10"/>
    </w:lvl>
  </w:abstractNum>
  <w:abstractNum w:abstractNumId="13">
    <w:nsid w:val="4E6AFB66"/>
    <w:multiLevelType w:val="hybridMultilevel"/>
    <w:lvl w:ilvl="0">
      <w:lvlJc w:val="left"/>
      <w:lvlText w:val="(%1)"/>
      <w:numFmt w:val="lowerLetter"/>
      <w:start w:val="12"/>
    </w:lvl>
  </w:abstractNum>
  <w:abstractNum w:abstractNumId="14">
    <w:nsid w:val="25E45D32"/>
    <w:multiLevelType w:val="hybridMultilevel"/>
    <w:lvl w:ilvl="0">
      <w:lvlJc w:val="left"/>
      <w:lvlText w:val="(%1)"/>
      <w:numFmt w:val="lowerLetter"/>
      <w:start w:val="13"/>
    </w:lvl>
  </w:abstractNum>
  <w:abstractNum w:abstractNumId="15">
    <w:nsid w:val="519B500D"/>
    <w:multiLevelType w:val="hybridMultilevel"/>
    <w:lvl w:ilvl="0">
      <w:lvlJc w:val="left"/>
      <w:lvlText w:val="(%1)"/>
      <w:numFmt w:val="lowerLetter"/>
      <w:start w:val="14"/>
    </w:lvl>
  </w:abstractNum>
  <w:abstractNum w:abstractNumId="16">
    <w:nsid w:val="431BD7B7"/>
    <w:multiLevelType w:val="hybridMultilevel"/>
    <w:lvl w:ilvl="0">
      <w:lvlJc w:val="left"/>
      <w:lvlText w:val="(%1)"/>
      <w:numFmt w:val="lowerLetter"/>
      <w:start w:val="15"/>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2025-06-09T05:37:14Z</dcterms:created>
  <dcterms:modified xsi:type="dcterms:W3CDTF">2025-06-09T05:37:14Z</dcterms:modified>
</cp:coreProperties>
</file>