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30,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ind w:right="780"/>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Item 5.02 </w:t>
      </w:r>
      <w:r>
        <w:rPr>
          <w:rFonts w:ascii="Times New Roman" w:cs="Times New Roman" w:eastAsia="Times New Roman" w:hAnsi="Times New Roman"/>
          <w:sz w:val="19"/>
          <w:szCs w:val="19"/>
          <w:b w:val="1"/>
          <w:bCs w:val="1"/>
          <w:color w:val="auto"/>
        </w:rPr>
        <w:t>Departure of Directors or Certain Officers; Election of Directors; Appointment of Certain Officers; Compensatory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color w:val="auto"/>
        </w:rPr>
        <w:t>Arrangements of Certain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Appointment of Dr. Stuart Essig as President and Chief Executive Officer</w:t>
      </w:r>
    </w:p>
    <w:p>
      <w:pPr>
        <w:spacing w:after="0" w:line="233"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0"/>
          <w:szCs w:val="20"/>
          <w:color w:val="auto"/>
        </w:rPr>
        <w:t>On May 5, 2026, Integra LifeSciences Holdings Corporation (the “Company”) announced the appointment of Dr. Stuart M. Essig to serve as its President and Chief Executive Officer, effective as of May 1, 2026 (the “Start Date”). Dr. Essig succeeds Mojdeh Poul, who is departing from her role as the Company’s President and Chief Executive Officer and as a member of the Company’s Board of Directors (the “Board”) effective as of the end of the day on April 30, 2026 (the “Separation Date”).</w:t>
      </w:r>
    </w:p>
    <w:p>
      <w:pPr>
        <w:spacing w:after="0" w:line="2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Dr. Essig, 64, has served as Chairman of the Board since January 2012 and will continue to serve in such role following his appointment as President and Chief Executive Officer. Prior to serving as Chairman, he served as the Company’s Chief Executive Officer and as a director from 1997 through 2012 and as the Company’s President from 1997 until 2010. From February 2024 to June 2025, he served as the Executive Chairman of the Board. Prior to joining the Company, he acted as the managing director in mergers and acquisitions for the medical technology practice at Goldman, Sachs &amp; Co. He currently serves as managing director of Prettybrook Partners, LLC, a family office dedicated to investing in healthcare companies, which he cofounded in 2012.</w:t>
      </w:r>
    </w:p>
    <w:p>
      <w:pPr>
        <w:spacing w:after="0" w:line="19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Dr. Essig does not have any family relationships with any executive officer or director of the Company. There are no arrangements or understandings with the Company, or any other persons, under which Dr. Essig was elected to serve as an officer of the Company. In addition, he is not party to any transaction requiring disclosure under Item 404(a) of Regulation S-K of the Securities and Exchange Act of 1934, as amended.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 with Dr. Essig</w:t>
      </w:r>
    </w:p>
    <w:p>
      <w:pPr>
        <w:spacing w:after="0" w:line="2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In connection with Dr. Essig’s appointment, the Company entered into an employment agreement (the “Essig Employment Agreement”) with Dr. Essig pursuant to which Dr. Essig will commence employment effective as of the Start Date. Pursuant to the Essig Employment Agreement, Dr. Essig is entitled to receive an annual base salary of $1,075,000 and is eligible for an annual bonus opportunity targeted at 125% of his annual base salary (the “Target Bonus”), and for 2026, Dr. Essig’s annual bonus will be pro-rated from the Start Date. Consistent with Company policies, Dr. Essig, as an employee of the Company, will not be entitled to any compensation for his service as a director on the Board.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his appointment, Dr. Essig will receive a one-time grant of restricted stock units (“RSUs”) with a grant date value of</w:t>
      </w:r>
    </w:p>
    <w:p>
      <w:pPr>
        <w:spacing w:after="0" w:line="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0"/>
          <w:szCs w:val="20"/>
          <w:color w:val="auto"/>
        </w:rPr>
        <w:t>$4,000,000 (the “Initial RSU Award”) and a one-time grant of an option to purchase up to $4,000,000 of shares of the Company’s common stock, at an exercise price per share equal to the closing price of the Company’s common stock as reported by the Nasdaq Global Market on the grant date (the “Initial Option Award” and together with the Initial RSU Award, the “Initial Equity Awards”). The Initial Equity Awards will vest as to one-third of the RSUs or options, as applicable, on the first anniversary of the Start Date and as to the remaining two-thirds in 24 equal monthly installments thereafter, subject to Dr. Essig’s continued employment with the Company through the applicable vesting dates.</w:t>
      </w: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Commencing in 2027, Dr. Essig will be eligible to receive annual equity-based awards, with the amount, form and mix of any such awards to be determined by the Compensation Committee of the Board in its discretion; provided, however, that no more than 50% of the aggregate grant-date fair value of all equity awards granted to Dr. Essig in any calendar year may be granted in the form of performance stock units, and any future grants of equity to Dr. Essig will be subject to the same vesting schedule as the Initial Equity Awards.</w:t>
      </w:r>
    </w:p>
    <w:p>
      <w:pPr>
        <w:spacing w:after="0" w:line="2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If Dr. Essig’s employment is terminated outside the context of a “change in control” by the Company for a reason other than death, disability, or “cause” or by Dr. Essig for “good reason,” Dr. Essig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ind w:right="100"/>
        <w:spacing w:after="0" w:line="255" w:lineRule="auto"/>
        <w:rPr>
          <w:sz w:val="20"/>
          <w:szCs w:val="20"/>
          <w:color w:val="auto"/>
        </w:rPr>
      </w:pPr>
      <w:r>
        <w:rPr>
          <w:rFonts w:ascii="Times New Roman" w:cs="Times New Roman" w:eastAsia="Times New Roman" w:hAnsi="Times New Roman"/>
          <w:sz w:val="19"/>
          <w:szCs w:val="19"/>
          <w:color w:val="auto"/>
        </w:rPr>
        <w:t>eligible to receive (i) a severance equal to 2.0 times the sum of his then-current base salary and Target Bonus paid in installments, (ii) a pro-rata annual bonus for the year in which the termination occurs based on actual achievement of the applicable performance goals (the “Pro-Rata Bonus”), (iii) COBRA premiums for up to 18 months after termination (the “COBRA Benefit”), and (iv) full accelerated vesting of all outstanding equity awards, with any options exercisable for five years after termination and awards of performance stock units settled based on actual achievement of performance goals at the end of the applicable performance period (the “Equity Acceleration Benefit”).</w:t>
      </w:r>
    </w:p>
    <w:p>
      <w:pPr>
        <w:spacing w:after="0" w:line="18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If, within 24 months following a “change in control” of the Company, Dr. Essig terminates his employment for “good reason,” or his employment is terminated by the Company for a reason other than death, disability, or “cause,” Dr. Essig will be eligible to receive: (i) a single lump sum severance amount equal to 2.99 times the sum of his then-current annual base salary and Target Bonus, (ii) the Pro-Rata Bonus, (iii) the COBRA Benefit and (iv) the Equity Acceleration Benefit. In the event that a change in control occurs within 120 days following Dr. Essig’s termination without cause or for good reason, he will be entitled to receive the foregoing change in control severance in lieu of the non-change in control severance described above.</w:t>
      </w:r>
    </w:p>
    <w:p>
      <w:pPr>
        <w:spacing w:after="0" w:line="217"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0"/>
          <w:szCs w:val="20"/>
          <w:color w:val="auto"/>
        </w:rPr>
        <w:t>In the event of Dr. Essig’s “retirement,” Dr. Essig will be entitled to (i) the Pro-Rata Bonus and (ii) the Equity Acceleration Benefit, except that awards of performance stock units granted more than six months but less than 12 months prior to Dr. Essig’s retirement will vest on a pro-rated basis based on the number of months employed from the applicable grant date to the termination date and settled based on actual achievement of performance goals at the end of the applicable performance period.</w:t>
      </w:r>
    </w:p>
    <w:p>
      <w:pPr>
        <w:spacing w:after="0" w:line="20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Dr. Essig’s right to receive the severance payments and benefits pursuant to the Essig Employment Agreement (other than upon his death) is contingent upon Dr. Essig’s execution and non-revocation of a general release of claims in favor of the Company.</w:t>
      </w:r>
    </w:p>
    <w:p>
      <w:pPr>
        <w:spacing w:after="0" w:line="173" w:lineRule="exact"/>
        <w:rPr>
          <w:sz w:val="20"/>
          <w:szCs w:val="20"/>
          <w:color w:val="auto"/>
        </w:rPr>
      </w:pPr>
    </w:p>
    <w:p>
      <w:pPr>
        <w:ind w:right="22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Dr. Essig also previously entered into the Company’s standard indemnification agreement (the “Indemnification Agreement”), the form of which is filed as Exhibit 10.1 to the Company’s </w:t>
      </w:r>
      <w:hyperlink r:id="rId10">
        <w:r>
          <w:rPr>
            <w:rFonts w:ascii="Times New Roman" w:cs="Times New Roman" w:eastAsia="Times New Roman" w:hAnsi="Times New Roman"/>
            <w:sz w:val="20"/>
            <w:szCs w:val="20"/>
            <w:u w:val="single" w:color="auto"/>
            <w:color w:val="0000FF"/>
          </w:rPr>
          <w:t>Current Report on Form 8-K</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filed with the SEC on July 19, 2022. Pursuant to the terms of the Indemnification Agreement, the Company may be required, among other things, to indemnify Dr. Essig for some expenses, including attorneys’ fees, judgments, fines and settlement amounts incurred by him in any action or proceeding arising out of his services as an executive officer and director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 and Release with Ms. Poul</w:t>
      </w:r>
    </w:p>
    <w:p>
      <w:pPr>
        <w:spacing w:after="0" w:line="24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In connection with Ms. Poul’s departure from the Company, the Company entered into a separation agreement with Ms. Poul, effective as of the Separation Date (the “Separation Agreement”)</w:t>
      </w:r>
      <w:r>
        <w:rPr>
          <w:rFonts w:ascii="Times New Roman" w:cs="Times New Roman" w:eastAsia="Times New Roman" w:hAnsi="Times New Roman"/>
          <w:sz w:val="20"/>
          <w:szCs w:val="20"/>
          <w:color w:val="212121"/>
        </w:rPr>
        <w:t>.</w:t>
      </w:r>
      <w:r>
        <w:rPr>
          <w:rFonts w:ascii="Times New Roman" w:cs="Times New Roman" w:eastAsia="Times New Roman" w:hAnsi="Times New Roman"/>
          <w:sz w:val="20"/>
          <w:szCs w:val="20"/>
          <w:color w:val="auto"/>
        </w:rPr>
        <w:t xml:space="preserve"> Pursuant to the Separation Agreement, Ms. Poul has resigned from the Board effective as of the Separation Date.</w:t>
      </w:r>
    </w:p>
    <w:p>
      <w:pPr>
        <w:spacing w:after="0" w:line="188" w:lineRule="exact"/>
        <w:rPr>
          <w:sz w:val="20"/>
          <w:szCs w:val="20"/>
          <w:color w:val="auto"/>
        </w:rPr>
      </w:pPr>
    </w:p>
    <w:p>
      <w:pPr>
        <w:spacing w:after="0" w:line="242"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212121"/>
        </w:rPr>
        <w:t xml:space="preserve">The Separation Agreement provides for the payments and benefits to which Ms. Poul is entitled pursuant to Section 14(b) of her employment agreement with the Company in connection with a “Termination without Cause, for Good Reason or due to Non-Renewal (No Change in Control),” contingent upon her execution and non-revocation of a release and waiver of claims in favor of the Company. Please refer to the </w:t>
      </w:r>
      <w:hyperlink r:id="rId11">
        <w:r>
          <w:rPr>
            <w:rFonts w:ascii="Times New Roman" w:cs="Times New Roman" w:eastAsia="Times New Roman" w:hAnsi="Times New Roman"/>
            <w:sz w:val="20"/>
            <w:szCs w:val="20"/>
            <w:color w:val="212121"/>
          </w:rPr>
          <w:t xml:space="preserve">description of the post-employment payments and benefits included under the heading </w:t>
        </w:r>
        <w:r>
          <w:rPr>
            <w:rFonts w:ascii="Times New Roman" w:cs="Times New Roman" w:eastAsia="Times New Roman" w:hAnsi="Times New Roman"/>
            <w:sz w:val="20"/>
            <w:szCs w:val="20"/>
            <w:u w:val="single" w:color="auto"/>
            <w:color w:val="0000FF"/>
          </w:rPr>
          <w:t>“Executive Compensation―Potential Payments upon</w:t>
        </w:r>
      </w:hyperlink>
      <w:r>
        <w:rPr>
          <w:rFonts w:ascii="Times New Roman" w:cs="Times New Roman" w:eastAsia="Times New Roman" w:hAnsi="Times New Roman"/>
          <w:sz w:val="20"/>
          <w:szCs w:val="20"/>
          <w:color w:val="212121"/>
        </w:rPr>
        <w:t xml:space="preserve"> </w:t>
      </w:r>
      <w:hyperlink r:id="rId11">
        <w:r>
          <w:rPr>
            <w:rFonts w:ascii="Times New Roman" w:cs="Times New Roman" w:eastAsia="Times New Roman" w:hAnsi="Times New Roman"/>
            <w:sz w:val="20"/>
            <w:szCs w:val="20"/>
            <w:u w:val="single" w:color="auto"/>
            <w:color w:val="0000FF"/>
          </w:rPr>
          <w:t>a Termination or Change in Control”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212121"/>
          </w:rPr>
          <w:t>in the Company’s Definitive Proxy Statement on Schedule 14A, which was filed with the Securities and</w:t>
        </w:r>
      </w:hyperlink>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212121"/>
        </w:rPr>
        <w:t>Exchange Commission on April 6, 2026, which description is incorporated herein by reference.</w:t>
      </w:r>
    </w:p>
    <w:p>
      <w:pPr>
        <w:spacing w:after="0" w:line="20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212121"/>
        </w:rPr>
        <w:t>Additionally, subject to Ms. Poul’s execution and non-revocation of the release, the Company will pay Ms. Poul a lump sum cash amount equal to $566,526, representing in the aggregate (i) the cash-out of the unvested portion of her commencement RSU award and (ii) a pro rata portion of her 2026 annual bonus based on actual performance through April 30, 2026. Further, the Company will reimburse Ms. Poul for up to $25,000 in documented legal fees and expenses actually incurred in connection with the drafting, review and negotiation of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i w:val="1"/>
          <w:iCs w:val="1"/>
          <w:color w:val="auto"/>
        </w:rPr>
        <w:t>Appointment of Michael McBreen as Chief Commercial Officer</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On May 5, 2026, the Company also announced the appointment of Michael McBreen, the Company’s Executive Vice President, President, Codman Specialty Surgical, as Chief Commercial Officer effective as of the Start Date. In connection with his appointment, the Company entered into a new compensatory arrangement with Mr. McBreen, pursuant to which Mr. McBreen is entitled to receive an annual base salary of $660,000 and is eligible for an annual bonus opportunity targeted at 90% of his annual base salary. Mr. McBreen will also receive a one-time grant of RSUs and options with an aggregate grant date value of $1,000,000 (the “Promotion Award”). The Promotion Award will be comprised of 50% RSUs and 50% options, which, in each case, vest in three substantially equal annual installments on the first, second and third anniversaries of the Start Date, subject to Mr. McBreen’s continued employment with the Company through the applicable vesting dates. In addition, Mr. McBreen will also be eligible to receive an annual equity-based award with a target grant date value of $2,000,000 for the Company’s 2027 annual grant cycle, in a form consistent with the equity grants made to the Company’s senior executives.</w:t>
      </w:r>
    </w:p>
    <w:p>
      <w:pPr>
        <w:spacing w:after="0" w:line="20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color w:val="auto"/>
        </w:rPr>
        <w:t>In addition, the Company has agreed to the following treatment of equity awards granted to Mr. McBreen following his appointment (including the Promotion Award) in the event his employment terminates due to his retirement: (i) all options and restricted stock units will become fully vested upon such retirement, with any stock options remaining exercisable until the expiration date set forth in the option agreement evidencing such option; and (ii) awards of performance stock units will remain outstanding and be settled based on actual achievement of performance goals through the end of the applicable performance period. For purposes of Mr. McBreen’s equity award treatment, “retirement” means a voluntary termination of employment by Mr. McBreen at or after age 64, subject to Mr. McBreen providing at least six months’ notice of his intention to retire.</w:t>
      </w:r>
    </w:p>
    <w:p>
      <w:pPr>
        <w:spacing w:after="0" w:line="23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On May 5, 2026, the Company issued a press release announcing the foregoing transition matters. A copy of the Company’s press release is attached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9"/>
          <w:szCs w:val="19"/>
          <w:b w:val="1"/>
          <w:bCs w:val="1"/>
          <w:color w:val="auto"/>
        </w:rPr>
        <w:t>Financial Statements and Exhibits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9"/>
          <w:szCs w:val="19"/>
          <w:u w:val="single" w:color="auto"/>
          <w:color w:val="0000FF"/>
        </w:rPr>
        <w:t>Press Release, dated May 5, 2026, issued by Integra LifeSciences Holdings Corporation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6" w:right="37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0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INTEGRA LIFESCIENCES HOLDINGS CORPORATION</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Michael Hutchinson</w:t>
            </w:r>
          </w:p>
        </w:tc>
      </w:tr>
      <w:tr>
        <w:trPr>
          <w:trHeight w:val="245"/>
        </w:trPr>
        <w:tc>
          <w:tcPr>
            <w:tcW w:w="3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Hutchinson</w:t>
            </w:r>
          </w:p>
        </w:tc>
        <w:tc>
          <w:tcPr>
            <w:tcW w:w="1900" w:type="dxa"/>
            <w:vAlign w:val="bottom"/>
          </w:tcPr>
          <w:p>
            <w:pPr>
              <w:spacing w:after="0"/>
              <w:rPr>
                <w:sz w:val="21"/>
                <w:szCs w:val="21"/>
                <w:color w:val="auto"/>
              </w:rPr>
            </w:pPr>
          </w:p>
        </w:tc>
      </w:tr>
      <w:tr>
        <w:trPr>
          <w:trHeight w:val="229"/>
        </w:trPr>
        <w:tc>
          <w:tcPr>
            <w:tcW w:w="3040" w:type="dxa"/>
            <w:vAlign w:val="bottom"/>
          </w:tcPr>
          <w:p>
            <w:pPr>
              <w:spacing w:after="0"/>
              <w:rPr>
                <w:sz w:val="19"/>
                <w:szCs w:val="19"/>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&amp;</w:t>
            </w:r>
          </w:p>
        </w:tc>
      </w:tr>
      <w:tr>
        <w:trPr>
          <w:trHeight w:val="234"/>
        </w:trPr>
        <w:tc>
          <w:tcPr>
            <w:tcW w:w="3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5668645</wp:posOffset>
            </wp:positionH>
            <wp:positionV relativeFrom="page">
              <wp:posOffset>88900</wp:posOffset>
            </wp:positionV>
            <wp:extent cx="1671320" cy="69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71320" cy="6940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Integra LifeSciences Announces Leadership Transition</w:t>
      </w:r>
    </w:p>
    <w:p>
      <w:pPr>
        <w:spacing w:after="0" w:line="162" w:lineRule="exact"/>
        <w:rPr>
          <w:sz w:val="20"/>
          <w:szCs w:val="20"/>
          <w:color w:val="auto"/>
        </w:rPr>
      </w:pPr>
    </w:p>
    <w:p>
      <w:pPr>
        <w:ind w:left="2340"/>
        <w:spacing w:after="0"/>
        <w:rPr>
          <w:sz w:val="20"/>
          <w:szCs w:val="20"/>
          <w:color w:val="auto"/>
        </w:rPr>
      </w:pPr>
      <w:r>
        <w:rPr>
          <w:rFonts w:ascii="Arial" w:cs="Arial" w:eastAsia="Arial" w:hAnsi="Arial"/>
          <w:sz w:val="19"/>
          <w:szCs w:val="19"/>
          <w:i w:val="1"/>
          <w:iCs w:val="1"/>
          <w:color w:val="auto"/>
        </w:rPr>
        <w:t>Stuart Essig Appointed as Integra’s Next President and Chief Executive Officer</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Michael McBreen Appointed Chief Commercial Officer</w:t>
      </w:r>
    </w:p>
    <w:p>
      <w:pPr>
        <w:spacing w:after="0" w:line="383"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PRINCETON, N.J., May 5, 2026 (GLOBE NEWSWIRE) -- Integra LifeSciences Holdings Corporation ("Integra" or the "Company") (NASDAQ: IART), a leading global medical technology company, today announced that Stuart M. Essig, chairman of Integra’s Board of Directors (the "Board"), has been appointed president and chief executive officer, effective May 1, 2026. Mr. Essig will continue to serve as chairman. He succeeds Mojdeh Poul who is pursuing other opportunities.</w:t>
      </w:r>
    </w:p>
    <w:p>
      <w:pPr>
        <w:spacing w:after="0" w:line="86" w:lineRule="exact"/>
        <w:rPr>
          <w:sz w:val="20"/>
          <w:szCs w:val="20"/>
          <w:color w:val="auto"/>
        </w:rPr>
      </w:pPr>
    </w:p>
    <w:p>
      <w:pPr>
        <w:ind w:right="200"/>
        <w:spacing w:after="0" w:line="285" w:lineRule="auto"/>
        <w:rPr>
          <w:sz w:val="20"/>
          <w:szCs w:val="20"/>
          <w:color w:val="auto"/>
        </w:rPr>
      </w:pPr>
      <w:r>
        <w:rPr>
          <w:rFonts w:ascii="Arial" w:cs="Arial" w:eastAsia="Arial" w:hAnsi="Arial"/>
          <w:sz w:val="19"/>
          <w:szCs w:val="19"/>
          <w:color w:val="auto"/>
        </w:rPr>
        <w:t>The Company also announced that Michael McBreen, currently executive vice president, president, Codman Specialty Surgical, has been appointed chief commercial officer.</w:t>
      </w:r>
    </w:p>
    <w:p>
      <w:pPr>
        <w:spacing w:after="0" w:line="7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Mr. Essig brings more than thirty years of experience in the medical technology and healthcare industries and has deep familiarity with Integra, having served as chairman of the board since June 2012 and as a director since 1997. He previously served as Integra’s chief executive officer from 1997 through early 2012, and as its President from 1997 until 2010. Over the past two years, Mr. Essig has been actively engaged in the business through his executive chairman role, with direct involvement in key company priorities as well as operational and quality matters.</w:t>
      </w:r>
    </w:p>
    <w:p>
      <w:pPr>
        <w:spacing w:after="0" w:line="9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"Stuart brings unmatched knowledge of Integra, its businesses, and its people," said Barbara Hill, presiding director. "He combines deep institutional knowledge with a clear understanding of the work underway across the organization. We have full confidence in his leadership as Integra accelerates execution, strengthens customer and commercial focus, and builds on the important progress already underway across its priorities for 2026. The Board believes this is the right leadership step for the Company’s next phase, and as such, this is not an interim role, and we do not intend to initiate a CEO search."</w:t>
      </w:r>
    </w:p>
    <w:p>
      <w:pPr>
        <w:spacing w:after="0" w:line="94"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"I am honored to once again serve as Integra’s president and CEO," said Mr. Essig. "I return with a clear mandate from the Board and a long-term commitment to lead the Company through its next chapter. In my role as executive chairman, I have seen firsthand the strength of our team and the meaningful progress underway across our priorities, particularly in quality, compliance, operational resilience, and the transformation of the organization.”</w:t>
      </w:r>
    </w:p>
    <w:p>
      <w:pPr>
        <w:spacing w:after="0" w:line="91"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color w:val="auto"/>
        </w:rPr>
        <w:t>Mr. Essig continued, " As I step back into the CEO role, my focus will be on accelerating execution, strengthening our customer and commercial focus, and reinforcing a culture and operating discipline that will drive sustained performance and deliver long-term shareholder value. I know this company, I understand what it takes to run it, and I am deeply committed to leading Integra forward."</w:t>
      </w:r>
    </w:p>
    <w:p>
      <w:pPr>
        <w:spacing w:after="0" w:line="66" w:lineRule="exact"/>
        <w:rPr>
          <w:sz w:val="20"/>
          <w:szCs w:val="20"/>
          <w:color w:val="auto"/>
        </w:rPr>
      </w:pPr>
    </w:p>
    <w:p>
      <w:pPr>
        <w:ind w:right="180"/>
        <w:spacing w:after="0" w:line="267" w:lineRule="auto"/>
        <w:rPr>
          <w:sz w:val="20"/>
          <w:szCs w:val="20"/>
          <w:color w:val="auto"/>
        </w:rPr>
      </w:pPr>
      <w:r>
        <w:rPr>
          <w:rFonts w:ascii="Arial" w:cs="Arial" w:eastAsia="Arial" w:hAnsi="Arial"/>
          <w:sz w:val="19"/>
          <w:szCs w:val="19"/>
          <w:color w:val="auto"/>
        </w:rPr>
        <w:t>Mr. Essig added, "I also want to thank Mojdeh for her numerous contributions to the company and for the meaningful progress made during her tenure. Under her leadership, the Company advanced several important strategic and operational priorities, including enterprise-wide portfolio and program prioritization, risk-based approach to quality remediation work, operational resiliency improvements, and the more recent transformation and business process optimization efforts. These initiatives are progressing well, and we remain fully committed to them.”</w:t>
      </w:r>
    </w:p>
    <w:p>
      <w:pPr>
        <w:spacing w:after="0" w:line="108"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As part of this leadership update, the Company also announced that Michael McBreen has been appointed chief commercial officer. In this newly created role, Mr. McBreen will help drive the next phase of Integra’s performance by further elevating the commercial organization and ensuring that customer and market-facing priorities are central to how the Company operates and makes decisions. Both divisions and the</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5668645</wp:posOffset>
            </wp:positionH>
            <wp:positionV relativeFrom="page">
              <wp:posOffset>88900</wp:posOffset>
            </wp:positionV>
            <wp:extent cx="1671320" cy="694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6940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80"/>
        <w:spacing w:after="0" w:line="296" w:lineRule="auto"/>
        <w:rPr>
          <w:sz w:val="20"/>
          <w:szCs w:val="20"/>
          <w:color w:val="auto"/>
        </w:rPr>
      </w:pPr>
      <w:r>
        <w:rPr>
          <w:rFonts w:ascii="Arial" w:cs="Arial" w:eastAsia="Arial" w:hAnsi="Arial"/>
          <w:sz w:val="19"/>
          <w:szCs w:val="19"/>
          <w:color w:val="auto"/>
        </w:rPr>
        <w:t>entire global commercial structure will report to Mr. McBreen, with his appointment intended to strengthen revenue growth, customer outcomes, and execution across the business.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“Mike is exceptionally well-suited for this role with deep commercial relationships," Mr. Essig said. "He brings more than thirty years of commercial experience in the medical technology industry, and his appointment is an important part of how we move forward. This is a strategic leadership step that will help sharpen execution, strengthen our connection to our customers and markets, and support stronger performance across the Company. Integra intends to lead this next chapter with urgency, transparency, and a clear focus on execution."</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Mr. Essig will address the leadership transition during Integra’s first quarter 2026 financial results conference call, which will take place this morning at 8:30 a.m. Eastern time. A live webcast will be available on the Investors section of the Company’s website.</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Integra LifeSciences</w:t>
      </w:r>
    </w:p>
    <w:p>
      <w:pPr>
        <w:spacing w:after="0" w:line="64"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auto"/>
        </w:rPr>
        <w:t>Integra LifeSciences (Nasdaq: IART) is a global medical technology leader dedicated to restoring lives. We are advancing transformational care through impactful innovation in neurosurgery, tissue reconstruction, and specialized surgical solutions that demand exceptional expertise and precision. Our portfolio of highly differentiated, gold-standard technologies is trusted by healthcare professionals to deliver life-saving care. For the latest news and information, visit www.integralife.com.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Investor Relations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Chris Ward</w:t>
      </w:r>
    </w:p>
    <w:p>
      <w:pPr>
        <w:spacing w:after="0" w:line="11" w:lineRule="exact"/>
        <w:rPr>
          <w:sz w:val="20"/>
          <w:szCs w:val="20"/>
          <w:color w:val="auto"/>
        </w:rPr>
      </w:pPr>
    </w:p>
    <w:p>
      <w:pPr>
        <w:ind w:left="20" w:right="8920" w:firstLine="6"/>
        <w:spacing w:after="0" w:line="278" w:lineRule="auto"/>
        <w:tabs>
          <w:tab w:leader="none" w:pos="514" w:val="left"/>
        </w:tabs>
        <w:numPr>
          <w:ilvl w:val="0"/>
          <w:numId w:val="2"/>
        </w:numPr>
        <w:rPr>
          <w:rFonts w:ascii="Arial" w:cs="Arial" w:eastAsia="Arial" w:hAnsi="Arial"/>
          <w:sz w:val="18"/>
          <w:szCs w:val="18"/>
          <w:color w:val="auto"/>
        </w:rPr>
      </w:pPr>
      <w:r>
        <w:rPr>
          <w:rFonts w:ascii="Arial" w:cs="Arial" w:eastAsia="Arial" w:hAnsi="Arial"/>
          <w:sz w:val="18"/>
          <w:szCs w:val="18"/>
          <w:color w:val="auto"/>
        </w:rPr>
        <w:t>772-7736 chris.ward@integralife.com</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Media</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Laurene Isip</w:t>
      </w:r>
    </w:p>
    <w:p>
      <w:pPr>
        <w:spacing w:after="0" w:line="11" w:lineRule="exact"/>
        <w:rPr>
          <w:sz w:val="20"/>
          <w:szCs w:val="20"/>
          <w:color w:val="auto"/>
        </w:rPr>
      </w:pPr>
    </w:p>
    <w:p>
      <w:pPr>
        <w:ind w:left="20" w:right="8800" w:firstLine="6"/>
        <w:spacing w:after="0" w:line="251" w:lineRule="auto"/>
        <w:tabs>
          <w:tab w:leader="none" w:pos="514"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208-8121 laurene.isip@integralife.com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09"/>
    </w:lvl>
  </w:abstractNum>
  <w:abstractNum w:abstractNumId="2">
    <w:nsid w:val="19495CFF"/>
    <w:multiLevelType w:val="hybridMultilevel"/>
    <w:lvl w:ilvl="0">
      <w:lvlJc w:val="left"/>
      <w:lvlText w:val="(%1)"/>
      <w:numFmt w:val="decimal"/>
      <w:start w:val="60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jpeg"/><Relationship Id="rId10" Type="http://schemas.openxmlformats.org/officeDocument/2006/relationships/hyperlink" Target="https://www.sec.gov/ix?doc=/Archives/edgar/data/917520/000091752022000029/iart-20220718.htm" TargetMode="External"/><Relationship Id="rId11" Type="http://schemas.openxmlformats.org/officeDocument/2006/relationships/hyperlink" Target="https://www.sec.gov/ix?doc=/Archives/edgar/data/917520/000091752026000015/iart-20260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2026-05-05T05:26:11Z</dcterms:created>
  <dcterms:modified xsi:type="dcterms:W3CDTF">2026-05-05T05:26:11Z</dcterms:modified>
</cp:coreProperties>
</file>