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25, 2025</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25, 2025, Integra LifeSciences Holdings Corporation (the “Company”) issued a press release announcing financial results for the quarter and full year ended December 31, 2024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and years ended December 31, 2024 and 2023, GAAP net income to adjusted earnings before interest, taxes, depreciation and amortization (“EBITDA”) for the quarters and years ended December 31, 2024 and 2023, GAAP net income to adjusted net income for the quarters and years ended December 31, 2024 and 2023, GAAP gross profits to adjusted gross profits for the quarters and years ended December 31, 2024 and 2023, GAAP gross margin to adjusted gross margin for the quarters and year ended December 31, 2024 and 2023, GAAP earnings per diluted share to adjusted earnings per diluted share for the quarters and years ended December 31, 2024 and 2023, GAAP total debt to net debt for the years ended December 31, 2024 and 2023 and GAAP operating cash flow to free cash flow and adjusted free cash flow conversion used by management for the quarters and years ended December 31, 2024 and 2023.</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adjusted EBITDA, adjusted EBITDA margin,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and (v) those operating expenses also excluded from adjusted net income. The measure of adjusted EBITDA margin is calculated by dividing adjusted EBITDA by GAAP total revenues.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and the various adjusted EBITDA, adjusted EBITDA margin, adjusted net income, adjusted gross profit, adjusted gross margin,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adjusted EBITDA, adjusted EBITDA margin,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revenues, adjusted EBITDA, adjusted EBITDA margin,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and full year ended December 31, 2024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189" w:lineRule="exact"/>
        <w:rPr>
          <w:sz w:val="20"/>
          <w:szCs w:val="20"/>
          <w:color w:val="auto"/>
        </w:rPr>
      </w:pPr>
    </w:p>
    <w:p>
      <w:pPr>
        <w:jc w:val="both"/>
        <w:ind w:left="6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75"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These charges represent costs, including inventory write-offs, idle capacity charges and charges related</w:t>
      </w:r>
      <w:r>
        <w:rPr>
          <w:rFonts w:ascii="Times New Roman" w:cs="Times New Roman" w:eastAsia="Times New Roman" w:hAnsi="Times New Roman"/>
          <w:sz w:val="18"/>
          <w:szCs w:val="18"/>
          <w:color w:val="auto"/>
        </w:rPr>
        <w:t xml:space="preserve"> to the transition of Boston-related manufacturing operations to the Company’s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adjusted EBITDA, adjusted EBITDA margin,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9"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for the quarters and years ended December 31, 2024 and 2023, GAAP total debt to net debt for the years ended December 31, 2024 and 2023, and GAAP net income to adjusted EBITDA, GAAP net income to adjusted net income, GAAP gross profit to adjusted gross profit, GAAP gross margin to adjusted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margin, GAAP earnings per diluted share to adjusted earnings per diluted share, and GAAP operating cash flow to free cash flow and adjusted free cash flow conversion used by management for the quarters and twelve months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99.1 Press Release with attachments, dated February 25, 2025,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0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45"/>
        </w:trPr>
        <w:tc>
          <w:tcPr>
            <w:tcW w:w="3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Lea Knight</w:t>
            </w:r>
          </w:p>
        </w:tc>
        <w:tc>
          <w:tcPr>
            <w:tcW w:w="2820" w:type="dxa"/>
            <w:vAlign w:val="bottom"/>
          </w:tcPr>
          <w:p>
            <w:pPr>
              <w:spacing w:after="0"/>
              <w:rPr>
                <w:sz w:val="21"/>
                <w:szCs w:val="21"/>
                <w:color w:val="auto"/>
              </w:rPr>
            </w:pPr>
          </w:p>
        </w:tc>
      </w:tr>
      <w:tr>
        <w:trPr>
          <w:trHeight w:val="234"/>
        </w:trPr>
        <w:tc>
          <w:tcPr>
            <w:tcW w:w="3260" w:type="dxa"/>
            <w:vAlign w:val="bottom"/>
          </w:tcPr>
          <w:p>
            <w:pPr>
              <w:spacing w:after="0"/>
              <w:rPr>
                <w:sz w:val="20"/>
                <w:szCs w:val="20"/>
                <w:color w:val="auto"/>
              </w:rPr>
            </w:pP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6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9"/>
          <w:szCs w:val="29"/>
          <w:b w:val="1"/>
          <w:bCs w:val="1"/>
          <w:color w:val="auto"/>
        </w:rPr>
        <w:t>Integra LifeSciences Reports Fourth Quarter and Full-Year 2024 Financial Results and Provides 2025 Financial Guidance</w:t>
      </w:r>
    </w:p>
    <w:p>
      <w:pPr>
        <w:spacing w:after="0" w:line="14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Princeton, New Jersey, February 25, 2025 -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today reported financial results for the fourth quarter and full year ended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w:t>
      </w:r>
    </w:p>
    <w:p>
      <w:pPr>
        <w:spacing w:after="0" w:line="247" w:lineRule="exact"/>
        <w:rPr>
          <w:sz w:val="20"/>
          <w:szCs w:val="20"/>
          <w:color w:val="auto"/>
        </w:rPr>
      </w:pPr>
    </w:p>
    <w:p>
      <w:pPr>
        <w:ind w:left="340" w:right="120" w:hanging="332"/>
        <w:spacing w:after="0" w:line="282" w:lineRule="auto"/>
        <w:tabs>
          <w:tab w:leader="none" w:pos="32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Reported revenues were $442.6 million, representing an increase of 11.5% on a reported basis and an increase of 3.5% on an organic basis compared to the fourth quarter 2023.</w:t>
      </w:r>
    </w:p>
    <w:p>
      <w:pPr>
        <w:spacing w:after="0" w:line="187" w:lineRule="exact"/>
        <w:rPr>
          <w:rFonts w:ascii="Arial" w:cs="Arial" w:eastAsia="Arial" w:hAnsi="Arial"/>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earnings per diluted share were $0.25, compared to $0.25 in the fourth quarter 2023.</w:t>
      </w:r>
    </w:p>
    <w:p>
      <w:pPr>
        <w:spacing w:after="0" w:line="26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were $0.97, compared to $0.89 in the fourth quarter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2024</w:t>
      </w:r>
    </w:p>
    <w:p>
      <w:pPr>
        <w:spacing w:after="0" w:line="247" w:lineRule="exact"/>
        <w:rPr>
          <w:sz w:val="20"/>
          <w:szCs w:val="20"/>
          <w:color w:val="auto"/>
        </w:rPr>
      </w:pPr>
    </w:p>
    <w:p>
      <w:pPr>
        <w:ind w:left="340" w:right="140" w:hanging="332"/>
        <w:spacing w:after="0" w:line="269"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revenues were $1,610.5 million, representing an increase of 4.5% on a reported basis and a decrease of 1.3% on an organic basis compared to full-year 2023.</w:t>
      </w:r>
    </w:p>
    <w:p>
      <w:pPr>
        <w:spacing w:after="0" w:line="16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earnings per diluted share wer</w:t>
      </w:r>
      <w:r>
        <w:rPr>
          <w:rFonts w:ascii="Times New Roman" w:cs="Times New Roman" w:eastAsia="Times New Roman" w:hAnsi="Times New Roman"/>
          <w:sz w:val="21"/>
          <w:szCs w:val="21"/>
          <w:color w:val="auto"/>
        </w:rPr>
        <w:t>e</w:t>
      </w:r>
      <w:r>
        <w:rPr>
          <w:rFonts w:ascii="Times New Roman" w:cs="Times New Roman" w:eastAsia="Times New Roman" w:hAnsi="Times New Roman"/>
          <w:sz w:val="20"/>
          <w:szCs w:val="20"/>
          <w:color w:val="auto"/>
        </w:rPr>
        <w:t xml:space="preserve"> $(0.09), compared to $0.84 in 2023.</w:t>
      </w:r>
    </w:p>
    <w:p>
      <w:pPr>
        <w:spacing w:after="0" w:line="24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were $2.56, compared to $3.10 in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Business Highlights</w:t>
      </w:r>
    </w:p>
    <w:p>
      <w:pPr>
        <w:spacing w:after="0" w:line="247"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Appointed Mojdeh Poul as President &amp; CEO</w:t>
      </w:r>
    </w:p>
    <w:p>
      <w:pPr>
        <w:spacing w:after="0" w:line="28" w:lineRule="exact"/>
        <w:rPr>
          <w:rFonts w:ascii="Times New Roman" w:cs="Times New Roman" w:eastAsia="Times New Roman" w:hAnsi="Times New Roman"/>
          <w:sz w:val="20"/>
          <w:szCs w:val="20"/>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Experienced strong demand for our differentiated portfolio of leading brands</w:t>
      </w:r>
    </w:p>
    <w:p>
      <w:pPr>
        <w:spacing w:after="0" w:line="7" w:lineRule="exact"/>
        <w:rPr>
          <w:rFonts w:ascii="Arial" w:cs="Arial" w:eastAsia="Arial" w:hAnsi="Arial"/>
          <w:sz w:val="22"/>
          <w:szCs w:val="22"/>
          <w:color w:val="auto"/>
        </w:rPr>
      </w:pPr>
    </w:p>
    <w:p>
      <w:pPr>
        <w:ind w:left="660" w:hanging="328"/>
        <w:spacing w:after="0" w:line="224"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Initiated the Compliance Master Plan, an enterprise-wide approach to enhance quality management systems</w:t>
      </w:r>
    </w:p>
    <w:p>
      <w:pPr>
        <w:spacing w:after="0" w:line="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Made critical investments in capacity and supply reliability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Integrated the Acclarent acquisition successfully</w:t>
      </w:r>
    </w:p>
    <w:p>
      <w:pPr>
        <w:spacing w:after="0" w:line="13" w:lineRule="exact"/>
        <w:rPr>
          <w:rFonts w:ascii="Arial" w:cs="Arial" w:eastAsia="Arial" w:hAnsi="Arial"/>
          <w:sz w:val="22"/>
          <w:szCs w:val="22"/>
          <w:color w:val="auto"/>
        </w:rPr>
      </w:pPr>
    </w:p>
    <w:p>
      <w:pPr>
        <w:ind w:left="660" w:hanging="328"/>
        <w:spacing w:after="0" w:line="235"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Realized strong market uptake of CereLink®</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Announced transition of manufacturing of PriMatrix® and SurgiMend® to Braintree, Massachusetts in the first half of 2026</w:t>
      </w:r>
    </w:p>
    <w:p>
      <w:pPr>
        <w:spacing w:after="0" w:line="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9"/>
          <w:szCs w:val="19"/>
          <w:color w:val="auto"/>
        </w:rPr>
        <w:t>Advanced PMA submission for DuraSorb® and received PMA approvable notification pending GMP certification for SurgiMend</w:t>
      </w:r>
    </w:p>
    <w:p>
      <w:pPr>
        <w:spacing w:after="0" w:line="18" w:lineRule="exact"/>
        <w:rPr>
          <w:rFonts w:ascii="Arial" w:cs="Arial" w:eastAsia="Arial" w:hAnsi="Arial"/>
          <w:sz w:val="21"/>
          <w:szCs w:val="21"/>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Expanded international commercial footprint and portfolio; advanced in-China-for-China manufacturing build-out</w:t>
      </w:r>
    </w:p>
    <w:p>
      <w:pPr>
        <w:spacing w:after="0" w:line="2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0"/>
          <w:szCs w:val="20"/>
          <w:color w:val="auto"/>
        </w:rPr>
        <w:t>"As I step into my role leading Integra, I am inspired by the strength of our portfolio, the dedication of our team, and the tremendous potential we have to grow and innovate in high-impact specialty markets. Our fourth-quarter results reflect this strength, with sequential revenue growth driven by robust demand for our leading brands, continued progress in expanding our global presence, and our ongoing commitment to improving supply reliability," said Mojdeh Poul, president and chief executive officer.</w:t>
      </w:r>
    </w:p>
    <w:p>
      <w:pPr>
        <w:sectPr>
          <w:pgSz w:w="11900" w:h="16838" w:orient="portrait"/>
          <w:cols w:equalWidth="0" w:num="1">
            <w:col w:w="10960"/>
          </w:cols>
          <w:pgMar w:left="320" w:top="1289" w:right="61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20"/>
          <w:szCs w:val="20"/>
          <w:color w:val="auto"/>
        </w:rPr>
        <w:t>"While there is significant work ahead to enhance our quality system and streamline our processes, I am confident in our ability to address these challenges and position Integra for long-term, sustainable growth. By leveraging our competitive strengths, differentiated technologies, commercial expertise, and global presence, we are poised to unlock new opportunities for innovation and deliver greater value to our customers, patients, and shareholders."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 Financial Summary</w:t>
      </w:r>
    </w:p>
    <w:p>
      <w:pPr>
        <w:spacing w:after="0" w:line="260"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Total reported revenues for the fourth quarter were $442.6 million, an increase of 11.5% from the fourth quarter of 2023. Fourth quarter organic revenues were up 3.5% compared to the prior year.</w:t>
      </w:r>
    </w:p>
    <w:p>
      <w:pPr>
        <w:spacing w:after="0" w:line="17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Company reported GAAP net income of $19.4 million, or $0.25 per diluted share, in the fourth quarter of 2024, compared to GAAP net income of $19.8 million, or $0.25 per diluted share, in the prior year.</w:t>
      </w:r>
    </w:p>
    <w:p>
      <w:pPr>
        <w:spacing w:after="0" w:line="186"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Adjusted EBITDA for the fourth quarter of 2024 was $104.9 million, compared to $100.5 million in the fourth quarter of 2023. As a percentage of revenue, adjusted EBITDA was 23.7%, a decrease of 160 basis points from the prior year period.</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Adjusted net income for the fourth quarter of 2024 was $73.3 million, or $0.97 per diluted share, compared to adjusted net income of $69.1 million, or $0.89 per diluted share, in the fourth quarter of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 from operations totaled $50.7 million in the fourth quarter and capital expenditures were $29.6 million.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Fourth Quarter 2024 Segment Performance</w:t>
      </w:r>
    </w:p>
    <w:p>
      <w:pPr>
        <w:spacing w:after="0" w:line="22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Codman Specialty Surgical (71% of Revenues)</w:t>
      </w:r>
    </w:p>
    <w:p>
      <w:pPr>
        <w:spacing w:after="0" w:line="21" w:lineRule="exact"/>
        <w:rPr>
          <w:rFonts w:ascii="Times New Roman" w:cs="Times New Roman" w:eastAsia="Times New Roman" w:hAnsi="Times New Roman"/>
          <w:sz w:val="20"/>
          <w:szCs w:val="20"/>
          <w:color w:val="auto"/>
        </w:rPr>
      </w:pPr>
    </w:p>
    <w:p>
      <w:pPr>
        <w:ind w:left="900" w:right="280" w:hanging="244"/>
        <w:spacing w:after="0" w:line="232" w:lineRule="auto"/>
        <w:tabs>
          <w:tab w:leader="none" w:pos="8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revenues were $314.7 million, representing reported an increase of 15.8% and 4.1% on an organic basis compared to the fourth quarter of 2023.</w:t>
      </w:r>
    </w:p>
    <w:p>
      <w:pPr>
        <w:ind w:left="880" w:hanging="224"/>
        <w:spacing w:after="0" w:line="225" w:lineRule="auto"/>
        <w:tabs>
          <w:tab w:leader="none" w:pos="8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Neurosurgery grew 5.1% on an organic basis:</w:t>
      </w:r>
    </w:p>
    <w:p>
      <w:pPr>
        <w:ind w:left="1540" w:hanging="236"/>
        <w:spacing w:after="0"/>
        <w:tabs>
          <w:tab w:leader="none" w:pos="154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CSF management grew low double-digits driven by BactiSeal® and Certas® Plus</w:t>
      </w:r>
    </w:p>
    <w:p>
      <w:pPr>
        <w:ind w:left="1540" w:hanging="236"/>
        <w:spacing w:after="0" w:line="237" w:lineRule="auto"/>
        <w:tabs>
          <w:tab w:leader="none" w:pos="1540" w:val="left"/>
        </w:tabs>
        <w:numPr>
          <w:ilvl w:val="2"/>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Neuro monitoring grew high single-digits driven by CereLink ICP monitors, BactiSeal and CerebroFlo® EVD catheters.</w:t>
      </w:r>
    </w:p>
    <w:p>
      <w:pPr>
        <w:ind w:left="1540" w:hanging="236"/>
        <w:spacing w:after="0"/>
        <w:tabs>
          <w:tab w:leader="none" w:pos="154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Advanced energy grew low single-digits driven by CUSA® disposables</w:t>
      </w:r>
    </w:p>
    <w:p>
      <w:pPr>
        <w:ind w:left="1540" w:hanging="236"/>
        <w:spacing w:after="0" w:line="232" w:lineRule="auto"/>
        <w:tabs>
          <w:tab w:leader="none" w:pos="1528"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Dural access and repair declined low single-digits due to the impact from the recall of patties and strips partially offset by growth in DuraGen®, DuraSeal® and Mayfeild®.</w:t>
      </w:r>
    </w:p>
    <w:p>
      <w:pPr>
        <w:ind w:left="900" w:right="80" w:hanging="244"/>
        <w:spacing w:after="0" w:line="225" w:lineRule="auto"/>
        <w:tabs>
          <w:tab w:leader="none" w:pos="8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Instruments were flat on an organic basis due to growth in hospital sales offset by a decrease in alternative site sales due to order timing.</w:t>
      </w:r>
    </w:p>
    <w:p>
      <w:pPr>
        <w:ind w:left="880" w:hanging="224"/>
        <w:spacing w:after="0"/>
        <w:tabs>
          <w:tab w:leader="none" w:pos="8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 reported revenue growth driven primarily by the Acclarent acquisition.</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Tissue Technologies (29% of Revenue)</w:t>
      </w:r>
    </w:p>
    <w:p>
      <w:pPr>
        <w:ind w:left="900" w:right="420" w:hanging="244"/>
        <w:spacing w:after="0" w:line="232" w:lineRule="auto"/>
        <w:tabs>
          <w:tab w:leader="none" w:pos="8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revenues were $128.0 million, representing an increase of 2.1% on a reported and organic basis compared to the fourth quarter of 2023.</w:t>
      </w:r>
    </w:p>
    <w:p>
      <w:pPr>
        <w:ind w:left="880" w:hanging="224"/>
        <w:spacing w:after="0"/>
        <w:tabs>
          <w:tab w:leader="none" w:pos="8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Wound Reconstruction grew 8.2% on an organic basis:</w:t>
      </w:r>
    </w:p>
    <w:p>
      <w:pPr>
        <w:ind w:left="1540" w:hanging="236"/>
        <w:spacing w:after="0" w:line="225" w:lineRule="auto"/>
        <w:tabs>
          <w:tab w:leader="none" w:pos="154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Low-double-digit growth in DuraSorb®, MicroMatrix®, Cytal® and AmnioExcel®</w:t>
      </w:r>
    </w:p>
    <w:p>
      <w:pPr>
        <w:ind w:left="1540" w:hanging="236"/>
        <w:spacing w:after="0"/>
        <w:tabs>
          <w:tab w:leader="none" w:pos="154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Mid-single-digit growth in Integra Skin</w:t>
      </w:r>
    </w:p>
    <w:p>
      <w:pPr>
        <w:ind w:left="900" w:hanging="244"/>
        <w:spacing w:after="0" w:line="224" w:lineRule="auto"/>
        <w:tabs>
          <w:tab w:leader="none" w:pos="900" w:val="left"/>
        </w:tabs>
        <w:numPr>
          <w:ilvl w:val="1"/>
          <w:numId w:val="9"/>
        </w:numPr>
        <w:rPr>
          <w:rFonts w:ascii="Courier New" w:cs="Courier New" w:eastAsia="Courier New" w:hAnsi="Courier New"/>
          <w:sz w:val="22"/>
          <w:szCs w:val="22"/>
          <w:color w:val="auto"/>
        </w:rPr>
      </w:pPr>
      <w:r>
        <w:rPr>
          <w:rFonts w:ascii="Times New Roman" w:cs="Times New Roman" w:eastAsia="Times New Roman" w:hAnsi="Times New Roman"/>
          <w:sz w:val="20"/>
          <w:szCs w:val="20"/>
          <w:color w:val="auto"/>
        </w:rPr>
        <w:t>Sales in private label were down 16% on an organic basis due to a component supply delay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2024 Financial Summary</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Total reported revenues for the full-year 2024 were $1,610.5 million, an increase of 4.5%, from the prior year. Organic sales for the full-year 2024 were down 1.3% compared to 2023. 2024 Revenues were driven by three</w:t>
      </w:r>
    </w:p>
    <w:p>
      <w:pPr>
        <w:sectPr>
          <w:pgSz w:w="11900" w:h="16838" w:orient="portrait"/>
          <w:cols w:equalWidth="0" w:num="1">
            <w:col w:w="11160"/>
          </w:cols>
          <w:pgMar w:left="320" w:top="886" w:right="419" w:bottom="1440" w:gutter="0" w:footer="0" w:header="0"/>
        </w:sectPr>
      </w:pPr>
    </w:p>
    <w:bookmarkStart w:id="8" w:name="page9"/>
    <w:bookmarkEnd w:id="8"/>
    <w:p>
      <w:pPr>
        <w:ind w:right="360"/>
        <w:spacing w:after="0" w:line="255" w:lineRule="auto"/>
        <w:rPr>
          <w:sz w:val="20"/>
          <w:szCs w:val="20"/>
          <w:color w:val="auto"/>
        </w:rPr>
      </w:pPr>
      <w:r>
        <w:rPr>
          <w:rFonts w:ascii="Times New Roman" w:cs="Times New Roman" w:eastAsia="Times New Roman" w:hAnsi="Times New Roman"/>
          <w:sz w:val="20"/>
          <w:szCs w:val="20"/>
          <w:color w:val="auto"/>
        </w:rPr>
        <w:t>quarters of revenue from the Acclarent acquisition offset by production constraints on Integra Skin and intermittent ship holds on various products.</w:t>
      </w:r>
    </w:p>
    <w:p>
      <w:pPr>
        <w:spacing w:after="0" w:line="200"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The Company reported GAAP net income of $(6.9) million, or $(0.09) per diluted share, for the full-year 2024, compared to GAAP net income of $67.7 million, or $0.84 per diluted share in 2023.</w:t>
      </w:r>
    </w:p>
    <w:p>
      <w:pPr>
        <w:spacing w:after="0" w:line="18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Adjusted EBITDA for the full-year 2024 was $322.2 million, a decrease of $47.4 million versus the prior year. Full- year adjusted EBITDA margins were 20.0%, a decrease of 400 basis points from the prior year.</w:t>
      </w:r>
    </w:p>
    <w:p>
      <w:pPr>
        <w:spacing w:after="0" w:line="20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Adjusted net income for the full-year 2024 was $196.9 million, or $2.56 per diluted share, compared to $247.8 million, or $3.10 per diluted share in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Balance Sheet, Cash Flow and Capital Allocation</w:t>
      </w:r>
    </w:p>
    <w:p>
      <w:pPr>
        <w:spacing w:after="0" w:line="26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The Company generated cash flow from operations of $129.4 million for the full-year 2024. Full-year capital expenditures were $104.0 million. Net debt at the end of the year was $1.5 billion, and the consolidated total leverage ratio was 4.0x. As of year-end, the Company had total liquidity of approximately $1.2 billion, including approximately $273 million in cash plus short-term investments and the remainder available under its revolving credit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Revenue and Adjusted Earnings Per Share Guidance</w:t>
      </w:r>
    </w:p>
    <w:p>
      <w:pPr>
        <w:spacing w:after="0" w:line="2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For the full-year 2025, the Company expects revenues to be in the range of $1,650 million to $1,715 million, representing reported growth of 2.4% to 6.5% and organic growth of 1.0% to 5.0%. 2025 revenue guidance reflects the strong demand for the Company’s portfolio and a full year of the Acclarent acquisition offset by the potential for intermittent ship holds as the company continues to implement its Compliance Master Plan and the strength of the U.S. dollar. Adjusted earnings per diluted share are expected to be between $2.41 and $2.51.</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For the first quarter 2025, the Company expects reported revenues in the range of $375 million to $385 million, representing reported growth of 1.6% to 4.4% and organic growth of -6.2% to -3.5%. First quarter 2025 revenue guidance reflects the benefit of the Acclarent acquisition offset by temporary production delays on Integra Skin, intermittent ship-holds as the company continues to implement its Compliance Master Plan and the strength of the U.S. dollar. Adjusted earnings per diluted share are expected to be in the range of $0.40 to $0.45.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Organic sales growth excludes acquisitions as well as the effects of foreign currency.</w:t>
      </w:r>
    </w:p>
    <w:p>
      <w:pPr>
        <w:spacing w:after="0" w:line="22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Company is providing forward-looking guidance regarding adjusted earnings per diluted share but is not providing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and efforts to comply with the EU Medical Device Regulation are uncertain, depend on various dynamic factors and are not reasonably ascertainable at this time. These expense items could have a material impact on GAAP results.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23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 xml:space="preserve">Integra has scheduled a conference call for 8:30 a.m. ET on Tuesday, February 25, 2025, to discuss fourth quarter and full-year 2024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Relations section of the website at </w:t>
      </w:r>
      <w:r>
        <w:rPr>
          <w:rFonts w:ascii="Times New Roman" w:cs="Times New Roman" w:eastAsia="Times New Roman" w:hAnsi="Times New Roman"/>
          <w:sz w:val="20"/>
          <w:szCs w:val="20"/>
          <w:u w:val="single" w:color="auto"/>
          <w:color w:val="0000FF"/>
        </w:rPr>
        <w:t>investor.integralife.com</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w:t>
      </w:r>
      <w:r>
        <w:rPr>
          <w:rFonts w:ascii="Times New Roman" w:cs="Times New Roman" w:eastAsia="Times New Roman" w:hAnsi="Times New Roman"/>
          <w:sz w:val="20"/>
          <w:szCs w:val="20"/>
          <w:color w:val="0000FF"/>
        </w:rPr>
        <w:t>investor.integralife.com</w:t>
      </w:r>
      <w:r>
        <w:rPr>
          <w:rFonts w:ascii="Times New Roman" w:cs="Times New Roman" w:eastAsia="Times New Roman" w:hAnsi="Times New Roman"/>
          <w:sz w:val="20"/>
          <w:szCs w:val="20"/>
          <w:color w:val="auto"/>
        </w:rPr>
        <w:t>. For those planning to participate on the call, please register here to receive dial-in details and a unique pin. While not</w:t>
      </w:r>
    </w:p>
    <w:p>
      <w:pPr>
        <w:sectPr>
          <w:pgSz w:w="11900" w:h="16838" w:orient="portrait"/>
          <w:cols w:equalWidth="0" w:num="1">
            <w:col w:w="11220"/>
          </w:cols>
          <w:pgMar w:left="320" w:top="886" w:right="359" w:bottom="1440" w:gutter="0" w:footer="0" w:header="0"/>
        </w:sectPr>
      </w:pPr>
    </w:p>
    <w:bookmarkStart w:id="9" w:name="page10"/>
    <w:bookmarkEnd w:id="9"/>
    <w:p>
      <w:pPr>
        <w:ind w:right="100"/>
        <w:spacing w:after="0" w:line="269" w:lineRule="auto"/>
        <w:rPr>
          <w:sz w:val="20"/>
          <w:szCs w:val="20"/>
          <w:color w:val="auto"/>
        </w:rPr>
      </w:pPr>
      <w:r>
        <w:rPr>
          <w:rFonts w:ascii="Times New Roman" w:cs="Times New Roman" w:eastAsia="Times New Roman" w:hAnsi="Times New Roman"/>
          <w:sz w:val="20"/>
          <w:szCs w:val="20"/>
          <w:color w:val="auto"/>
        </w:rPr>
        <w:t>required, it is recommended to join 10 minutes prior to the start of the event. A webcast replay of the conference call will be available on the Investor Relations section of the Company’s website following the call.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At Integra LifeSciences, we are driven by our purpose of restoring patients’ lives. We innovate treatment pathways to advance patient outcomes and set new standards of surgical, neurologic, and regenerative care. We offer a comprehensive portfolio of high quality, leadership brands. For the latest news and information about Integra and its products, please visit www.integralife.com.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financial performance, including projections for revenues, expected revenue growth (both reported and organic), GAAP and adjusted net income, GAAP and adjusted earnings per diluted share, non-GAAP adjustments such as divestiture, acquisition and integration-related charges, intangible asset amortization, structural optimization charges, EU Medical Device Regulation-related charges, charges related to the voluntary global recall of all products manufactured at the Company’s facility in Boston, Massachusetts and the transition of Boston-related manufacturing operations to the Company’s Braintree, Massachusetts facility, and income tax expense (benefit) related to non-GAAP adjustments and other items, and the Company’s expectations and plans with respect to business and operational performance, strategic initiatives, capabilities, resources, product development, product availability and regulatory approvals, including expectations regarding the efficacy of the Company’s compliance master plan to improve the Company's quality system.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the ongoing and possible future effects of global challenges, including macroeconomic uncertainties, inflation, supply chain disruptions, trade regulation and tariffs, bank failures and other 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Acclarent and other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global macroeconomic and political conditions, including the war in Ukraine and the conflict in Israel and Gaza;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in implementing the Company’s compliance master plan and realizing the benefits contemplated thereby within the anticipated timeframe, or at all; difficulties or delays in obtaining and maintaining required regulatory approvals related to the transition of the manufacturing to the Company’s Braintree manufacturing facility;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uncertainties inherent in the development of new products and the enhancement of existing products, including FDA approval and/or clearance and other regulatory risks, technical risks, cost overruns and delays; the Company's ability to comply with regulations regarding products of human origin and products containing materials derived from animal source; difficulties in controlling expenses, including costs to procure and manufacture the Company’s products; the ability of the Company to successfully manage leadership and organizational changes and the impact of changes in management</w:t>
      </w:r>
    </w:p>
    <w:p>
      <w:pPr>
        <w:sectPr>
          <w:pgSz w:w="11900" w:h="16838" w:orient="portrait"/>
          <w:cols w:equalWidth="0" w:num="1">
            <w:col w:w="11240"/>
          </w:cols>
          <w:pgMar w:left="320" w:top="886" w:right="33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9"/>
          <w:szCs w:val="19"/>
          <w:color w:val="auto"/>
        </w:rPr>
        <w:t>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 Regulation; the scope, duration and effect of U.S. and international governmental, regulatory, fiscal, monetary and public health responses to any future public health crises; fluctuations in foreign currency exchange rates; the amount of our bank borrowings outstanding and other factors influencing liquidity; potential negative impacts resulting from environmental, social and governance matters; and the economic, competitive, governmental, technological, and other risk factors and uncertainties identified under the heading “Risk Factors” included in Item 1A of Integra's Annual Report on Form 10-K for the year ended December 31, 2024 to be filed with the Securities and Exchange Commission.</w:t>
      </w:r>
    </w:p>
    <w:p>
      <w:pPr>
        <w:spacing w:after="0" w:line="206"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auto"/>
        </w:rPr>
        <w:t>These forward-looking statements are made only as of the date hereof, and the Company undertakes no obligation to update or revise the forward-looking statements, whether as a result of new information, future events, or otherwise,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In addition to our GAAP results, we provide certain non-GAAP measures, including organic revenues, adjusted earnings before interest, taxes, depreciation and amortization ("EBITDA"), adjusted EBITDA margin, adjusted net income, adjusted gross profit, adjusted gross margin, adjusted earnings per diluted share, free cash flow, adjusted free cash flow conversion,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and (v) those operating expenses also excluded from adjusted net income. The measure of adjusted EBITDA margin is calculated by dividing adjusted EBITDA by total revenues.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free cash flow consists of GAAP net cash provided by operating activities less purchases of property and equipment. The adjusted free cash flow conversion measure is calculated by dividing free cash flow by adjusted net income. The measure of net debt consists of GAAP total debt (excluding deferred financing costs) less short-term investments, cash and cash equivalents.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Reconciliations of GAAP revenues to organic revenues, GAAP net income to adjusted EBITDA and adjusted net income, GAAP gross profit to adjusted gross profit, GAAP gross margin to adjusted gross margin, and GAAP earnings per diluted share to adjusted earnings per diluted share all for the quarters and years ended December 31, 2024 and 2023, GAAP total debt to net debt for the years ended December 31, 2024 and 2024, and the GAAP operating cash flow to free cash flow and adjusted free cash flow conversion for the quarters and years ended December 31, 2024 and 2023, appear in the financial tables in this release.</w:t>
      </w:r>
    </w:p>
    <w:p>
      <w:pPr>
        <w:sectPr>
          <w:pgSz w:w="11900" w:h="16838" w:orient="portrait"/>
          <w:cols w:equalWidth="0" w:num="1">
            <w:col w:w="11220"/>
          </w:cols>
          <w:pgMar w:left="320" w:top="886" w:right="35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www.sec.gov or on our website at www.integralife.com.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8" w:lineRule="exact"/>
        <w:rPr>
          <w:sz w:val="20"/>
          <w:szCs w:val="20"/>
          <w:color w:val="auto"/>
        </w:rPr>
      </w:pPr>
    </w:p>
    <w:p>
      <w:pPr>
        <w:ind w:right="8960" w:firstLine="8"/>
        <w:spacing w:after="0" w:line="293" w:lineRule="auto"/>
        <w:tabs>
          <w:tab w:leader="none" w:pos="47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8" w:lineRule="exact"/>
        <w:rPr>
          <w:sz w:val="20"/>
          <w:szCs w:val="20"/>
          <w:color w:val="auto"/>
        </w:rPr>
      </w:pPr>
    </w:p>
    <w:p>
      <w:pPr>
        <w:ind w:right="8860" w:firstLine="8"/>
        <w:spacing w:after="0" w:line="293" w:lineRule="auto"/>
        <w:tabs>
          <w:tab w:leader="none" w:pos="4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180"/>
          </w:cols>
          <w:pgMar w:left="320" w:top="1129" w:right="39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560" w:type="dxa"/>
            <w:vAlign w:val="bottom"/>
          </w:tcPr>
          <w:p>
            <w:pPr>
              <w:spacing w:after="0"/>
              <w:rPr>
                <w:sz w:val="18"/>
                <w:szCs w:val="18"/>
                <w:color w:val="auto"/>
              </w:rPr>
            </w:pPr>
          </w:p>
        </w:tc>
        <w:tc>
          <w:tcPr>
            <w:tcW w:w="29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26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Twelve Months Ended</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9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8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442,645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397,039</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1,610,527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1,541,573</w:t>
            </w:r>
          </w:p>
        </w:tc>
        <w:tc>
          <w:tcPr>
            <w:tcW w:w="0" w:type="dxa"/>
            <w:vAlign w:val="bottom"/>
          </w:tcPr>
          <w:p>
            <w:pPr>
              <w:spacing w:after="0"/>
              <w:rPr>
                <w:sz w:val="1"/>
                <w:szCs w:val="1"/>
                <w:color w:val="auto"/>
              </w:rPr>
            </w:pPr>
          </w:p>
        </w:tc>
      </w:tr>
      <w:tr>
        <w:trPr>
          <w:trHeight w:val="3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193,573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170,546</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728,466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656,838</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31,210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115,377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104,192</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178,520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163,128</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716,983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656,641</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3,715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21,290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407,018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360,992</w:t>
            </w:r>
          </w:p>
        </w:tc>
        <w:tc>
          <w:tcPr>
            <w:tcW w:w="180" w:type="dxa"/>
            <w:vAlign w:val="bottom"/>
          </w:tcPr>
          <w:p>
            <w:pPr>
              <w:spacing w:after="0"/>
              <w:rPr>
                <w:sz w:val="19"/>
                <w:szCs w:val="19"/>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1,582,116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1,430,047</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35,627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36,047</w:t>
            </w:r>
          </w:p>
        </w:tc>
        <w:tc>
          <w:tcPr>
            <w:tcW w:w="180" w:type="dxa"/>
            <w:vAlign w:val="bottom"/>
          </w:tcPr>
          <w:p>
            <w:pPr>
              <w:spacing w:after="0"/>
              <w:rPr>
                <w:sz w:val="18"/>
                <w:szCs w:val="18"/>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28,411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4,893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20,040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(18,984)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80" w:type="dxa"/>
            <w:vAlign w:val="bottom"/>
          </w:tcPr>
          <w:p>
            <w:pPr>
              <w:spacing w:after="0"/>
              <w:rPr>
                <w:sz w:val="19"/>
                <w:szCs w:val="19"/>
                <w:color w:val="auto"/>
              </w:rPr>
            </w:pPr>
          </w:p>
        </w:tc>
        <w:tc>
          <w:tcPr>
            <w:tcW w:w="1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(70,632)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the sale of business</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1,005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3,944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22,541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180" w:type="dxa"/>
            <w:vAlign w:val="bottom"/>
          </w:tcPr>
          <w:p>
            <w:pPr>
              <w:spacing w:after="0"/>
              <w:rPr>
                <w:sz w:val="18"/>
                <w:szCs w:val="18"/>
                <w:color w:val="auto"/>
              </w:rPr>
            </w:pPr>
          </w:p>
        </w:tc>
        <w:tc>
          <w:tcPr>
            <w:tcW w:w="1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(18,237)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81,069</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3,106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(11,293)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19,435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80" w:type="dxa"/>
            <w:vAlign w:val="bottom"/>
          </w:tcPr>
          <w:p>
            <w:pPr>
              <w:spacing w:after="0"/>
              <w:rPr>
                <w:sz w:val="19"/>
                <w:szCs w:val="19"/>
                <w:color w:val="auto"/>
              </w:rPr>
            </w:pP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(6,944)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vMerge w:val="continue"/>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9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9"/>
                <w:szCs w:val="19"/>
                <w:color w:val="auto"/>
              </w:rPr>
            </w:pP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(0.09)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164"/>
        </w:trPr>
        <w:tc>
          <w:tcPr>
            <w:tcW w:w="55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 average common shares outstanding for diluted net income per</w:t>
            </w: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76,419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77,959</w:t>
            </w:r>
          </w:p>
        </w:tc>
        <w:tc>
          <w:tcPr>
            <w:tcW w:w="18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77,010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80,337</w:t>
            </w:r>
          </w:p>
        </w:tc>
        <w:tc>
          <w:tcPr>
            <w:tcW w:w="0" w:type="dxa"/>
            <w:vAlign w:val="bottom"/>
          </w:tcPr>
          <w:p>
            <w:pPr>
              <w:spacing w:after="0"/>
              <w:rPr>
                <w:sz w:val="1"/>
                <w:szCs w:val="1"/>
                <w:color w:val="auto"/>
              </w:rPr>
            </w:pPr>
          </w:p>
        </w:tc>
      </w:tr>
    </w:tbl>
    <w:p>
      <w:pPr>
        <w:sectPr>
          <w:pgSz w:w="11900" w:h="16838" w:orient="portrait"/>
          <w:cols w:equalWidth="0" w:num="1">
            <w:col w:w="11180"/>
          </w:cols>
          <w:pgMar w:left="320" w:top="89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Segment revenues and growth in total revenues excluding the effects of currency exchange rates, acquisitions and discontinued products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4080" w:type="dxa"/>
            <w:vAlign w:val="bottom"/>
          </w:tcPr>
          <w:p>
            <w:pPr>
              <w:spacing w:after="0"/>
              <w:rPr>
                <w:sz w:val="24"/>
                <w:szCs w:val="24"/>
                <w:color w:val="auto"/>
              </w:rPr>
            </w:pPr>
          </w:p>
        </w:tc>
        <w:tc>
          <w:tcPr>
            <w:tcW w:w="284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Three Months Ended</w:t>
            </w:r>
          </w:p>
        </w:tc>
        <w:tc>
          <w:tcPr>
            <w:tcW w:w="288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Twelve Months Ended</w:t>
            </w:r>
          </w:p>
        </w:tc>
        <w:tc>
          <w:tcPr>
            <w:tcW w:w="0" w:type="dxa"/>
            <w:vAlign w:val="bottom"/>
          </w:tcPr>
          <w:p>
            <w:pPr>
              <w:spacing w:after="0"/>
              <w:rPr>
                <w:sz w:val="1"/>
                <w:szCs w:val="1"/>
                <w:color w:val="auto"/>
              </w:rPr>
            </w:pPr>
          </w:p>
        </w:tc>
      </w:tr>
      <w:tr>
        <w:trPr>
          <w:trHeight w:val="418"/>
        </w:trPr>
        <w:tc>
          <w:tcPr>
            <w:tcW w:w="40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29"/>
              <w:spacing w:after="0"/>
              <w:rPr>
                <w:sz w:val="20"/>
                <w:szCs w:val="20"/>
                <w:color w:val="auto"/>
              </w:rPr>
            </w:pPr>
            <w:r>
              <w:rPr>
                <w:rFonts w:ascii="Times New Roman" w:cs="Times New Roman" w:eastAsia="Times New Roman" w:hAnsi="Times New Roman"/>
                <w:sz w:val="20"/>
                <w:szCs w:val="20"/>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Neurosurgery</w:t>
            </w:r>
          </w:p>
        </w:tc>
        <w:tc>
          <w:tcPr>
            <w:tcW w:w="10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20"/>
                <w:szCs w:val="20"/>
                <w:color w:val="auto"/>
              </w:rPr>
              <w:t>2024</w:t>
            </w:r>
          </w:p>
        </w:tc>
        <w:tc>
          <w:tcPr>
            <w:tcW w:w="8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20"/>
                <w:szCs w:val="20"/>
                <w:color w:val="auto"/>
              </w:rPr>
              <w:t>2023</w:t>
            </w:r>
          </w:p>
        </w:tc>
        <w:tc>
          <w:tcPr>
            <w:tcW w:w="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Change</w:t>
            </w:r>
          </w:p>
        </w:tc>
        <w:tc>
          <w:tcPr>
            <w:tcW w:w="2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20"/>
                <w:szCs w:val="20"/>
                <w:color w:val="auto"/>
              </w:rPr>
              <w:t>2024</w:t>
            </w:r>
          </w:p>
        </w:tc>
        <w:tc>
          <w:tcPr>
            <w:tcW w:w="9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20"/>
                <w:szCs w:val="20"/>
                <w:color w:val="auto"/>
              </w:rPr>
              <w:t>2023</w:t>
            </w: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Change</w:t>
            </w:r>
          </w:p>
        </w:tc>
        <w:tc>
          <w:tcPr>
            <w:tcW w:w="0" w:type="dxa"/>
            <w:vAlign w:val="bottom"/>
          </w:tcPr>
          <w:p>
            <w:pPr>
              <w:spacing w:after="0"/>
              <w:rPr>
                <w:sz w:val="1"/>
                <w:szCs w:val="1"/>
                <w:color w:val="auto"/>
              </w:rPr>
            </w:pPr>
          </w:p>
        </w:tc>
      </w:tr>
      <w:tr>
        <w:trPr>
          <w:trHeight w:val="227"/>
        </w:trPr>
        <w:tc>
          <w:tcPr>
            <w:tcW w:w="4080" w:type="dxa"/>
            <w:vAlign w:val="bottom"/>
            <w:vMerge w:val="continue"/>
          </w:tcPr>
          <w:p>
            <w:pPr>
              <w:spacing w:after="0"/>
              <w:rPr>
                <w:sz w:val="19"/>
                <w:szCs w:val="19"/>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220,091</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210,204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w:t>
            </w:r>
          </w:p>
        </w:tc>
        <w:tc>
          <w:tcPr>
            <w:tcW w:w="200" w:type="dxa"/>
            <w:vAlign w:val="bottom"/>
          </w:tcPr>
          <w:p>
            <w:pPr>
              <w:spacing w:after="0"/>
              <w:rPr>
                <w:sz w:val="19"/>
                <w:szCs w:val="19"/>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803,816</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818,101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Instruments</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51,029</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51,095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w:t>
            </w:r>
          </w:p>
        </w:tc>
        <w:tc>
          <w:tcPr>
            <w:tcW w:w="20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204,177</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203,617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6"/>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ENT</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43,540</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10,328</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321.6%</w:t>
            </w:r>
          </w:p>
        </w:tc>
        <w:tc>
          <w:tcPr>
            <w:tcW w:w="200" w:type="dxa"/>
            <w:vAlign w:val="bottom"/>
          </w:tcPr>
          <w:p>
            <w:pPr>
              <w:spacing w:after="0"/>
              <w:rPr>
                <w:sz w:val="23"/>
                <w:szCs w:val="23"/>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135,643</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37,275</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314,660</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271,627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20"/>
                <w:szCs w:val="20"/>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1,143,636</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1,058,993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502"/>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101,527</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93,859</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8.2%</w:t>
            </w:r>
          </w:p>
        </w:tc>
        <w:tc>
          <w:tcPr>
            <w:tcW w:w="20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350,565</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373,986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6"/>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Private Label</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26,458</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31,553</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23"/>
                <w:szCs w:val="23"/>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116,326</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108,594</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6"/>
        </w:trPr>
        <w:tc>
          <w:tcPr>
            <w:tcW w:w="4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127,985</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125,412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2.1%</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466,891</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482,580</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442,645</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397,039</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11.5%</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1,610,527</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1,541,573</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4080" w:type="dxa"/>
            <w:vAlign w:val="bottom"/>
            <w:vMerge w:val="continue"/>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880</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6,084</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Less contribution of revenues from acquisitions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(32,763)</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(95,049)</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Less contribution of revenues from divested</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products</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Less contribution of revenues from discontinued</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products</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line="210" w:lineRule="exact"/>
              <w:rPr>
                <w:sz w:val="20"/>
                <w:szCs w:val="20"/>
                <w:color w:val="auto"/>
              </w:rPr>
            </w:pPr>
            <w:r>
              <w:rPr>
                <w:rFonts w:ascii="Times New Roman" w:cs="Times New Roman" w:eastAsia="Times New Roman" w:hAnsi="Times New Roman"/>
                <w:sz w:val="19"/>
                <w:szCs w:val="19"/>
                <w:color w:val="auto"/>
              </w:rPr>
              <w:t>Total organic revenues</w:t>
            </w:r>
            <w:r>
              <w:rPr>
                <w:rFonts w:ascii="Times New Roman" w:cs="Times New Roman" w:eastAsia="Times New Roman" w:hAnsi="Times New Roman"/>
                <w:sz w:val="24"/>
                <w:szCs w:val="24"/>
                <w:color w:val="auto"/>
                <w:vertAlign w:val="superscript"/>
              </w:rPr>
              <w:t>1</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410,762</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397,039</w:t>
            </w:r>
          </w:p>
        </w:tc>
        <w:tc>
          <w:tcPr>
            <w:tcW w:w="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3.5%</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1,521,563</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1,541,328</w:t>
            </w: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Organic revenues have been adjusted to exclude foreign currency (current period), acquisitions and to account for divested and discontinued products.</w:t>
      </w:r>
    </w:p>
    <w:p>
      <w:pPr>
        <w:sectPr>
          <w:pgSz w:w="11900" w:h="16838" w:orient="portrait"/>
          <w:cols w:equalWidth="0" w:num="1">
            <w:col w:w="11060"/>
          </w:cols>
          <w:pgMar w:left="320" w:top="891"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from continuing operations and locations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22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Total Amount COGS(a)</w:t>
            </w: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SG&amp;A(b)</w:t>
            </w: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R&amp;D(c)</w:t>
            </w: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Amort.(d)</w:t>
            </w: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OI&amp;E(e)</w:t>
            </w:r>
          </w:p>
        </w:tc>
        <w:tc>
          <w:tcPr>
            <w:tcW w:w="10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Tax(f)</w:t>
            </w:r>
          </w:p>
        </w:tc>
      </w:tr>
      <w:tr>
        <w:trPr>
          <w:trHeight w:val="21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2,264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9,083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11,358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26,557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4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(4,902)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(4,902)</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10,935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8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40"/>
          </w:cols>
          <w:pgMar w:left="320" w:top="891" w:right="339" w:bottom="1440" w:gutter="0" w:footer="0" w:header="0"/>
        </w:sectPr>
      </w:pPr>
    </w:p>
    <w:bookmarkStart w:id="15" w:name="page16"/>
    <w:bookmarkEnd w:id="15"/>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December 31,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8"/>
              <w:spacing w:after="0" w:line="203" w:lineRule="exact"/>
              <w:rPr>
                <w:sz w:val="20"/>
                <w:szCs w:val="20"/>
                <w:color w:val="auto"/>
              </w:rPr>
            </w:pPr>
            <w:r>
              <w:rPr>
                <w:rFonts w:ascii="Times New Roman" w:cs="Times New Roman" w:eastAsia="Times New Roman" w:hAnsi="Times New Roman"/>
                <w:sz w:val="20"/>
                <w:szCs w:val="20"/>
                <w:color w:val="auto"/>
              </w:rPr>
              <w:t>Total</w:t>
            </w:r>
          </w:p>
        </w:tc>
        <w:tc>
          <w:tcPr>
            <w:tcW w:w="110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20"/>
                <w:szCs w:val="20"/>
                <w:color w:val="auto"/>
              </w:rPr>
              <w:t>COGS(a)</w:t>
            </w:r>
          </w:p>
        </w:tc>
        <w:tc>
          <w:tcPr>
            <w:tcW w:w="1160" w:type="dxa"/>
            <w:vAlign w:val="bottom"/>
            <w:tcBorders>
              <w:top w:val="single" w:sz="8" w:color="auto"/>
            </w:tcBorders>
            <w:vMerge w:val="restart"/>
          </w:tcPr>
          <w:p>
            <w:pPr>
              <w:jc w:val="right"/>
              <w:ind w:right="169"/>
              <w:spacing w:after="0"/>
              <w:rPr>
                <w:sz w:val="20"/>
                <w:szCs w:val="20"/>
                <w:color w:val="auto"/>
              </w:rPr>
            </w:pPr>
            <w:r>
              <w:rPr>
                <w:rFonts w:ascii="Times New Roman" w:cs="Times New Roman" w:eastAsia="Times New Roman" w:hAnsi="Times New Roman"/>
                <w:sz w:val="20"/>
                <w:szCs w:val="20"/>
                <w:color w:val="auto"/>
              </w:rPr>
              <w:t>SG&amp;A(b)</w:t>
            </w:r>
          </w:p>
        </w:tc>
        <w:tc>
          <w:tcPr>
            <w:tcW w:w="112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20"/>
                <w:szCs w:val="20"/>
                <w:color w:val="auto"/>
              </w:rPr>
              <w:t>R&amp;D(c)</w:t>
            </w:r>
          </w:p>
        </w:tc>
        <w:tc>
          <w:tcPr>
            <w:tcW w:w="114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20"/>
                <w:szCs w:val="20"/>
                <w:color w:val="auto"/>
              </w:rPr>
              <w:t>Amort.(d)</w:t>
            </w:r>
          </w:p>
        </w:tc>
        <w:tc>
          <w:tcPr>
            <w:tcW w:w="122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OI&amp;E(e)</w:t>
            </w:r>
          </w:p>
        </w:tc>
        <w:tc>
          <w:tcPr>
            <w:tcW w:w="9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Tax(f)</w:t>
            </w:r>
          </w:p>
        </w:tc>
        <w:tc>
          <w:tcPr>
            <w:tcW w:w="0" w:type="dxa"/>
            <w:vAlign w:val="bottom"/>
          </w:tcPr>
          <w:p>
            <w:pPr>
              <w:spacing w:after="0"/>
              <w:rPr>
                <w:sz w:val="1"/>
                <w:szCs w:val="1"/>
                <w:color w:val="auto"/>
              </w:rPr>
            </w:pPr>
          </w:p>
        </w:tc>
      </w:tr>
      <w:tr>
        <w:trPr>
          <w:trHeight w:val="25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Amount</w:t>
            </w:r>
          </w:p>
        </w:tc>
        <w:tc>
          <w:tcPr>
            <w:tcW w:w="11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Acquisition, divestiture and integration-</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charges</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7,117</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8,040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(116)</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6,216</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3,077</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3,155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12,387</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2,227</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4,653</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5,507</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8,129</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7,370</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759</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20,687</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17,653</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3,034</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3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(5,272)</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9,834</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and expense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Twelve Months Ended December 31, 2024</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12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Total Amount</w:t>
            </w:r>
          </w:p>
        </w:tc>
        <w:tc>
          <w:tcPr>
            <w:tcW w:w="11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R&amp;D(c)</w:t>
            </w:r>
          </w:p>
        </w:tc>
        <w:tc>
          <w:tcPr>
            <w:tcW w:w="9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Amort.(d)</w:t>
            </w:r>
          </w:p>
        </w:tc>
        <w:tc>
          <w:tcPr>
            <w:tcW w:w="10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OI&amp;E(e)</w:t>
            </w:r>
          </w:p>
        </w:tc>
        <w:tc>
          <w:tcPr>
            <w:tcW w:w="9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Tax(f)</w:t>
            </w:r>
          </w:p>
        </w:tc>
      </w:tr>
      <w:tr>
        <w:trPr>
          <w:trHeight w:val="169"/>
        </w:trPr>
        <w:tc>
          <w:tcPr>
            <w:tcW w:w="4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Acquisition, divestiture and integration-related</w:t>
            </w: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33,626</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9,071</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25,793</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(1,542)</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304</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24,194</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16,195</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7,395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604</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44,570</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4,020</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18,875</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21,674</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45,034</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43,175</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1,859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105,252</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83,962</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21,290</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(48,792)</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(48,792)</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41,449</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62"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Interest (income) expense, net and other (income), net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20"/>
          </w:cols>
          <w:pgMar w:left="320" w:top="891"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Twelve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Item</w:t>
            </w:r>
          </w:p>
        </w:tc>
        <w:tc>
          <w:tcPr>
            <w:tcW w:w="12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Total Amount</w:t>
            </w: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COGS(a)</w:t>
            </w: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SG&amp;A(b)</w:t>
            </w:r>
          </w:p>
        </w:tc>
        <w:tc>
          <w:tcPr>
            <w:tcW w:w="9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R&amp;D(c)</w:t>
            </w:r>
          </w:p>
        </w:tc>
        <w:tc>
          <w:tcPr>
            <w:tcW w:w="8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Amort.(d)</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OI&amp;E(e)</w:t>
            </w:r>
          </w:p>
        </w:tc>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25,173</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3,045</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25,181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(865)</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16,084</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8,208</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7,943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46,559</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5,813</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20,002</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20,745</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46,970</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46,116</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853</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82,823</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70,447</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12,376</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4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2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(37,573)</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(37,573)</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39,704</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Interest (income) expense, net and other (income), net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40"/>
          </w:cols>
          <w:pgMar w:left="320" w:top="89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ADJUSTMENTS - GAAP NET INCOME FROM CONTINUING OPERATIONS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5780" w:type="dxa"/>
            <w:vAlign w:val="bottom"/>
          </w:tcPr>
          <w:p>
            <w:pPr>
              <w:spacing w:after="0"/>
              <w:rPr>
                <w:sz w:val="17"/>
                <w:szCs w:val="17"/>
                <w:color w:val="auto"/>
              </w:rPr>
            </w:pPr>
          </w:p>
        </w:tc>
        <w:tc>
          <w:tcPr>
            <w:tcW w:w="264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820" w:type="dxa"/>
            <w:vAlign w:val="bottom"/>
            <w:gridSpan w:val="2"/>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Twelve Months Ended</w:t>
            </w:r>
          </w:p>
        </w:tc>
      </w:tr>
      <w:tr>
        <w:trPr>
          <w:trHeight w:val="239"/>
        </w:trPr>
        <w:tc>
          <w:tcPr>
            <w:tcW w:w="5780" w:type="dxa"/>
            <w:vAlign w:val="bottom"/>
          </w:tcPr>
          <w:p>
            <w:pPr>
              <w:spacing w:after="0"/>
              <w:rPr>
                <w:sz w:val="20"/>
                <w:szCs w:val="20"/>
                <w:color w:val="auto"/>
              </w:rPr>
            </w:pPr>
          </w:p>
        </w:tc>
        <w:tc>
          <w:tcPr>
            <w:tcW w:w="2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Pr>
          <w:p>
            <w:pPr>
              <w:spacing w:after="0"/>
              <w:rPr>
                <w:sz w:val="20"/>
                <w:szCs w:val="20"/>
                <w:color w:val="auto"/>
              </w:rPr>
            </w:pPr>
          </w:p>
        </w:tc>
      </w:tr>
      <w:tr>
        <w:trPr>
          <w:trHeight w:val="227"/>
        </w:trPr>
        <w:tc>
          <w:tcPr>
            <w:tcW w:w="57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47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19,435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80" w:type="dxa"/>
            <w:vAlign w:val="bottom"/>
          </w:tcPr>
          <w:p>
            <w:pPr>
              <w:spacing w:after="0"/>
              <w:rPr>
                <w:sz w:val="24"/>
                <w:szCs w:val="24"/>
                <w:color w:val="auto"/>
              </w:rPr>
            </w:pP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(6,944)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67,741</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37,491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146,701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122,528</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80" w:type="dxa"/>
            <w:vAlign w:val="bottom"/>
          </w:tcPr>
          <w:p>
            <w:pPr>
              <w:spacing w:after="0"/>
              <w:rPr>
                <w:sz w:val="19"/>
                <w:szCs w:val="19"/>
                <w:color w:val="auto"/>
              </w:rPr>
            </w:pP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(4,248)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14,091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50,591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80" w:type="dxa"/>
            <w:vAlign w:val="bottom"/>
          </w:tcPr>
          <w:p>
            <w:pPr>
              <w:spacing w:after="0"/>
              <w:rPr>
                <w:sz w:val="19"/>
                <w:szCs w:val="19"/>
                <w:color w:val="auto"/>
              </w:rPr>
            </w:pP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(11,293)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9,083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24,194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16,084</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44,570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46,559</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11,358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45,034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46,970</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2,264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33,626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25,173</w:t>
            </w:r>
          </w:p>
        </w:tc>
      </w:tr>
      <w:tr>
        <w:trPr>
          <w:trHeight w:val="223"/>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85,447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80,700</w:t>
            </w: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329,175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301,964</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104,882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100,534</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322,231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369,705</w:t>
            </w:r>
          </w:p>
        </w:tc>
      </w:tr>
    </w:tbl>
    <w:p>
      <w:pPr>
        <w:sectPr>
          <w:pgSz w:w="11900" w:h="16838" w:orient="portrait"/>
          <w:cols w:equalWidth="0" w:num="1">
            <w:col w:w="11240"/>
          </w:cols>
          <w:pgMar w:left="320" w:top="89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RECONCILIATION OF NON-GAAP ADJUSTMENTS - GAAP NET INCOME FROM CONTINUING OPERATIONS TO MEASURES OF</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ADJUSTED NET INCOME AND ADJUSTED 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ectPr>
          <w:pgSz w:w="11900" w:h="16838" w:orient="portrait"/>
          <w:cols w:equalWidth="0" w:num="1">
            <w:col w:w="11240"/>
          </w:cols>
          <w:pgMar w:left="320" w:top="891" w:right="339" w:bottom="1440" w:gutter="0" w:footer="0" w:header="0"/>
        </w:sectPr>
      </w:pPr>
    </w:p>
    <w:p>
      <w:pPr>
        <w:spacing w:after="0" w:line="38"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644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13335</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0" w:lineRule="exact"/>
        <w:rPr>
          <w:sz w:val="20"/>
          <w:szCs w:val="20"/>
          <w:color w:val="auto"/>
        </w:rPr>
      </w:pPr>
    </w:p>
    <w:p>
      <w:pPr>
        <w:ind w:left="6620"/>
        <w:spacing w:after="0"/>
        <w:tabs>
          <w:tab w:leader="none" w:pos="792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1508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Twelve Months Ended</w:t>
      </w:r>
    </w:p>
    <w:p>
      <w:pPr>
        <w:jc w:val="center"/>
        <w:ind w:right="34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13335</wp:posOffset>
            </wp:positionV>
            <wp:extent cx="1517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17145</wp:posOffset>
            </wp:positionV>
            <wp:extent cx="1517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040"/>
          </w:cols>
          <w:pgMar w:left="320" w:top="891" w:right="339" w:bottom="1440" w:gutter="0" w:footer="0" w:header="0"/>
          <w:type w:val="continuous"/>
        </w:sectPr>
      </w:pP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19,435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67,741</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9,083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24,194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16,084</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33,626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9,461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44,570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46,559</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11,358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45,034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46,970</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26,557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105,252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82,823</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(4,902)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(48,792)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(37,573)</w:t>
            </w:r>
          </w:p>
        </w:tc>
      </w:tr>
      <w:tr>
        <w:trPr>
          <w:trHeight w:val="218"/>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53,821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203,884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180,036</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73,256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69,098</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196,940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247,777</w:t>
            </w:r>
          </w:p>
        </w:tc>
      </w:tr>
      <w:tr>
        <w:trPr>
          <w:trHeight w:val="48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0.97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2.56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8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76,419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77,079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91"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FFFFFF"/>
              </w:rPr>
              <w:t>825,563</w:t>
            </w:r>
          </w:p>
        </w:tc>
        <w:tc>
          <w:tcPr>
            <w:tcW w:w="2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6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w:t>
            </w:r>
          </w:p>
        </w:tc>
        <w:tc>
          <w:tcPr>
            <w:tcW w:w="2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FFFFFF"/>
              </w:rPr>
              <w:t>14,531</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42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6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272,370</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259,327</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429,090</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389,608</w:t>
            </w:r>
          </w:p>
        </w:tc>
        <w:tc>
          <w:tcPr>
            <w:tcW w:w="0" w:type="dxa"/>
            <w:vAlign w:val="bottom"/>
          </w:tcPr>
          <w:p>
            <w:pPr>
              <w:spacing w:after="0"/>
              <w:rPr>
                <w:sz w:val="1"/>
                <w:szCs w:val="1"/>
                <w:color w:val="auto"/>
              </w:rPr>
            </w:pPr>
          </w:p>
        </w:tc>
      </w:tr>
      <w:tr>
        <w:trPr>
          <w:trHeight w:val="4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20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1,121,823</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840,094</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securities</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44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1,545,280</w:t>
            </w: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Twelve Months Ending December 31,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129,382</w:t>
            </w:r>
          </w:p>
        </w:tc>
        <w:tc>
          <w:tcPr>
            <w:tcW w:w="1460" w:type="dxa"/>
            <w:vAlign w:val="bottom"/>
          </w:tcPr>
          <w:p>
            <w:pPr>
              <w:jc w:val="right"/>
              <w:ind w:right="125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139,955</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(390,808)</w:t>
            </w: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(94,178)</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by financing activities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237,863</w:t>
            </w: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(229,925)</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0" w:type="dxa"/>
            <w:vAlign w:val="bottom"/>
          </w:tcPr>
          <w:p>
            <w:pPr>
              <w:spacing w:after="0"/>
              <w:rPr>
                <w:sz w:val="1"/>
                <w:szCs w:val="1"/>
                <w:color w:val="auto"/>
              </w:rPr>
            </w:pPr>
          </w:p>
        </w:tc>
      </w:tr>
      <w:tr>
        <w:trPr>
          <w:trHeight w:val="48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1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(180,259)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1" w:name="page22"/>
    <w:bookmarkEnd w:id="21"/>
    <w:p>
      <w:pPr>
        <w:jc w:val="center"/>
        <w:ind w:left="1020" w:right="96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ADJUSTED FREE CASH FLOW AND ADJUSTED FREE CASH FLOW CONVERSION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Three Months Ended December 31,</w:t>
      </w:r>
    </w:p>
    <w:p>
      <w:pPr>
        <w:spacing w:after="0" w:line="27" w:lineRule="exact"/>
        <w:rPr>
          <w:sz w:val="20"/>
          <w:szCs w:val="20"/>
          <w:color w:val="auto"/>
        </w:rPr>
      </w:pPr>
    </w:p>
    <w:p>
      <w:pPr>
        <w:ind w:left="8040"/>
        <w:spacing w:after="0"/>
        <w:tabs>
          <w:tab w:leader="none" w:pos="994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ectPr>
          <w:pgSz w:w="11900" w:h="16838" w:orient="portrait"/>
          <w:cols w:equalWidth="0" w:num="1">
            <w:col w:w="11180"/>
          </w:cols>
          <w:pgMar w:left="320" w:top="891" w:right="39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 Free Cash Flow</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Free Cash Flow Conversion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$50,746</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$58,746</w:t>
            </w:r>
          </w:p>
        </w:tc>
      </w:tr>
      <w:tr>
        <w:trPr>
          <w:trHeight w:val="488"/>
        </w:trPr>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(29,599)</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(24,563)</w:t>
            </w:r>
          </w:p>
        </w:tc>
      </w:tr>
      <w:tr>
        <w:trPr>
          <w:trHeight w:val="228"/>
        </w:trPr>
        <w:tc>
          <w:tcPr>
            <w:tcW w:w="540" w:type="dxa"/>
            <w:vAlign w:val="bottom"/>
          </w:tcPr>
          <w:p>
            <w:pPr>
              <w:spacing w:after="0"/>
              <w:rPr>
                <w:sz w:val="19"/>
                <w:szCs w:val="19"/>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$21,147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$34,183</w:t>
            </w:r>
          </w:p>
        </w:tc>
      </w:tr>
      <w:tr>
        <w:trPr>
          <w:trHeight w:val="495"/>
        </w:trPr>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73,256</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69,098</w:t>
            </w:r>
          </w:p>
        </w:tc>
      </w:tr>
      <w:tr>
        <w:trPr>
          <w:trHeight w:val="228"/>
        </w:trPr>
        <w:tc>
          <w:tcPr>
            <w:tcW w:w="540" w:type="dxa"/>
            <w:vAlign w:val="bottom"/>
          </w:tcPr>
          <w:p>
            <w:pPr>
              <w:spacing w:after="0"/>
              <w:rPr>
                <w:sz w:val="19"/>
                <w:szCs w:val="19"/>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28.8 %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r>
    </w:tbl>
    <w:p>
      <w:pPr>
        <w:spacing w:after="0" w:line="200" w:lineRule="exact"/>
        <w:rPr>
          <w:sz w:val="20"/>
          <w:szCs w:val="20"/>
          <w:color w:val="auto"/>
        </w:rPr>
      </w:pPr>
    </w:p>
    <w:p>
      <w:pPr>
        <w:sectPr>
          <w:pgSz w:w="11900" w:h="16838" w:orient="portrait"/>
          <w:cols w:equalWidth="0" w:num="2">
            <w:col w:w="6620" w:space="720"/>
            <w:col w:w="3840"/>
          </w:cols>
          <w:pgMar w:left="320" w:top="891" w:right="399" w:bottom="1440" w:gutter="0" w:footer="0" w:header="0"/>
          <w:type w:val="continuous"/>
        </w:sectPr>
      </w:pPr>
    </w:p>
    <w:p>
      <w:pPr>
        <w:spacing w:after="0" w:line="33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Twelve Months Ending December 31,</w:t>
      </w:r>
    </w:p>
    <w:p>
      <w:pPr>
        <w:spacing w:after="0" w:line="39" w:lineRule="exact"/>
        <w:rPr>
          <w:sz w:val="20"/>
          <w:szCs w:val="20"/>
          <w:color w:val="auto"/>
        </w:rPr>
      </w:pPr>
    </w:p>
    <w:p>
      <w:pPr>
        <w:ind w:left="8040"/>
        <w:spacing w:after="0"/>
        <w:tabs>
          <w:tab w:leader="none" w:pos="994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ectPr>
          <w:pgSz w:w="11900" w:h="16838" w:orient="portrait"/>
          <w:cols w:equalWidth="0" w:num="1">
            <w:col w:w="11180"/>
          </w:cols>
          <w:pgMar w:left="320" w:top="891" w:right="39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 Free Cash Flow</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Free Cash Flow Conversion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$129,382</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$139,955</w:t>
            </w:r>
          </w:p>
        </w:tc>
      </w:tr>
      <w:tr>
        <w:trPr>
          <w:trHeight w:val="488"/>
        </w:trPr>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(104,418)</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(66,865)</w:t>
            </w:r>
          </w:p>
        </w:tc>
      </w:tr>
      <w:tr>
        <w:trPr>
          <w:trHeight w:val="228"/>
        </w:trPr>
        <w:tc>
          <w:tcPr>
            <w:tcW w:w="500" w:type="dxa"/>
            <w:vAlign w:val="bottom"/>
          </w:tcPr>
          <w:p>
            <w:pPr>
              <w:spacing w:after="0"/>
              <w:rPr>
                <w:sz w:val="19"/>
                <w:szCs w:val="19"/>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$24,964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$73,090</w:t>
            </w:r>
          </w:p>
        </w:tc>
      </w:tr>
      <w:tr>
        <w:trPr>
          <w:trHeight w:val="495"/>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196,940</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247,777</w:t>
            </w:r>
          </w:p>
        </w:tc>
      </w:tr>
      <w:tr>
        <w:trPr>
          <w:trHeight w:val="228"/>
        </w:trPr>
        <w:tc>
          <w:tcPr>
            <w:tcW w:w="500" w:type="dxa"/>
            <w:vAlign w:val="bottom"/>
          </w:tcPr>
          <w:p>
            <w:pPr>
              <w:spacing w:after="0"/>
              <w:rPr>
                <w:sz w:val="19"/>
                <w:szCs w:val="19"/>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12.7 %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r>
    </w:tbl>
    <w:p>
      <w:pPr>
        <w:spacing w:after="0" w:line="200" w:lineRule="exact"/>
        <w:rPr>
          <w:sz w:val="20"/>
          <w:szCs w:val="20"/>
          <w:color w:val="auto"/>
        </w:rPr>
      </w:pPr>
    </w:p>
    <w:p>
      <w:pPr>
        <w:sectPr>
          <w:pgSz w:w="11900" w:h="16838" w:orient="portrait"/>
          <w:cols w:equalWidth="0" w:num="2">
            <w:col w:w="6620" w:space="720"/>
            <w:col w:w="3840"/>
          </w:cols>
          <w:pgMar w:left="320" w:top="89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8"/>
        <w:spacing w:after="0" w:line="26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and twelve months ended December 31, 2023 and 2024 are reconciled above. Adjusted net income for remaining quarters in the trailing twelve months calculation have been previously reconciled and are publicly available in the Quarterly Earnings Call Presentations on our website at investor.integralife.com.</w:t>
      </w: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a useful metric in evaluating the significance of the cash special charges in its adjusted earnings measures.</w:t>
      </w:r>
    </w:p>
    <w:p>
      <w:pPr>
        <w:sectPr>
          <w:pgSz w:w="11900" w:h="16838" w:orient="portrait"/>
          <w:cols w:equalWidth="0" w:num="1">
            <w:col w:w="11180"/>
          </w:cols>
          <w:pgMar w:left="320" w:top="891" w:right="399" w:bottom="1440" w:gutter="0" w:footer="0" w:header="0"/>
          <w:type w:val="continuous"/>
        </w:sectPr>
      </w:pPr>
    </w:p>
    <w:bookmarkStart w:id="22" w:name="page23"/>
    <w:bookmarkEnd w:id="22"/>
    <w:p>
      <w:pPr>
        <w:jc w:val="center"/>
        <w:ind w:right="-19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1,087,917</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825,563</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1,200,104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40" w:top="137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3352255A"/>
    <w:multiLevelType w:val="hybridMultilevel"/>
    <w:lvl w:ilvl="0">
      <w:lvlJc w:val="left"/>
      <w:lvlText w:val="(%1)"/>
      <w:numFmt w:val="decimal"/>
      <w:start w:val="609"/>
    </w:lvl>
  </w:abstractNum>
  <w:abstractNum w:abstractNumId="10">
    <w:nsid w:val="109CF92E"/>
    <w:multiLevelType w:val="hybridMultilevel"/>
    <w:lvl w:ilvl="0">
      <w:lvlJc w:val="left"/>
      <w:lvlText w:val="(%1)"/>
      <w:numFmt w:val="decimal"/>
      <w:start w:val="609"/>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2025-02-25T05:30:49Z</dcterms:created>
  <dcterms:modified xsi:type="dcterms:W3CDTF">2025-02-25T05:30:49Z</dcterms:modified>
</cp:coreProperties>
</file>