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5, 2026</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5, 2026, Integra LifeSciences Holdings Corporation (the “Company”) issued a press release announcing financial results for the quarter ended March 31, 2026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for the quarters ended March 31, 2026 and 2025, GAAP net income to adjusted earnings before interest, taxes, depreciation and amortization (“EBITDA”) for the quarters ended March 31, 2026 and 2025, GAAP net income to adjusted net income for the quarters ended March 31, 2026 and 2025, GAAP gross profits to adjusted gross profits for the quarters ended March 31, 2026 and 2025, GAAP gross margin to adjusted gross margin for the quarters ended March 31, 2026 and 2025, GAAP earnings per diluted share to adjusted earnings per diluted share for the quarters ended March 31, 2026 and 2025, GAAP total debt to net debt for the quarters ended March 31, 2026 and December 31, 2025, and GAAP operating cash flow to free cash flow and adjusted free cash flow conversion used by management for the quarters and twelve months ended March 31, 2026 and 2025.</w:t>
      </w:r>
    </w:p>
    <w:p>
      <w:pPr>
        <w:spacing w:after="0" w:line="2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organic revenues and adjusted earnings per diluted share but did not provide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Adjusted Financial Measures</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our GAAP results, we provide certain non-GAAP measures, including organic revenues, adjusted EBITDA, adjusted net income, adjusted gross profit, adjusted gross margin, adjusted earnings per diluted share, net debt, free cash flow and adjusted free cash flow conversion.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(vi) income tax impact from adjustments; and</w:t>
      </w:r>
    </w:p>
    <w:p>
      <w:pPr>
        <w:spacing w:after="0" w:line="4" w:lineRule="exact"/>
        <w:rPr>
          <w:sz w:val="20"/>
          <w:szCs w:val="20"/>
          <w:color w:val="auto"/>
        </w:rPr>
      </w:pPr>
    </w:p>
    <w:p>
      <w:pPr>
        <w:jc w:val="both"/>
        <w:ind w:firstLine="8"/>
        <w:spacing w:after="0" w:line="251" w:lineRule="auto"/>
        <w:tabs>
          <w:tab w:leader="none" w:pos="37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believes that the presentation of organic revenues and the various adjusted EBITDA, adjusted net income, adjusted gross profit, adjusted gross margin, adjusted earnings per diluted share, net debt, free cash flow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adjusted free cash flow conversion measures provides important supplemental information to management and investors regarding financial and business trends relating to the Company's financial condition and results of operations. Management uses non-GAAP financial measures in the form of organic revenues, adjusted EBITDA, adjusted net income, adjusted gross profit, adjusted gross margin,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Organic revenues, adjusted EBITDA, adjusted net income, adjusted gross profit, adjusted gross margin, adjusted earnings per diluted share, net debt, free cash flow and adjusted free cash flow conversion are significant measures used by management for purposes of:</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managing and benchmarking the operating performance of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under bonus or other incentive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comparability from period to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performance with internal forecasts and targeted business models;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valuing potential acquisition candidates.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measure of organic revenues that we report reflects the change in total revenues for the quarter ended March 31, 2026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of adjusted net income and adjusted gross profit reflect GAAP net income and GAAP gross profit, respectively, each adjusted for one or more of the following items, as applicable:</w:t>
      </w:r>
    </w:p>
    <w:p>
      <w:pPr>
        <w:spacing w:after="0" w:line="297" w:lineRule="exact"/>
        <w:rPr>
          <w:sz w:val="20"/>
          <w:szCs w:val="20"/>
          <w:color w:val="auto"/>
        </w:rPr>
      </w:pPr>
    </w:p>
    <w:p>
      <w:pPr>
        <w:jc w:val="both"/>
        <w:ind w:left="66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Structural optimization charges.</w:t>
      </w:r>
      <w:r>
        <w:rPr>
          <w:rFonts w:ascii="Times New Roman" w:cs="Times New Roman" w:eastAsia="Times New Roman" w:hAnsi="Times New Roman"/>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divestiture and integration-related charges.</w:t>
      </w:r>
      <w:r>
        <w:rPr>
          <w:rFonts w:ascii="Times New Roman" w:cs="Times New Roman" w:eastAsia="Times New Roman" w:hAnsi="Times New Roman"/>
          <w:sz w:val="18"/>
          <w:szCs w:val="18"/>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spacing w:after="0" w:line="72"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Medical Device Regulation charges</w:t>
      </w:r>
      <w:r>
        <w:rPr>
          <w:rFonts w:ascii="Times New Roman" w:cs="Times New Roman" w:eastAsia="Times New Roman" w:hAnsi="Times New Roman"/>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Boston Recall/Braintree transition charges</w:t>
      </w:r>
      <w:r>
        <w:rPr>
          <w:rFonts w:ascii="Times New Roman" w:cs="Times New Roman" w:eastAsia="Times New Roman" w:hAnsi="Times New Roman"/>
          <w:sz w:val="18"/>
          <w:szCs w:val="18"/>
          <w:color w:val="auto"/>
        </w:rPr>
        <w:t>. These charges represent costs, including inventory write-offs, idle capacity charges and charges related to the transition of Boston-related manufacturing operations to the Company’s Braintree, Massachusetts facility, incurred in connection with the recall. Management excludes this item when evaluating the Company’s operating performance because of the infrequent and/or large scale nature of these activities.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asset amortization expense.</w:t>
      </w:r>
      <w:r>
        <w:rPr>
          <w:rFonts w:ascii="Times New Roman" w:cs="Times New Roman" w:eastAsia="Times New Roman" w:hAnsi="Times New Roman"/>
          <w:sz w:val="18"/>
          <w:szCs w:val="18"/>
          <w:color w:val="auto"/>
        </w:rPr>
        <w:t xml:space="preserve"> Management excludes this item when evaluating the Company's operating performance because it is a non-cash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impact from adjustments.</w:t>
      </w:r>
      <w:r>
        <w:rPr>
          <w:rFonts w:ascii="Times New Roman" w:cs="Times New Roman" w:eastAsia="Times New Roman" w:hAnsi="Times New Roman"/>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Impairment charges.</w:t>
      </w:r>
      <w:r>
        <w:rPr>
          <w:rFonts w:ascii="Times New Roman" w:cs="Times New Roman" w:eastAsia="Times New Roman" w:hAnsi="Times New Roman"/>
          <w:sz w:val="18"/>
          <w:szCs w:val="18"/>
          <w:color w:val="auto"/>
        </w:rPr>
        <w:t xml:space="preserve"> These charges represent the impairment of goodwill due to the increased risk to the Company’s future results of operations from a number of factors, including recent tariff changes that have created broad economic uncertainty and the impact of quality, operational, and supply issues that have had a negative impact on the Company’s market capitalization. Management excludes this item when evaluating the Company's operating performance because it is a non-cash expense.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organic revenues and adjusted earnings per diluted share but did not provide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 Specifically, the actual impact of changes in foreign exchange rates and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 unavailable information could have a material impact on GAAP results.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Organic revenues, adjusted EBITDA, adjusted net income, adjusted gross profit, adjusted gross margin,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219"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adjustments to GAAP net income have been tax affected at the Company's actual tax rates. Depending on the nature of the adjustments and the tax treatment of the underlying items, the effective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rate related to adjusted net income could differ significantly from the effective tax rate related to GAAP net income.</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financial tables portion of the Press Release, the Company has included reconciliations of GAAP reported revenues to organic revenues, GAAP net income to adjusted EBITDA, GAAP net income to adjusted net income, GAAP gross profit to adjusted gross profit, GAAP gross margin to adjusted gross margin, and GAAP earnings per diluted share to adjusted earnings per diluted share each for the quarters ended March 31, 2026 and 2025. The Company has included reconciliations of GAAP operating cash flow to free cash flow and adjusted free cash flow conversion for the quarters and twelve months ended March 31, 2026 and 2025. The Company has included a reconciliation of GAAP total debt to net debt for the quarters ended March 31, 2026 and December 31,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with attachments, dated May 5, 2026, issued by Integra LifeSciences Holdings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/s/ Lea Knight</w:t>
            </w:r>
          </w:p>
        </w:tc>
        <w:tc>
          <w:tcPr>
            <w:tcW w:w="2760" w:type="dxa"/>
            <w:vAlign w:val="bottom"/>
          </w:tcPr>
          <w:p>
            <w:pPr>
              <w:spacing w:after="0"/>
              <w:rPr>
                <w:sz w:val="24"/>
                <w:szCs w:val="24"/>
                <w:color w:val="auto"/>
              </w:rPr>
            </w:pPr>
          </w:p>
        </w:tc>
      </w:tr>
      <w:tr>
        <w:trPr>
          <w:trHeight w:val="245"/>
        </w:trPr>
        <w:tc>
          <w:tcPr>
            <w:tcW w:w="30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3040" w:type="dxa"/>
            <w:vAlign w:val="bottom"/>
          </w:tcPr>
          <w:p>
            <w:pPr>
              <w:spacing w:after="0"/>
              <w:rPr>
                <w:sz w:val="20"/>
                <w:szCs w:val="20"/>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i w:val="1"/>
          <w:i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Integra LifeSciences Reports First Quarter 2026 Financial Results</w:t>
      </w:r>
    </w:p>
    <w:p>
      <w:pPr>
        <w:spacing w:after="0" w:line="245" w:lineRule="exact"/>
        <w:rPr>
          <w:sz w:val="20"/>
          <w:szCs w:val="20"/>
          <w:color w:val="auto"/>
        </w:rPr>
      </w:pPr>
    </w:p>
    <w:p>
      <w:pPr>
        <w:ind w:right="740"/>
        <w:spacing w:after="0" w:line="255" w:lineRule="auto"/>
        <w:rPr>
          <w:sz w:val="20"/>
          <w:szCs w:val="20"/>
          <w:color w:val="auto"/>
        </w:rPr>
      </w:pPr>
      <w:r>
        <w:rPr>
          <w:rFonts w:ascii="Times New Roman" w:cs="Times New Roman" w:eastAsia="Times New Roman" w:hAnsi="Times New Roman"/>
          <w:sz w:val="20"/>
          <w:szCs w:val="20"/>
          <w:color w:val="auto"/>
        </w:rPr>
        <w:t xml:space="preserve">PRINCETON, N.J., May 5, 2026 - </w:t>
      </w:r>
      <w:r>
        <w:rPr>
          <w:rFonts w:ascii="Times New Roman" w:cs="Times New Roman" w:eastAsia="Times New Roman" w:hAnsi="Times New Roman"/>
          <w:sz w:val="20"/>
          <w:szCs w:val="20"/>
          <w:u w:val="single" w:color="auto"/>
          <w:color w:val="0000FF"/>
        </w:rPr>
        <w:t>Integra LifeSciences Holdings Corporation</w:t>
      </w:r>
      <w:r>
        <w:rPr>
          <w:rFonts w:ascii="Times New Roman" w:cs="Times New Roman" w:eastAsia="Times New Roman" w:hAnsi="Times New Roman"/>
          <w:sz w:val="20"/>
          <w:szCs w:val="20"/>
          <w:color w:val="auto"/>
        </w:rPr>
        <w:t xml:space="preserve"> (Nasdaq: IART), a leading global medical technology company, today reported financial results for the first quarter ending March 31, 2026.</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Highlights</w:t>
      </w:r>
    </w:p>
    <w:p>
      <w:pPr>
        <w:spacing w:after="0" w:line="200" w:lineRule="exact"/>
        <w:rPr>
          <w:sz w:val="20"/>
          <w:szCs w:val="20"/>
          <w:color w:val="auto"/>
        </w:rPr>
      </w:pPr>
    </w:p>
    <w:p>
      <w:pPr>
        <w:spacing w:after="0" w:line="23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quarter revenues of $391.9 million increased 2.4% on a reported basis and 1.3% on an organic basis compared to the prior year.</w:t>
      </w:r>
    </w:p>
    <w:p>
      <w:pPr>
        <w:spacing w:after="0" w:line="25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First quarter GAAP earnings per diluted share of $(0.06), compared to $(0.33) in the prior year.</w:t>
      </w:r>
    </w:p>
    <w:p>
      <w:pPr>
        <w:spacing w:after="0" w:line="228"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diluted share of $0.54, compared to $0.41 in the prior year.</w:t>
      </w:r>
    </w:p>
    <w:p>
      <w:pPr>
        <w:spacing w:after="0" w:line="256" w:lineRule="exact"/>
        <w:rPr>
          <w:rFonts w:ascii="Times New Roman" w:cs="Times New Roman" w:eastAsia="Times New Roman" w:hAnsi="Times New Roman"/>
          <w:sz w:val="20"/>
          <w:szCs w:val="20"/>
          <w:color w:val="auto"/>
        </w:rPr>
      </w:pPr>
    </w:p>
    <w:p>
      <w:pPr>
        <w:ind w:left="660" w:right="580" w:hanging="328"/>
        <w:spacing w:after="0" w:line="245"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Reaffirming 2026 full year revenue guidance of $1.662 billion to $1.702 billion and updating 2026 adjusted earnings per share guidance from a range of $2.30 to $2.40 to a range of $2.40 to $2.50.</w:t>
      </w:r>
    </w:p>
    <w:p>
      <w:pPr>
        <w:spacing w:after="0" w:line="195" w:lineRule="exact"/>
        <w:rPr>
          <w:rFonts w:ascii="Arial" w:cs="Arial" w:eastAsia="Arial" w:hAnsi="Arial"/>
          <w:sz w:val="22"/>
          <w:szCs w:val="22"/>
          <w:color w:val="auto"/>
        </w:rPr>
      </w:pPr>
    </w:p>
    <w:p>
      <w:pPr>
        <w:ind w:left="700" w:hanging="368"/>
        <w:spacing w:after="0"/>
        <w:tabs>
          <w:tab w:leader="none" w:pos="700" w:val="left"/>
        </w:tabs>
        <w:numPr>
          <w:ilvl w:val="0"/>
          <w:numId w:val="7"/>
        </w:numPr>
        <w:rPr>
          <w:rFonts w:ascii="Times New Roman" w:cs="Times New Roman" w:eastAsia="Times New Roman" w:hAnsi="Times New Roman"/>
          <w:sz w:val="20"/>
          <w:szCs w:val="20"/>
          <w:color w:val="auto"/>
          <w:highlight w:val="yellow"/>
        </w:rPr>
      </w:pPr>
      <w:r>
        <w:rPr>
          <w:rFonts w:ascii="Times New Roman" w:cs="Times New Roman" w:eastAsia="Times New Roman" w:hAnsi="Times New Roman"/>
          <w:sz w:val="20"/>
          <w:szCs w:val="20"/>
          <w:color w:val="auto"/>
          <w:highlight w:val="yellow"/>
        </w:rPr>
        <w:t>HOLD</w:t>
      </w:r>
    </w:p>
    <w:p>
      <w:pPr>
        <w:spacing w:after="0" w:line="373" w:lineRule="exact"/>
        <w:rPr>
          <w:sz w:val="20"/>
          <w:szCs w:val="20"/>
          <w:color w:val="auto"/>
        </w:rPr>
      </w:pPr>
    </w:p>
    <w:p>
      <w:pPr>
        <w:ind w:right="40"/>
        <w:spacing w:after="0" w:line="250" w:lineRule="exact"/>
        <w:rPr>
          <w:sz w:val="20"/>
          <w:szCs w:val="20"/>
          <w:color w:val="auto"/>
        </w:rPr>
      </w:pPr>
      <w:r>
        <w:rPr>
          <w:rFonts w:ascii="Times New Roman" w:cs="Times New Roman" w:eastAsia="Times New Roman" w:hAnsi="Times New Roman"/>
          <w:sz w:val="20"/>
          <w:szCs w:val="20"/>
          <w:color w:val="auto"/>
        </w:rPr>
        <w:t>“Our first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quarter results reflected solid product demand and the continued impact of our transformation efforts. We are seeing improving performance across the organization as operational rigor and improved execution take hold,” said Mojdeh Poul, president and chief executive officer.</w:t>
      </w:r>
    </w:p>
    <w:p>
      <w:pPr>
        <w:spacing w:after="0" w:line="202"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“During the quarter, we continued to drive improved supply reliability, supporting strong growth in Integra Skin and our return to market with PriMatrix® and Durepair®. We made meaningful progress at our state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the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art Braintree manufacturing facility and remain on track to begin production of SurgiMend® by the end of June to support a fourth quarter launch. Building on these efforts, we are focused on maintaining disciplined execution and remain confident in our ability to deliver our full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commitments to our customers, patients, and shareholders."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Consolidated Performance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reported revenues of $391.9 million increased 2.4% on a reported basis and 1.3% on an organic basis compared to the prior year.</w:t>
      </w:r>
    </w:p>
    <w:p>
      <w:pPr>
        <w:spacing w:after="0" w:line="18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The Company reported GAAP gross margin of 55.4%, compared to 50.8% in the first quarter of 2025. Adjusted gross margin was 64.1%, compared to 62.2% in the prior year.</w:t>
      </w:r>
    </w:p>
    <w:p>
      <w:pPr>
        <w:spacing w:after="0" w:line="132"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Adjusted EBITDA for the first quarter of 2026 was $76.2 million, or 19.4% of revenue, compared to $63.6 million, or 16.6% of revenue, in the prior year.</w:t>
      </w:r>
    </w:p>
    <w:p>
      <w:pPr>
        <w:spacing w:after="0" w:line="119"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20"/>
          <w:szCs w:val="20"/>
          <w:color w:val="auto"/>
        </w:rPr>
        <w:t>The Company reported a GAAP net loss of $(4.6) million, or $(0.06) per diluted share, in the first quarter of 2026, compared to GAAP net loss of $(25.3) million, or $(0.33) per diluted share, in the prior year.</w:t>
      </w:r>
    </w:p>
    <w:p>
      <w:pPr>
        <w:spacing w:after="0" w:line="2" w:lineRule="exact"/>
        <w:rPr>
          <w:sz w:val="20"/>
          <w:szCs w:val="20"/>
          <w:color w:val="auto"/>
        </w:rPr>
      </w:pPr>
    </w:p>
    <w:p>
      <w:pPr>
        <w:ind w:right="520"/>
        <w:spacing w:after="0" w:line="246" w:lineRule="auto"/>
        <w:rPr>
          <w:sz w:val="20"/>
          <w:szCs w:val="20"/>
          <w:color w:val="auto"/>
        </w:rPr>
      </w:pPr>
      <w:r>
        <w:rPr>
          <w:rFonts w:ascii="Times New Roman" w:cs="Times New Roman" w:eastAsia="Times New Roman" w:hAnsi="Times New Roman"/>
          <w:sz w:val="20"/>
          <w:szCs w:val="20"/>
          <w:color w:val="auto"/>
        </w:rPr>
        <w:t>Adjusted net income for the first quarter of 2026 was $41.6 million, or $0.54 per diluted share, compared to $31.7 million, or $0.41 per diluted share, in the prior year.</w:t>
      </w:r>
    </w:p>
    <w:p>
      <w:pPr>
        <w:sectPr>
          <w:pgSz w:w="11900" w:h="16838" w:orient="portrait"/>
          <w:cols w:equalWidth="0" w:num="1">
            <w:col w:w="11240"/>
          </w:cols>
          <w:pgMar w:left="320" w:top="87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First Quarter 2026 Segment Performance</w:t>
      </w:r>
    </w:p>
    <w:p>
      <w:pPr>
        <w:spacing w:after="0" w:line="19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Company is changing its segment names, with Codman Specialty Surgical renamed Specialty Surgery and Tissue Technologies renamed Tissue Reconstruction. Product brand names remain unchanged. The change to segment names has no financial impact.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Specialty Surgery (~70% of Revenues)</w:t>
      </w:r>
    </w:p>
    <w:p>
      <w:pPr>
        <w:spacing w:after="0" w:line="179" w:lineRule="exact"/>
        <w:rPr>
          <w:sz w:val="20"/>
          <w:szCs w:val="20"/>
          <w:color w:val="auto"/>
        </w:rPr>
      </w:pPr>
    </w:p>
    <w:p>
      <w:pPr>
        <w:ind w:left="660" w:right="320"/>
        <w:spacing w:after="0" w:line="269" w:lineRule="auto"/>
        <w:rPr>
          <w:sz w:val="20"/>
          <w:szCs w:val="20"/>
          <w:color w:val="auto"/>
        </w:rPr>
      </w:pPr>
      <w:r>
        <w:rPr>
          <w:rFonts w:ascii="Times New Roman" w:cs="Times New Roman" w:eastAsia="Times New Roman" w:hAnsi="Times New Roman"/>
          <w:sz w:val="20"/>
          <w:szCs w:val="20"/>
          <w:color w:val="auto"/>
        </w:rPr>
        <w:t>Total revenues were $283.1 million, representing reported growth of 0.9% and an organic decline of (0.6)% compared to the first quarter of 2025.</w:t>
      </w:r>
    </w:p>
    <w:p>
      <w:pPr>
        <w:spacing w:after="0" w:line="173"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Neuro increased 1.9% on an organic basis primarily driven by growth in Certas® Plus, CUSA® and Bactiseal®</w:t>
      </w:r>
    </w:p>
    <w:p>
      <w:pPr>
        <w:spacing w:after="0" w:line="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Instruments declined (7.7%) on an organic basis due to order timing</w:t>
      </w: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 sales declined (3.8)% as growth in MicroFrance® ENT instruments was offset by declines in other products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Tissue Reconstruction (~30% of Revenues)</w:t>
      </w:r>
    </w:p>
    <w:p>
      <w:pPr>
        <w:spacing w:after="0" w:line="233" w:lineRule="exact"/>
        <w:rPr>
          <w:sz w:val="20"/>
          <w:szCs w:val="20"/>
          <w:color w:val="auto"/>
        </w:rPr>
      </w:pPr>
    </w:p>
    <w:p>
      <w:pPr>
        <w:ind w:left="660" w:right="80"/>
        <w:spacing w:after="0" w:line="269" w:lineRule="auto"/>
        <w:rPr>
          <w:sz w:val="20"/>
          <w:szCs w:val="20"/>
          <w:color w:val="auto"/>
        </w:rPr>
      </w:pPr>
      <w:r>
        <w:rPr>
          <w:rFonts w:ascii="Times New Roman" w:cs="Times New Roman" w:eastAsia="Times New Roman" w:hAnsi="Times New Roman"/>
          <w:sz w:val="20"/>
          <w:szCs w:val="20"/>
          <w:color w:val="auto"/>
        </w:rPr>
        <w:t>Total revenues were $108.8 million, representing reported growth of 6.7% and organic growth of 6.4% compared to the first quarter of 2025. Key drivers for the quarter include:</w:t>
      </w:r>
    </w:p>
    <w:p>
      <w:pPr>
        <w:spacing w:after="0" w:line="186" w:lineRule="exact"/>
        <w:rPr>
          <w:sz w:val="20"/>
          <w:szCs w:val="20"/>
          <w:color w:val="auto"/>
        </w:rPr>
      </w:pPr>
    </w:p>
    <w:p>
      <w:pPr>
        <w:ind w:left="1300" w:right="660" w:hanging="320"/>
        <w:spacing w:after="0" w:line="242" w:lineRule="auto"/>
        <w:tabs>
          <w:tab w:leader="none" w:pos="129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Mid-single digit growth in wound reconstruction, driven by double-digit growth in Integra Skin, DuraSorb® and the relaunch of PriMatrix®, partially offset by MediHoney®</w:t>
      </w:r>
    </w:p>
    <w:p>
      <w:pPr>
        <w:ind w:left="1300" w:hanging="320"/>
        <w:spacing w:after="0" w:line="230" w:lineRule="auto"/>
        <w:tabs>
          <w:tab w:leader="none" w:pos="1300"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Sales in private label grew 7.1% primarily due to a favorable prior year comparable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Cash Flow and Capital Allocation</w:t>
      </w:r>
    </w:p>
    <w:p>
      <w:pPr>
        <w:spacing w:after="0" w:line="1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Company generated cash flow from operations of $9.8 million in the quarter. Net debt at the end of the quarter was $1.6 billion, and the consolidated total leverage ratio was 4.1x.</w:t>
      </w:r>
    </w:p>
    <w:p>
      <w:pPr>
        <w:spacing w:after="0" w:line="20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As of the end of the quarter, the Company had total liquidity of approximately $488 million, including $265.5 million in cash plus short-term investments and the remainder available under its revolving credit facility.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Revenue and Adjusted Earnings Per Share Guidance</w:t>
      </w:r>
    </w:p>
    <w:p>
      <w:pPr>
        <w:spacing w:after="0" w:line="23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9"/>
          <w:szCs w:val="19"/>
          <w:color w:val="auto"/>
        </w:rPr>
        <w:t>For the second quarter 2026, the Company expects reported revenues in the range of $410 million to $425 million, representing reported growth of (1.3%) to 2.3% and organic growth of (1.5%) to 2.1%. The Company expects adjusted EPS in a range of $0.44 to $0.52 per share.</w:t>
      </w:r>
    </w:p>
    <w:p>
      <w:pPr>
        <w:spacing w:after="0" w:line="17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For the full year 2026, the Company is reiterating its revenue guidance range to $1.662 billion to $1.702 billion. The revenue range represents reported growth of 1.6% to 4.1% and organic growth of 0.8% to 3.3%. The Company is updating its expected adjusted EPS to a range of $2.40 to $2.50 per share reflecting the first quarter benefits from the IEEPA tariffs.</w:t>
      </w:r>
    </w:p>
    <w:p>
      <w:pPr>
        <w:spacing w:after="0" w:line="19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Company’s organic sales growth guidance for the second quarter and the full year excludes acquisitions and divestitures, as well as the effects of foreign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Presentation Available Online</w:t>
      </w:r>
    </w:p>
    <w:p>
      <w:pPr>
        <w:sectPr>
          <w:pgSz w:w="11900" w:h="16838" w:orient="portrait"/>
          <w:cols w:equalWidth="0" w:num="1">
            <w:col w:w="11180"/>
          </w:cols>
          <w:pgMar w:left="320" w:top="1301" w:right="39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9"/>
          <w:szCs w:val="19"/>
          <w:color w:val="auto"/>
        </w:rPr>
        <w:t xml:space="preserve">Integra has scheduled a conference call for 8:30 a.m. ET on Thursday, May 5, 2026, to discuss first quarter 2026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at </w:t>
      </w:r>
      <w:r>
        <w:rPr>
          <w:rFonts w:ascii="Times New Roman" w:cs="Times New Roman" w:eastAsia="Times New Roman" w:hAnsi="Times New Roman"/>
          <w:sz w:val="19"/>
          <w:szCs w:val="19"/>
          <w:u w:val="single" w:color="auto"/>
          <w:color w:val="0000FF"/>
        </w:rPr>
        <w:t>investor.integralife.com.</w:t>
      </w:r>
    </w:p>
    <w:p>
      <w:pPr>
        <w:spacing w:after="0" w:line="17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 xml:space="preserve">A live webcast will be available on the Investors section of the Company’s website at investor.integralife.com. For those planning to participate on the call, register </w:t>
      </w:r>
      <w:r>
        <w:rPr>
          <w:rFonts w:ascii="Times New Roman" w:cs="Times New Roman" w:eastAsia="Times New Roman" w:hAnsi="Times New Roman"/>
          <w:sz w:val="20"/>
          <w:szCs w:val="20"/>
          <w:color w:val="3051F2"/>
        </w:rPr>
        <w:t>here</w:t>
      </w:r>
      <w:r>
        <w:rPr>
          <w:rFonts w:ascii="Times New Roman" w:cs="Times New Roman" w:eastAsia="Times New Roman" w:hAnsi="Times New Roman"/>
          <w:sz w:val="20"/>
          <w:szCs w:val="20"/>
          <w:color w:val="auto"/>
        </w:rPr>
        <w:t xml:space="preserve"> to receive dial-in details and an individual pin. While not required, it is recommended to join 10 minutes prior to the event’s start. A webcast replay of the conference call will be available on the Investors section of the company website following the call.</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Integra</w:t>
      </w:r>
    </w:p>
    <w:p>
      <w:pPr>
        <w:spacing w:after="0" w:line="26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Integra LifeSciences (Nasdaq: IART) is a global medical technology leader dedicated to restoring lives. We are advancing transformational care through impactful innovation in neurosurgery and tissue reconstruction, specialized fields that demand exceptional expertise and precision. Our portfolio of highly differentiated, gold-standard technologies are trusted by healthcare professionals to deliver life-saving care. For our latest news and information, visit www.integralife.com.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This news release contains forward-looking statements within the meaning of the Private Securities Litigation Reform Act of 1995 that involve risks and uncertainties and reflect the Company's judgment as of the date of this release. All statements, other than statements of historical fact, are statements that could be deemed forward-looking statements. Some of these forward-looking statements may contain words like “will,” “believe,” “may,” “could,” “would,” “might,” “possible,” “should,” “expect,” “intend,” "forecast," "guidance," “plan,” “anticipate,” "target," or “continue,” the negative of these words, other terms of similar meaning or they may use future dates. Forward-looking statements contained in this news release include, but are not limited to, statements concerning: future business, operational and financial performance and the Company’s expectations and plans with respect to market opportunity, business and operational performance, strategic initiatives, capabilities, resources, manufacturing capabilities, product development, product availability and regulatory approvals, including expectations regarding the Company’s compliance master plan to improve the Company's quality systems. It is important to note that the Company’s goals and expectations are not predictions of actual performance. Such forward-looking statements involve risks and uncertainties that could cause actual results to differ materially from predicted or expected results. Such risks and uncertainties include, but are not limited, to the following: increased geopolitical instability and</w:t>
      </w:r>
    </w:p>
    <w:p>
      <w:pPr>
        <w:spacing w:after="0" w:line="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other macroeconomic factors, including trade barriers and related restrictions (including tariffs and related countermeasures), armed conflict and acts of terrorism, geopolitical tension and instability, supply chain disruptions, and interest rate and foreign currency rate fluctuations, on the Company’s suppliers, vendors and customers and on the Company’s business and financial condition, results of operations and cash flows; the Company's ability to execute its financial, strategic and operating plans effectively; the Company's ability to remediate quality systems violations; difficulties in implementing the Company’s compliance master plan; difficulties or delays in obtaining and maintaining required regulatory approvals, including the costs thereof; potential difficulties, delays and disruptions in manufacturing, distribution or sale of products; the failure of the company’s suppliers, vendors, and other third parties to meet contractual, regulatory and other obligations; the anticipated development of markets the Company sells its products into and the success of the Company’s products in these markets; the Company’s ability to predict accurately the demand for its products and products under development; increasing industry competition; the coverage and reimbursement decisions of third-party payors; trends toward health care cost containment; difficulties in controlling expenses, including costs to procure and manufacture the Company’s products; the ability of the Company to successfully manage leadership and organizational changes and the impact of changes in management or staff levels; the impact of goodwill and intangible asset impairment charges if future operating results of acquired businesses are significantly less than the results anticipated at the time of the acquisitions, the geographic distribution of where the Company generates its taxable income; changes to applicable laws, regulations and enforcement guidance, including tax laws and global health care reforms; fluctuations in foreign currency exchange rates; the amount of our bank borrowings outstanding</w:t>
      </w:r>
    </w:p>
    <w:p>
      <w:pPr>
        <w:sectPr>
          <w:pgSz w:w="11900" w:h="16838" w:orient="portrait"/>
          <w:cols w:equalWidth="0" w:num="1">
            <w:col w:w="11200"/>
          </w:cols>
          <w:pgMar w:left="320" w:top="886" w:right="379" w:bottom="1440" w:gutter="0" w:footer="0" w:header="0"/>
        </w:sectPr>
      </w:pPr>
    </w:p>
    <w:bookmarkStart w:id="9" w:name="page10"/>
    <w:bookmarkEnd w:id="9"/>
    <w:p>
      <w:pPr>
        <w:spacing w:after="0" w:line="258" w:lineRule="auto"/>
        <w:rPr>
          <w:sz w:val="20"/>
          <w:szCs w:val="20"/>
          <w:color w:val="auto"/>
        </w:rPr>
      </w:pPr>
      <w:r>
        <w:rPr>
          <w:rFonts w:ascii="Times New Roman" w:cs="Times New Roman" w:eastAsia="Times New Roman" w:hAnsi="Times New Roman"/>
          <w:sz w:val="20"/>
          <w:szCs w:val="20"/>
          <w:color w:val="auto"/>
        </w:rPr>
        <w:t>and other factors influencing liquidity; breaches, failures or other disruptions of our or our vendors’ or customers’ information technology systems or products; and the economic, competitive, governmental, technological, and other risk factors and uncertainties identified under the heading “Risk Factors” included in Item 1A of Integra's Annual Report on Form 10-K for the year ended December 31, 2025 and information contained in subsequent filings with the Securities and Exchange Commission.</w:t>
      </w:r>
    </w:p>
    <w:p>
      <w:pPr>
        <w:spacing w:after="0" w:line="199"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9"/>
          <w:szCs w:val="19"/>
          <w:color w:val="auto"/>
        </w:rPr>
        <w:t>These forward-looking statements are made only as of the date hereof, and the Company undertakes no obligation to update or revise the forward-looking statements, whether as a result of new information, future events, or otherwise, except as otherwise required by law.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Adjusted Financial Measures</w:t>
      </w:r>
    </w:p>
    <w:p>
      <w:pPr>
        <w:spacing w:after="0" w:line="2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In addition to our GAAP results, we provide certain non-GAAP measures, including organic revenues, adjusted earnings before interest, taxes, depreciation and amortization (“EBITDA”), adjusted net income, adjusted gross margin, adjusted earnings per diluted share, and net debt.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(vi) income tax impact from adjustments; and (vii) impairment charges.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Reconciliations of GAAP revenues to organic revenues, GAAP net income to adjusted EBITDA, and adjusted net income, GAAP gross margin to adjusted gross margin, GAAP total debt to net debt, and GAAP earnings per diluted share to adjusted earnings per diluted share all for the quarters ended March 31, 2026 and 2025.</w:t>
      </w:r>
    </w:p>
    <w:p>
      <w:pPr>
        <w:spacing w:after="0" w:line="195"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The Company is providing forward-looking guidance regarding organic revenue and adjusted earnings per diluted share but is not providing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 Specifically, the actual impact of changes in foreign exchange rates and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 unavailable information could have a material impact on GAAP results.</w:t>
      </w:r>
    </w:p>
    <w:p>
      <w:pPr>
        <w:spacing w:after="0" w:line="21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w:t>
      </w:r>
    </w:p>
    <w:p>
      <w:pPr>
        <w:sectPr>
          <w:pgSz w:w="11900" w:h="16838" w:orient="portrait"/>
          <w:cols w:equalWidth="0" w:num="1">
            <w:col w:w="11240"/>
          </w:cols>
          <w:pgMar w:left="320" w:top="886" w:right="339" w:bottom="1440" w:gutter="0" w:footer="0" w:header="0"/>
        </w:sectPr>
      </w:pPr>
    </w:p>
    <w:bookmarkStart w:id="10" w:name="page11"/>
    <w:bookmarkEnd w:id="10"/>
    <w:p>
      <w:pPr>
        <w:spacing w:after="0" w:line="269" w:lineRule="auto"/>
        <w:rPr>
          <w:sz w:val="20"/>
          <w:szCs w:val="20"/>
          <w:color w:val="auto"/>
        </w:rPr>
      </w:pPr>
      <w:r>
        <w:rPr>
          <w:rFonts w:ascii="Times New Roman" w:cs="Times New Roman" w:eastAsia="Times New Roman" w:hAnsi="Times New Roman"/>
          <w:sz w:val="20"/>
          <w:szCs w:val="20"/>
          <w:color w:val="auto"/>
        </w:rPr>
        <w:t>Securities and Exchange Commission. This Current Report on Form 8-K is available on the SEC's website at www.sec.gov or on our website at www.integralife.com.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17"/>
          <w:szCs w:val="17"/>
          <w:b w:val="1"/>
          <w:bCs w:val="1"/>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Ward</w:t>
      </w:r>
    </w:p>
    <w:p>
      <w:pPr>
        <w:ind w:right="8960" w:firstLine="8"/>
        <w:spacing w:after="0" w:line="271" w:lineRule="auto"/>
        <w:tabs>
          <w:tab w:leader="none" w:pos="47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772-7736 chris.ward@integralife.com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Laurene Isip</w:t>
      </w:r>
    </w:p>
    <w:p>
      <w:pPr>
        <w:ind w:right="8860" w:firstLine="8"/>
        <w:spacing w:after="0" w:line="271" w:lineRule="auto"/>
        <w:tabs>
          <w:tab w:leader="none" w:pos="47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208-8121 laurene.isip@integralife.com</w:t>
      </w:r>
    </w:p>
    <w:p>
      <w:pPr>
        <w:sectPr>
          <w:pgSz w:w="11900" w:h="16838" w:orient="portrait"/>
          <w:cols w:equalWidth="0" w:num="1">
            <w:col w:w="11180"/>
          </w:cols>
          <w:pgMar w:left="320" w:top="900" w:right="399" w:bottom="1440" w:gutter="0" w:footer="0" w:header="0"/>
        </w:sectPr>
      </w:pPr>
    </w:p>
    <w:bookmarkStart w:id="11" w:name="page12"/>
    <w:bookmarkEnd w:id="11"/>
    <w:p>
      <w:pPr>
        <w:jc w:val="center"/>
        <w:ind w:right="-110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8"/>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391,918</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382,653</w:t>
            </w:r>
          </w:p>
        </w:tc>
        <w:tc>
          <w:tcPr>
            <w:tcW w:w="0" w:type="dxa"/>
            <w:vAlign w:val="bottom"/>
          </w:tcPr>
          <w:p>
            <w:pPr>
              <w:spacing w:after="0"/>
              <w:rPr>
                <w:sz w:val="1"/>
                <w:szCs w:val="1"/>
                <w:color w:val="auto"/>
              </w:rPr>
            </w:pPr>
          </w:p>
        </w:tc>
      </w:tr>
      <w:tr>
        <w:trPr>
          <w:trHeight w:val="313"/>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174,936</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188,221</w:t>
            </w:r>
          </w:p>
        </w:tc>
        <w:tc>
          <w:tcPr>
            <w:tcW w:w="0" w:type="dxa"/>
            <w:vAlign w:val="bottom"/>
          </w:tcPr>
          <w:p>
            <w:pPr>
              <w:spacing w:after="0"/>
              <w:rPr>
                <w:sz w:val="1"/>
                <w:szCs w:val="1"/>
                <w:color w:val="auto"/>
              </w:rPr>
            </w:pPr>
          </w:p>
        </w:tc>
      </w:tr>
      <w:tr>
        <w:trPr>
          <w:trHeight w:val="229"/>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23,501</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0" w:type="dxa"/>
            <w:vAlign w:val="bottom"/>
          </w:tcPr>
          <w:p>
            <w:pPr>
              <w:spacing w:after="0"/>
              <w:rPr>
                <w:sz w:val="1"/>
                <w:szCs w:val="1"/>
                <w:color w:val="auto"/>
              </w:rPr>
            </w:pPr>
          </w:p>
        </w:tc>
      </w:tr>
      <w:tr>
        <w:trPr>
          <w:trHeight w:val="230"/>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178,235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181,497</w:t>
            </w:r>
          </w:p>
        </w:tc>
        <w:tc>
          <w:tcPr>
            <w:tcW w:w="0" w:type="dxa"/>
            <w:vAlign w:val="bottom"/>
          </w:tcPr>
          <w:p>
            <w:pPr>
              <w:spacing w:after="0"/>
              <w:rPr>
                <w:sz w:val="1"/>
                <w:szCs w:val="1"/>
                <w:color w:val="auto"/>
              </w:rPr>
            </w:pPr>
          </w:p>
        </w:tc>
      </w:tr>
      <w:tr>
        <w:trPr>
          <w:trHeight w:val="234"/>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3,776</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23"/>
        </w:trPr>
        <w:tc>
          <w:tcPr>
            <w:tcW w:w="6820" w:type="dxa"/>
            <w:vAlign w:val="bottom"/>
          </w:tcPr>
          <w:p>
            <w:pPr>
              <w:ind w:left="208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380,448</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398,150</w:t>
            </w:r>
          </w:p>
        </w:tc>
        <w:tc>
          <w:tcPr>
            <w:tcW w:w="0" w:type="dxa"/>
            <w:vAlign w:val="bottom"/>
          </w:tcPr>
          <w:p>
            <w:pPr>
              <w:spacing w:after="0"/>
              <w:rPr>
                <w:sz w:val="1"/>
                <w:szCs w:val="1"/>
                <w:color w:val="auto"/>
              </w:rPr>
            </w:pPr>
          </w:p>
        </w:tc>
      </w:tr>
      <w:tr>
        <w:trPr>
          <w:trHeight w:val="218"/>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40" w:type="dxa"/>
            <w:vAlign w:val="bottom"/>
          </w:tcPr>
          <w:p>
            <w:pPr>
              <w:spacing w:after="0"/>
              <w:rPr>
                <w:sz w:val="18"/>
                <w:szCs w:val="18"/>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11,470</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w:t>
            </w:r>
          </w:p>
        </w:tc>
        <w:tc>
          <w:tcPr>
            <w:tcW w:w="0" w:type="dxa"/>
            <w:vAlign w:val="bottom"/>
          </w:tcPr>
          <w:p>
            <w:pPr>
              <w:spacing w:after="0"/>
              <w:rPr>
                <w:sz w:val="1"/>
                <w:szCs w:val="1"/>
                <w:color w:val="auto"/>
              </w:rPr>
            </w:pPr>
          </w:p>
        </w:tc>
      </w:tr>
      <w:tr>
        <w:trPr>
          <w:trHeight w:val="229"/>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9"/>
                <w:szCs w:val="19"/>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4,106</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30"/>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9"/>
                <w:szCs w:val="19"/>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(22,465)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0" w:type="dxa"/>
            <w:vAlign w:val="bottom"/>
          </w:tcPr>
          <w:p>
            <w:pPr>
              <w:spacing w:after="0"/>
              <w:rPr>
                <w:sz w:val="1"/>
                <w:szCs w:val="1"/>
                <w:color w:val="auto"/>
              </w:rPr>
            </w:pPr>
          </w:p>
        </w:tc>
      </w:tr>
      <w:tr>
        <w:trPr>
          <w:trHeight w:val="234"/>
        </w:trPr>
        <w:tc>
          <w:tcPr>
            <w:tcW w:w="6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4,480</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8"/>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40" w:type="dxa"/>
            <w:vAlign w:val="bottom"/>
          </w:tcPr>
          <w:p>
            <w:pPr>
              <w:spacing w:after="0"/>
              <w:rPr>
                <w:sz w:val="18"/>
                <w:szCs w:val="18"/>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(2,409)</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0" w:type="dxa"/>
            <w:vAlign w:val="bottom"/>
          </w:tcPr>
          <w:p>
            <w:pPr>
              <w:spacing w:after="0"/>
              <w:rPr>
                <w:sz w:val="1"/>
                <w:szCs w:val="1"/>
                <w:color w:val="auto"/>
              </w:rPr>
            </w:pPr>
          </w:p>
        </w:tc>
      </w:tr>
      <w:tr>
        <w:trPr>
          <w:trHeight w:val="234"/>
        </w:trPr>
        <w:tc>
          <w:tcPr>
            <w:tcW w:w="6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color w:val="auto"/>
              </w:rPr>
              <w:t>2,208</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0" w:type="dxa"/>
            <w:vAlign w:val="bottom"/>
          </w:tcPr>
          <w:p>
            <w:pPr>
              <w:spacing w:after="0"/>
              <w:rPr>
                <w:sz w:val="1"/>
                <w:szCs w:val="1"/>
                <w:color w:val="auto"/>
              </w:rPr>
            </w:pPr>
          </w:p>
        </w:tc>
      </w:tr>
      <w:tr>
        <w:trPr>
          <w:trHeight w:val="223"/>
        </w:trPr>
        <w:tc>
          <w:tcPr>
            <w:tcW w:w="682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(4,617)</w:t>
            </w:r>
          </w:p>
        </w:tc>
        <w:tc>
          <w:tcPr>
            <w:tcW w:w="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6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82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480"/>
        </w:trPr>
        <w:tc>
          <w:tcPr>
            <w:tcW w:w="68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40" w:type="dxa"/>
            <w:vAlign w:val="bottom"/>
          </w:tcPr>
          <w:p>
            <w:pPr>
              <w:spacing w:after="0"/>
              <w:rPr>
                <w:sz w:val="24"/>
                <w:szCs w:val="24"/>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76,951</w:t>
            </w: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76,463</w:t>
            </w:r>
          </w:p>
        </w:tc>
        <w:tc>
          <w:tcPr>
            <w:tcW w:w="0" w:type="dxa"/>
            <w:vAlign w:val="bottom"/>
          </w:tcPr>
          <w:p>
            <w:pPr>
              <w:spacing w:after="0"/>
              <w:rPr>
                <w:sz w:val="1"/>
                <w:szCs w:val="1"/>
                <w:color w:val="auto"/>
              </w:rPr>
            </w:pPr>
          </w:p>
        </w:tc>
      </w:tr>
    </w:tbl>
    <w:p>
      <w:pPr>
        <w:sectPr>
          <w:pgSz w:w="11900" w:h="16838" w:orient="portrait"/>
          <w:cols w:equalWidth="0" w:num="1">
            <w:col w:w="10139"/>
          </w:cols>
          <w:pgMar w:left="320" w:top="89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for the three months ended March 31, 2026 and 2025 (amounts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Neurosurgery</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198,195</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190,912</w:t>
            </w: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47,233</w:t>
            </w:r>
          </w:p>
        </w:tc>
        <w:tc>
          <w:tcPr>
            <w:tcW w:w="10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50,950</w:t>
            </w: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ENT</w:t>
            </w:r>
          </w:p>
        </w:tc>
        <w:tc>
          <w:tcPr>
            <w:tcW w:w="1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37,707</w:t>
            </w: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38,802</w:t>
            </w: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Codman Specialty Surgical</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283,135</w:t>
            </w:r>
          </w:p>
        </w:tc>
        <w:tc>
          <w:tcPr>
            <w:tcW w:w="102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280,664</w:t>
            </w: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0.9%</w:t>
            </w:r>
          </w:p>
        </w:tc>
      </w:tr>
      <w:tr>
        <w:trPr>
          <w:trHeight w:val="38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Wound Reconstruction and Care</w:t>
            </w: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79,648</w:t>
            </w:r>
          </w:p>
        </w:tc>
        <w:tc>
          <w:tcPr>
            <w:tcW w:w="1020" w:type="dxa"/>
            <w:vAlign w:val="bottom"/>
          </w:tcPr>
          <w:p>
            <w:pPr>
              <w:spacing w:after="0"/>
              <w:rPr>
                <w:sz w:val="24"/>
                <w:szCs w:val="24"/>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74,779</w:t>
            </w: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1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27,210</w:t>
            </w: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Tissue Technologies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108,783</w:t>
            </w: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101,989</w:t>
            </w: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reported revenues</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391,918</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382,653</w:t>
            </w: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2.4%</w:t>
            </w:r>
          </w:p>
        </w:tc>
      </w:tr>
      <w:tr>
        <w:trPr>
          <w:trHeight w:val="21"/>
        </w:trPr>
        <w:tc>
          <w:tcPr>
            <w:tcW w:w="4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Impact of changes in currency exchange rates</w:t>
            </w:r>
          </w:p>
        </w:tc>
        <w:tc>
          <w:tcPr>
            <w:tcW w:w="1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spacing w:after="0"/>
              <w:rPr>
                <w:sz w:val="24"/>
                <w:szCs w:val="24"/>
                <w:color w:val="auto"/>
              </w:rPr>
            </w:pPr>
          </w:p>
        </w:tc>
      </w:tr>
      <w:tr>
        <w:trPr>
          <w:trHeight w:val="223"/>
        </w:trPr>
        <w:tc>
          <w:tcPr>
            <w:tcW w:w="446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Total organic revenues</w:t>
            </w:r>
            <w:r>
              <w:rPr>
                <w:rFonts w:ascii="Times New Roman" w:cs="Times New Roman" w:eastAsia="Times New Roman" w:hAnsi="Times New Roman"/>
                <w:sz w:val="23"/>
                <w:szCs w:val="23"/>
                <w:color w:val="auto"/>
                <w:vertAlign w:val="superscript"/>
              </w:rPr>
              <w:t>(1)</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387,467</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382,653</w:t>
            </w: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1.3%</w:t>
            </w:r>
          </w:p>
        </w:tc>
      </w:tr>
      <w:tr>
        <w:trPr>
          <w:trHeight w:val="21"/>
        </w:trPr>
        <w:tc>
          <w:tcPr>
            <w:tcW w:w="4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Organic revenues have been adjusted to exclude foreign currency (current period), acquisitions and to account for divested and discontinued products.</w:t>
      </w:r>
    </w:p>
    <w:p>
      <w:pPr>
        <w:sectPr>
          <w:pgSz w:w="11900" w:h="16838" w:orient="portrait"/>
          <w:cols w:equalWidth="0" w:num="1">
            <w:col w:w="10980"/>
          </w:cols>
          <w:pgMar w:left="320" w:top="891"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March 31, 2026</w:t>
      </w:r>
    </w:p>
    <w:p>
      <w:pPr>
        <w:spacing w:after="0" w:line="210"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2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Total Amount</w:t>
            </w:r>
          </w:p>
        </w:tc>
        <w:tc>
          <w:tcPr>
            <w:tcW w:w="10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COGS(a)</w:t>
            </w:r>
          </w:p>
        </w:tc>
        <w:tc>
          <w:tcPr>
            <w:tcW w:w="11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SG&amp;A(b)</w:t>
            </w:r>
          </w:p>
        </w:tc>
        <w:tc>
          <w:tcPr>
            <w:tcW w:w="9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R&amp;D(c)</w:t>
            </w: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Amort (d)</w:t>
            </w:r>
          </w:p>
        </w:tc>
        <w:tc>
          <w:tcPr>
            <w:tcW w:w="9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OI&amp;E(e)</w:t>
            </w:r>
          </w:p>
        </w:tc>
        <w:tc>
          <w:tcPr>
            <w:tcW w:w="114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Tax(f)</w:t>
            </w:r>
          </w:p>
        </w:tc>
      </w:tr>
      <w:tr>
        <w:trPr>
          <w:trHeight w:val="169"/>
        </w:trPr>
        <w:tc>
          <w:tcPr>
            <w:tcW w:w="3580" w:type="dxa"/>
            <w:vAlign w:val="bottom"/>
            <w:tcBorders>
              <w:lef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Acquisition, divestiture and integration-related</w:t>
            </w:r>
          </w:p>
        </w:tc>
        <w:tc>
          <w:tcPr>
            <w:tcW w:w="1280" w:type="dxa"/>
            <w:vAlign w:val="bottom"/>
          </w:tcPr>
          <w:p>
            <w:pPr>
              <w:ind w:left="200"/>
              <w:spacing w:after="0" w:line="169" w:lineRule="exact"/>
              <w:rPr>
                <w:sz w:val="20"/>
                <w:szCs w:val="20"/>
                <w:color w:val="auto"/>
              </w:rPr>
            </w:pPr>
            <w:r>
              <w:rPr>
                <w:rFonts w:ascii="Times New Roman" w:cs="Times New Roman" w:eastAsia="Times New Roman" w:hAnsi="Times New Roman"/>
                <w:sz w:val="18"/>
                <w:szCs w:val="18"/>
                <w:color w:val="auto"/>
              </w:rPr>
              <w:t>1,812</w:t>
            </w:r>
          </w:p>
        </w:tc>
        <w:tc>
          <w:tcPr>
            <w:tcW w:w="10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28</w:t>
            </w:r>
          </w:p>
        </w:tc>
        <w:tc>
          <w:tcPr>
            <w:tcW w:w="116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1,394</w:t>
            </w:r>
          </w:p>
        </w:tc>
        <w:tc>
          <w:tcPr>
            <w:tcW w:w="94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148</w:t>
            </w:r>
          </w:p>
        </w:tc>
        <w:tc>
          <w:tcPr>
            <w:tcW w:w="106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241</w:t>
            </w:r>
          </w:p>
        </w:tc>
        <w:tc>
          <w:tcPr>
            <w:tcW w:w="114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33"/>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9,286</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2,588</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6,120</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578</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7,887</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1,153</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3,338</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3,397</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7,728</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7,135</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575</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27,005</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23,230</w:t>
            </w: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3,775</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358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w:t>
            </w:r>
          </w:p>
        </w:tc>
        <w:tc>
          <w:tcPr>
            <w:tcW w:w="12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(7,541)</w:t>
            </w:r>
          </w:p>
        </w:tc>
        <w:tc>
          <w:tcPr>
            <w:tcW w:w="10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(7,541)</w:t>
            </w:r>
          </w:p>
        </w:tc>
      </w:tr>
      <w:tr>
        <w:trPr>
          <w:trHeight w:val="234"/>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adjustments and other items</w:t>
            </w: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38"/>
        </w:trPr>
        <w:tc>
          <w:tcPr>
            <w:tcW w:w="3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11,235</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March 31, 2025</w:t>
      </w:r>
    </w:p>
    <w:p>
      <w:pPr>
        <w:spacing w:after="0" w:line="210"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Item</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COGS(a)</w:t>
            </w: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SG&amp;A(b)</w:t>
            </w: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R&amp;D(c)</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 (d)</w:t>
            </w:r>
          </w:p>
        </w:tc>
        <w:tc>
          <w:tcPr>
            <w:tcW w:w="10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OI&amp;E(e)</w:t>
            </w:r>
          </w:p>
        </w:tc>
        <w:tc>
          <w:tcPr>
            <w:tcW w:w="96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Tax(f)</w:t>
            </w:r>
          </w:p>
        </w:tc>
      </w:tr>
      <w:tr>
        <w:trPr>
          <w:trHeight w:val="169"/>
        </w:trPr>
        <w:tc>
          <w:tcPr>
            <w:tcW w:w="3580" w:type="dxa"/>
            <w:vAlign w:val="bottom"/>
            <w:tcBorders>
              <w:lef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Acquisition, divestiture and integration-related</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r>
      <w:tr>
        <w:trPr>
          <w:trHeight w:val="238"/>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6,224</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671</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464</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10,663</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4,276</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10,944</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1,375</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4,807</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4,761</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14,810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14,386</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26,473</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22,769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3,704</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3580" w:type="dxa"/>
            <w:vAlign w:val="bottom"/>
            <w:tcBorders>
              <w:lef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w:t>
            </w: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r>
      <w:tr>
        <w:trPr>
          <w:trHeight w:val="238"/>
        </w:trPr>
        <w:tc>
          <w:tcPr>
            <w:tcW w:w="35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adjustments and other items</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(12,167)</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(12,167)</w:t>
            </w:r>
          </w:p>
        </w:tc>
      </w:tr>
      <w:tr>
        <w:trPr>
          <w:trHeight w:val="234"/>
        </w:trPr>
        <w:tc>
          <w:tcPr>
            <w:tcW w:w="35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10,456</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5" w:name="page16"/>
    <w:bookmarkEnd w:id="15"/>
    <w:p>
      <w:pPr>
        <w:jc w:val="center"/>
        <w:ind w:right="-639"/>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ADJUSTED EBITDA</w:t>
      </w:r>
    </w:p>
    <w:p>
      <w:pPr>
        <w:spacing w:after="0" w:line="2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2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5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(4,617)</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(25,293)</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intangible asset amortization expense</w:t>
            </w:r>
          </w:p>
        </w:tc>
        <w:tc>
          <w:tcPr>
            <w:tcW w:w="2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38,240</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36,929</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(4,480)</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18,118</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2,208</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9,286</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7,887</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2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7,728</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1,812</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80,799</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88,902</w:t>
            </w:r>
          </w:p>
        </w:tc>
      </w:tr>
      <w:tr>
        <w:trPr>
          <w:trHeight w:val="228"/>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76,182</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63,609</w:t>
            </w:r>
          </w:p>
        </w:tc>
      </w:tr>
    </w:tbl>
    <w:p>
      <w:pPr>
        <w:sectPr>
          <w:pgSz w:w="11900" w:h="16838" w:orient="portrait"/>
          <w:cols w:equalWidth="0" w:num="1">
            <w:col w:w="10600"/>
          </w:cols>
          <w:pgMar w:left="320" w:top="891" w:right="979" w:bottom="1440" w:gutter="0" w:footer="0" w:header="0"/>
        </w:sectPr>
      </w:pPr>
    </w:p>
    <w:bookmarkStart w:id="16" w:name="page17"/>
    <w:bookmarkEnd w:id="16"/>
    <w:p>
      <w:pPr>
        <w:jc w:val="center"/>
        <w:ind w:right="-159"/>
        <w:spacing w:after="0"/>
        <w:rPr>
          <w:sz w:val="20"/>
          <w:szCs w:val="20"/>
          <w:color w:val="auto"/>
        </w:rPr>
      </w:pPr>
      <w:r>
        <w:rPr>
          <w:rFonts w:ascii="Times New Roman" w:cs="Times New Roman" w:eastAsia="Times New Roman" w:hAnsi="Times New Roman"/>
          <w:sz w:val="17"/>
          <w:szCs w:val="17"/>
          <w:color w:val="auto"/>
        </w:rPr>
        <w:t>RECONCILIATION OF NON-GAAP ADJUSTMENTS - GAAP NET INCOME TO MEASURES OF ADJUSTED NET INCOME AND ADJUSTED</w:t>
      </w:r>
    </w:p>
    <w:p>
      <w:pPr>
        <w:spacing w:after="0" w:line="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2"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7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691"/>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(4,617)</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(25,293)</w:t>
            </w: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9,286</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7,887</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7,728</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w:t>
            </w: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27,005</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26,473</w:t>
            </w: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Estimated income tax impact from adjustments and other items</w:t>
            </w:r>
          </w:p>
        </w:tc>
        <w:tc>
          <w:tcPr>
            <w:tcW w:w="1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(7,541)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46,177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56,947</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41,560</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31,654</w:t>
            </w:r>
          </w:p>
        </w:tc>
      </w:tr>
      <w:tr>
        <w:trPr>
          <w:trHeight w:val="461"/>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0.54</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 per share</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77,198</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76,586</w:t>
            </w:r>
          </w:p>
        </w:tc>
      </w:tr>
    </w:tbl>
    <w:p>
      <w:pPr>
        <w:sectPr>
          <w:pgSz w:w="11900" w:h="16838" w:orient="portrait"/>
          <w:cols w:equalWidth="0" w:num="1">
            <w:col w:w="11080"/>
          </w:cols>
          <w:pgMar w:left="320" w:top="1134" w:right="499" w:bottom="1440" w:gutter="0" w:footer="0" w:header="0"/>
        </w:sectPr>
      </w:pPr>
    </w:p>
    <w:bookmarkStart w:id="17" w:name="page18"/>
    <w:bookmarkEnd w:id="17"/>
    <w:p>
      <w:pPr>
        <w:jc w:val="center"/>
        <w:ind w:right="-239"/>
        <w:spacing w:after="0"/>
        <w:rPr>
          <w:sz w:val="20"/>
          <w:szCs w:val="20"/>
          <w:color w:val="auto"/>
        </w:rPr>
      </w:pPr>
      <w:r>
        <w:rPr>
          <w:rFonts w:ascii="Times New Roman" w:cs="Times New Roman" w:eastAsia="Times New Roman" w:hAnsi="Times New Roman"/>
          <w:sz w:val="17"/>
          <w:szCs w:val="17"/>
          <w:color w:val="auto"/>
        </w:rPr>
        <w:t>CONDENSED BALANCE SHEET DATA</w:t>
      </w:r>
    </w:p>
    <w:p>
      <w:pPr>
        <w:spacing w:after="0" w:line="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020"/>
          </w:cols>
          <w:pgMar w:left="320" w:top="891" w:right="5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Short term investments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Trade accounts receivable, net</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Current and long-term borrowing under senior credit facility</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Borrowings under securitization facility</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Convertible securities</w:t>
      </w: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5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0" w:type="dxa"/>
            <w:vAlign w:val="bottom"/>
          </w:tcPr>
          <w:p>
            <w:pPr>
              <w:spacing w:after="0"/>
              <w:rPr>
                <w:sz w:val="17"/>
                <w:szCs w:val="17"/>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3"/>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28,693</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28,693</w:t>
            </w:r>
          </w:p>
        </w:tc>
      </w:tr>
      <w:tr>
        <w:trPr>
          <w:trHeight w:val="230"/>
        </w:trPr>
        <w:tc>
          <w:tcPr>
            <w:tcW w:w="28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236,809</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235,048</w:t>
            </w:r>
          </w:p>
        </w:tc>
      </w:tr>
      <w:tr>
        <w:trPr>
          <w:trHeight w:val="229"/>
        </w:trPr>
        <w:tc>
          <w:tcPr>
            <w:tcW w:w="28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264,413</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278,849</w:t>
            </w:r>
          </w:p>
        </w:tc>
      </w:tr>
      <w:tr>
        <w:trPr>
          <w:trHeight w:val="234"/>
        </w:trPr>
        <w:tc>
          <w:tcPr>
            <w:tcW w:w="2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495,035</w:t>
            </w: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492,735</w:t>
            </w:r>
          </w:p>
        </w:tc>
      </w:tr>
      <w:tr>
        <w:trPr>
          <w:trHeight w:val="495"/>
        </w:trPr>
        <w:tc>
          <w:tcPr>
            <w:tcW w:w="28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1,789,005</w:t>
            </w:r>
          </w:p>
        </w:tc>
        <w:tc>
          <w:tcPr>
            <w:tcW w:w="4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1,768,306</w:t>
            </w:r>
          </w:p>
        </w:tc>
      </w:tr>
      <w:tr>
        <w:trPr>
          <w:trHeight w:val="229"/>
        </w:trPr>
        <w:tc>
          <w:tcPr>
            <w:tcW w:w="28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76,400</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87,800</w:t>
            </w:r>
          </w:p>
        </w:tc>
      </w:tr>
      <w:tr>
        <w:trPr>
          <w:trHeight w:val="234"/>
        </w:trPr>
        <w:tc>
          <w:tcPr>
            <w:tcW w:w="2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1,042,406</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1,043,463</w:t>
            </w:r>
          </w:p>
        </w:tc>
      </w:tr>
    </w:tbl>
    <w:p>
      <w:pPr>
        <w:spacing w:after="0" w:line="200" w:lineRule="exact"/>
        <w:rPr>
          <w:sz w:val="20"/>
          <w:szCs w:val="20"/>
          <w:color w:val="auto"/>
        </w:rPr>
      </w:pPr>
    </w:p>
    <w:p>
      <w:pPr>
        <w:sectPr>
          <w:pgSz w:w="11900" w:h="16838" w:orient="portrait"/>
          <w:cols w:equalWidth="0" w:num="2">
            <w:col w:w="6520" w:space="720"/>
            <w:col w:w="3780"/>
          </w:cols>
          <w:pgMar w:left="320" w:top="89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CONDENSED STATEMENT OF CASH FLOWS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83"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6960" w:type="dxa"/>
            <w:vAlign w:val="bottom"/>
          </w:tcPr>
          <w:p>
            <w:pPr>
              <w:spacing w:after="0"/>
              <w:rPr>
                <w:sz w:val="19"/>
                <w:szCs w:val="19"/>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Pr>
          <w:p>
            <w:pPr>
              <w:spacing w:after="0"/>
              <w:rPr>
                <w:sz w:val="19"/>
                <w:szCs w:val="19"/>
                <w:color w:val="auto"/>
              </w:rPr>
            </w:pPr>
          </w:p>
        </w:tc>
      </w:tr>
      <w:tr>
        <w:trPr>
          <w:trHeight w:val="238"/>
        </w:trPr>
        <w:tc>
          <w:tcPr>
            <w:tcW w:w="69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r>
      <w:tr>
        <w:trPr>
          <w:trHeight w:val="421"/>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9,803</w:t>
            </w:r>
          </w:p>
        </w:tc>
        <w:tc>
          <w:tcPr>
            <w:tcW w:w="12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(14,848)</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(35,920)</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8,297</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35,377</w:t>
            </w: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(1,491)</w:t>
            </w:r>
          </w:p>
        </w:tc>
        <w:tc>
          <w:tcPr>
            <w:tcW w:w="1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31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1,761</w:t>
            </w:r>
          </w:p>
        </w:tc>
        <w:tc>
          <w:tcPr>
            <w:tcW w:w="12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w:t>
            </w:r>
          </w:p>
        </w:tc>
      </w:tr>
    </w:tbl>
    <w:p>
      <w:pPr>
        <w:sectPr>
          <w:pgSz w:w="11900" w:h="16838" w:orient="portrait"/>
          <w:cols w:equalWidth="0" w:num="1">
            <w:col w:w="11020"/>
          </w:cols>
          <w:pgMar w:left="320" w:top="891" w:right="559" w:bottom="1440" w:gutter="0" w:footer="0" w:header="0"/>
          <w:type w:val="continuous"/>
        </w:sectPr>
      </w:pPr>
    </w:p>
    <w:bookmarkStart w:id="18" w:name="page19"/>
    <w:bookmarkEnd w:id="18"/>
    <w:p>
      <w:pPr>
        <w:jc w:val="center"/>
        <w:ind w:left="500" w:right="1880"/>
        <w:spacing w:after="0" w:line="257" w:lineRule="auto"/>
        <w:rPr>
          <w:sz w:val="20"/>
          <w:szCs w:val="20"/>
          <w:color w:val="auto"/>
        </w:rPr>
      </w:pPr>
      <w:r>
        <w:rPr>
          <w:rFonts w:ascii="Times New Roman" w:cs="Times New Roman" w:eastAsia="Times New Roman" w:hAnsi="Times New Roman"/>
          <w:sz w:val="18"/>
          <w:szCs w:val="18"/>
          <w:color w:val="auto"/>
        </w:rPr>
        <w:t>RECONCILIATION OF NON-GAAP ADJUSTMENTS - GAAP OPERATING CASH FLOW TO MEASURES OF FREE CASH FLOW AND ADJUSTED FREE CASH FLOW CONVERSION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5960" w:type="dxa"/>
            <w:vAlign w:val="bottom"/>
          </w:tcPr>
          <w:p>
            <w:pPr>
              <w:spacing w:after="0"/>
              <w:rPr>
                <w:sz w:val="19"/>
                <w:szCs w:val="19"/>
                <w:color w:val="auto"/>
              </w:rPr>
            </w:pPr>
          </w:p>
        </w:tc>
        <w:tc>
          <w:tcPr>
            <w:tcW w:w="3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20" w:type="dxa"/>
            <w:vAlign w:val="bottom"/>
          </w:tcPr>
          <w:p>
            <w:pPr>
              <w:spacing w:after="0"/>
              <w:rPr>
                <w:sz w:val="19"/>
                <w:szCs w:val="19"/>
                <w:color w:val="auto"/>
              </w:rPr>
            </w:pPr>
          </w:p>
        </w:tc>
      </w:tr>
      <w:tr>
        <w:trPr>
          <w:trHeight w:val="238"/>
        </w:trPr>
        <w:tc>
          <w:tcPr>
            <w:tcW w:w="596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20"/>
                <w:szCs w:val="20"/>
                <w:color w:val="auto"/>
              </w:rPr>
            </w:pPr>
          </w:p>
        </w:tc>
      </w:t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9,803</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(11,257)</w:t>
            </w:r>
          </w:p>
        </w:tc>
      </w:tr>
      <w:tr>
        <w:trPr>
          <w:trHeight w:val="49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(14,848)</w:t>
            </w:r>
          </w:p>
        </w:tc>
        <w:tc>
          <w:tcPr>
            <w:tcW w:w="1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(28,920)</w:t>
            </w:r>
          </w:p>
        </w:tc>
      </w:t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(5,045)</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(40,177)</w:t>
            </w:r>
          </w:p>
        </w:tc>
      </w:tr>
      <w:tr>
        <w:trPr>
          <w:trHeight w:val="49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41,560</w:t>
            </w:r>
          </w:p>
        </w:tc>
        <w:tc>
          <w:tcPr>
            <w:tcW w:w="12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31,654</w:t>
            </w:r>
          </w:p>
        </w:tc>
      </w:t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5960" w:type="dxa"/>
            <w:vAlign w:val="bottom"/>
          </w:tcPr>
          <w:p>
            <w:pPr>
              <w:spacing w:after="0"/>
              <w:rPr>
                <w:sz w:val="19"/>
                <w:szCs w:val="19"/>
                <w:color w:val="auto"/>
              </w:rPr>
            </w:pPr>
          </w:p>
        </w:tc>
        <w:tc>
          <w:tcPr>
            <w:tcW w:w="41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Twelve Months Ended March 31,</w:t>
            </w:r>
          </w:p>
        </w:tc>
        <w:tc>
          <w:tcPr>
            <w:tcW w:w="0" w:type="dxa"/>
            <w:vAlign w:val="bottom"/>
          </w:tcPr>
          <w:p>
            <w:pPr>
              <w:spacing w:after="0"/>
              <w:rPr>
                <w:sz w:val="1"/>
                <w:szCs w:val="1"/>
                <w:color w:val="auto"/>
              </w:rPr>
            </w:pPr>
          </w:p>
        </w:tc>
      </w:tr>
      <w:tr>
        <w:trPr>
          <w:trHeight w:val="238"/>
        </w:trPr>
        <w:tc>
          <w:tcPr>
            <w:tcW w:w="596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71,445</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102,368</w:t>
            </w:r>
          </w:p>
        </w:tc>
        <w:tc>
          <w:tcPr>
            <w:tcW w:w="0" w:type="dxa"/>
            <w:vAlign w:val="bottom"/>
          </w:tcPr>
          <w:p>
            <w:pPr>
              <w:spacing w:after="0"/>
              <w:rPr>
                <w:sz w:val="1"/>
                <w:szCs w:val="1"/>
                <w:color w:val="auto"/>
              </w:rPr>
            </w:pPr>
          </w:p>
        </w:tc>
      </w:tr>
      <w:tr>
        <w:trPr>
          <w:trHeight w:val="49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(67,365)</w:t>
            </w:r>
          </w:p>
        </w:tc>
        <w:tc>
          <w:tcPr>
            <w:tcW w:w="5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(117,872)</w:t>
            </w:r>
          </w:p>
        </w:tc>
        <w:tc>
          <w:tcPr>
            <w:tcW w:w="0" w:type="dxa"/>
            <w:vAlign w:val="bottom"/>
          </w:tcPr>
          <w:p>
            <w:pPr>
              <w:spacing w:after="0"/>
              <w:rPr>
                <w:sz w:val="1"/>
                <w:szCs w:val="1"/>
                <w:color w:val="auto"/>
              </w:rPr>
            </w:pPr>
          </w:p>
        </w:tc>
      </w:t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4,080</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(15,504)</w:t>
            </w:r>
          </w:p>
        </w:tc>
        <w:tc>
          <w:tcPr>
            <w:tcW w:w="0" w:type="dxa"/>
            <w:vAlign w:val="bottom"/>
          </w:tcPr>
          <w:p>
            <w:pPr>
              <w:spacing w:after="0"/>
              <w:rPr>
                <w:sz w:val="1"/>
                <w:szCs w:val="1"/>
                <w:color w:val="auto"/>
              </w:rPr>
            </w:pPr>
          </w:p>
        </w:tc>
      </w:tr>
      <w:tr>
        <w:trPr>
          <w:trHeight w:val="265"/>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26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181,287</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185,652</w:t>
            </w:r>
          </w:p>
        </w:tc>
        <w:tc>
          <w:tcPr>
            <w:tcW w:w="0" w:type="dxa"/>
            <w:vAlign w:val="bottom"/>
          </w:tcPr>
          <w:p>
            <w:pPr>
              <w:spacing w:after="0"/>
              <w:rPr>
                <w:sz w:val="1"/>
                <w:szCs w:val="1"/>
                <w:color w:val="auto"/>
              </w:rPr>
            </w:pPr>
          </w:p>
        </w:tc>
      </w:t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280" w:firstLine="8"/>
        <w:spacing w:after="0" w:line="302" w:lineRule="auto"/>
        <w:tabs>
          <w:tab w:leader="none" w:pos="2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 for quarters ended March 31, 2026 and 2025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calculates adjusted free cash flow conversion by dividing its free cash flow by adjusted net income. The Company believes this measure is useful in evaluating the significance of the cash special charges in its adjusted earnings measures.</w:t>
      </w:r>
    </w:p>
    <w:p>
      <w:pPr>
        <w:sectPr>
          <w:pgSz w:w="11900" w:h="16838" w:orient="portrait"/>
          <w:cols w:equalWidth="0" w:num="1">
            <w:col w:w="11060"/>
          </w:cols>
          <w:pgMar w:left="320" w:top="891" w:right="5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RECONCILIATION OF NON-GAAP ADJUSTMENTS - NET DEBT CALCULATION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4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20"/>
                <w:szCs w:val="20"/>
                <w:color w:val="auto"/>
              </w:rPr>
            </w:pPr>
          </w:p>
        </w:tc>
        <w:tc>
          <w:tcPr>
            <w:tcW w:w="16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6"/>
        </w:trPr>
        <w:tc>
          <w:tcPr>
            <w:tcW w:w="7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under senior credit facility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senior credit facility</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1,750,255</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1,729,556</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76,400</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87,800</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netted in the above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(28,693)</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(28,693)</w:t>
            </w: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(236,809)</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(235,048)</w:t>
            </w:r>
          </w:p>
        </w:tc>
        <w:tc>
          <w:tcPr>
            <w:tcW w:w="0" w:type="dxa"/>
            <w:vAlign w:val="bottom"/>
          </w:tcPr>
          <w:p>
            <w:pPr>
              <w:spacing w:after="0"/>
              <w:rPr>
                <w:sz w:val="1"/>
                <w:szCs w:val="1"/>
                <w:color w:val="auto"/>
              </w:rPr>
            </w:pPr>
          </w:p>
        </w:tc>
      </w:tr>
      <w:tr>
        <w:trPr>
          <w:trHeight w:val="22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1,602,773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1,595,622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color w:val="auto"/>
        </w:rPr>
        <w:t>RECONCILIATION OF NON-GAAP ADJUSTMENTS - GAAP GROSS PROFIT TO MEASURES OF ADJUSTED GROSS PROFIT AND ADJUSTED GROSS MARGIN</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percentages)</w:t>
      </w:r>
    </w:p>
    <w:p>
      <w:pPr>
        <w:spacing w:after="0" w:line="108"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6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61"/>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391,918</w:t>
            </w:r>
          </w:p>
        </w:tc>
        <w:tc>
          <w:tcPr>
            <w:tcW w:w="3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382,653</w:t>
            </w: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174,936</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188,221</w:t>
            </w:r>
          </w:p>
        </w:tc>
      </w:tr>
      <w:tr>
        <w:trPr>
          <w:trHeight w:val="21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Reported Gross Profit</w:t>
            </w:r>
          </w:p>
        </w:tc>
        <w:tc>
          <w:tcPr>
            <w:tcW w:w="1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216,982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194,432</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2,588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4,276</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7,135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14,386</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w:t>
            </w:r>
          </w:p>
        </w:tc>
        <w:tc>
          <w:tcPr>
            <w:tcW w:w="14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1,153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1,375</w:t>
            </w: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23,230</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22,769</w:t>
            </w:r>
          </w:p>
        </w:tc>
      </w:tr>
      <w:tr>
        <w:trPr>
          <w:trHeight w:val="21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251,116</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237,909</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391,918</w:t>
            </w:r>
          </w:p>
        </w:tc>
        <w:tc>
          <w:tcPr>
            <w:tcW w:w="3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382,653</w:t>
            </w: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62.2 %</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Roman"/>
      <w:start w:val="7"/>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609"/>
    </w:lvl>
  </w:abstractNum>
  <w:abstractNum w:abstractNumId="10">
    <w:nsid w:val="140E0F76"/>
    <w:multiLevelType w:val="hybridMultilevel"/>
    <w:lvl w:ilvl="0">
      <w:lvlJc w:val="left"/>
      <w:lvlText w:val="(%1)"/>
      <w:numFmt w:val="decimal"/>
      <w:start w:val="609"/>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2026-05-05T05:24:21Z</dcterms:created>
  <dcterms:modified xsi:type="dcterms:W3CDTF">2026-05-05T05:24:21Z</dcterms:modified>
</cp:coreProperties>
</file>