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680" w:hanging="443"/>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ind w:left="680" w:hanging="443"/>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50" w:lineRule="exact"/>
        <w:rPr>
          <w:sz w:val="24"/>
          <w:szCs w:val="24"/>
          <w:color w:val="auto"/>
        </w:rPr>
      </w:pPr>
    </w:p>
    <w:p>
      <w:pPr>
        <w:ind w:left="394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000-26224</w:t>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40" w:lineRule="exact"/>
        <w:rPr>
          <w:sz w:val="24"/>
          <w:szCs w:val="24"/>
          <w:color w:val="auto"/>
        </w:rPr>
      </w:pPr>
    </w:p>
    <w:tbl>
      <w:tblPr>
        <w:tblLayout w:type="fixed"/>
        <w:tblInd w:w="1020" w:type="dxa"/>
        <w:tblCellMar>
          <w:top w:w="0" w:type="dxa"/>
          <w:left w:w="0" w:type="dxa"/>
          <w:bottom w:w="0" w:type="dxa"/>
          <w:right w:w="0" w:type="dxa"/>
        </w:tblCellMar>
      </w:tblPr>
      <w:tr>
        <w:trPr>
          <w:trHeight w:val="227"/>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51-0317849</w:t>
            </w:r>
          </w:p>
        </w:tc>
        <w:tc>
          <w:tcPr>
            <w:tcW w:w="0" w:type="dxa"/>
            <w:vAlign w:val="bottom"/>
          </w:tcPr>
          <w:p>
            <w:pPr>
              <w:spacing w:after="0"/>
              <w:rPr>
                <w:sz w:val="1"/>
                <w:szCs w:val="1"/>
                <w:color w:val="auto"/>
              </w:rPr>
            </w:pPr>
          </w:p>
        </w:tc>
      </w:tr>
      <w:tr>
        <w:trPr>
          <w:trHeight w:val="149"/>
        </w:trPr>
        <w:tc>
          <w:tcPr>
            <w:tcW w:w="4980" w:type="dxa"/>
            <w:vAlign w:val="bottom"/>
          </w:tcPr>
          <w:p>
            <w:pPr>
              <w:jc w:val="center"/>
              <w:ind w:right="15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501"/>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8"/>
                <w:szCs w:val="18"/>
                <w:b w:val="1"/>
                <w:bCs w:val="1"/>
                <w:color w:val="auto"/>
                <w:w w:val="98"/>
              </w:rPr>
              <w:t>1100 Campus Road</w:t>
            </w:r>
          </w:p>
        </w:tc>
        <w:tc>
          <w:tcPr>
            <w:tcW w:w="316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08540</w:t>
            </w:r>
          </w:p>
        </w:tc>
        <w:tc>
          <w:tcPr>
            <w:tcW w:w="0" w:type="dxa"/>
            <w:vAlign w:val="bottom"/>
          </w:tcPr>
          <w:p>
            <w:pPr>
              <w:spacing w:after="0"/>
              <w:rPr>
                <w:sz w:val="1"/>
                <w:szCs w:val="1"/>
                <w:color w:val="auto"/>
              </w:rPr>
            </w:pPr>
          </w:p>
        </w:tc>
      </w:tr>
      <w:tr>
        <w:trPr>
          <w:trHeight w:val="227"/>
        </w:trPr>
        <w:tc>
          <w:tcPr>
            <w:tcW w:w="4980" w:type="dxa"/>
            <w:vAlign w:val="bottom"/>
          </w:tcPr>
          <w:p>
            <w:pPr>
              <w:jc w:val="center"/>
              <w:ind w:right="1519"/>
              <w:spacing w:after="0"/>
              <w:rPr>
                <w:sz w:val="20"/>
                <w:szCs w:val="20"/>
                <w:color w:val="auto"/>
              </w:rPr>
            </w:pPr>
            <w:r>
              <w:rPr>
                <w:rFonts w:ascii="Times New Roman" w:cs="Times New Roman" w:eastAsia="Times New Roman" w:hAnsi="Times New Roman"/>
                <w:sz w:val="18"/>
                <w:szCs w:val="18"/>
                <w:b w:val="1"/>
                <w:bCs w:val="1"/>
                <w:color w:val="auto"/>
              </w:rPr>
              <w:t>Princeton ,  New Jersey</w:t>
            </w:r>
          </w:p>
        </w:tc>
        <w:tc>
          <w:tcPr>
            <w:tcW w:w="3160" w:type="dxa"/>
            <w:vAlign w:val="bottom"/>
            <w:vMerge w:val="restart"/>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82"/>
        </w:trPr>
        <w:tc>
          <w:tcPr>
            <w:tcW w:w="4980" w:type="dxa"/>
            <w:vAlign w:val="bottom"/>
            <w:vMerge w:val="restart"/>
          </w:tcPr>
          <w:p>
            <w:pPr>
              <w:jc w:val="center"/>
              <w:ind w:right="15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980" w:type="dxa"/>
            <w:vAlign w:val="bottom"/>
            <w:vMerge w:val="continue"/>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(609) 275-0500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1033" w:right="339" w:bottom="1440" w:gutter="0" w:footer="0" w:header="0"/>
        </w:sectPr>
      </w:pPr>
    </w:p>
    <w:p>
      <w:pPr>
        <w:spacing w:after="0" w:line="16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3220" w:space="720"/>
            <w:col w:w="1720" w:space="720"/>
            <w:col w:w="4860"/>
          </w:cols>
          <w:pgMar w:left="320" w:top="1033" w:right="3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IART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200" w:lineRule="exact"/>
        <w:rPr>
          <w:sz w:val="24"/>
          <w:szCs w:val="24"/>
          <w:color w:val="auto"/>
        </w:rPr>
      </w:pPr>
    </w:p>
    <w:p>
      <w:pPr>
        <w:sectPr>
          <w:pgSz w:w="11900" w:h="16838" w:orient="portrait"/>
          <w:cols w:equalWidth="0" w:num="3">
            <w:col w:w="3800" w:space="720"/>
            <w:col w:w="2320" w:space="720"/>
            <w:col w:w="3680"/>
          </w:cols>
          <w:pgMar w:left="320" w:top="1033" w:right="339" w:bottom="1440" w:gutter="0" w:footer="0" w:header="0"/>
          <w:type w:val="continuous"/>
        </w:sectPr>
      </w:pPr>
    </w:p>
    <w:p>
      <w:pPr>
        <w:spacing w:after="0" w:line="116"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2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0"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7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5"/>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0"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0"/>
          <w:szCs w:val="20"/>
          <w:color w:val="auto"/>
        </w:rPr>
      </w:pPr>
    </w:p>
    <w:p>
      <w:pPr>
        <w:ind w:right="2660"/>
        <w:spacing w:after="0" w:line="2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$0.01 par value, outstanding as of </w:t>
      </w:r>
      <w:r>
        <w:rPr>
          <w:rFonts w:ascii="Times New Roman" w:cs="Times New Roman" w:eastAsia="Times New Roman" w:hAnsi="Times New Roman"/>
          <w:sz w:val="17"/>
          <w:szCs w:val="17"/>
          <w:color w:val="auto"/>
        </w:rPr>
        <w:t>November 1, 2024</w:t>
      </w:r>
      <w:r>
        <w:rPr>
          <w:rFonts w:ascii="Times New Roman" w:cs="Times New Roman" w:eastAsia="Times New Roman" w:hAnsi="Times New Roman"/>
          <w:sz w:val="16"/>
          <w:szCs w:val="16"/>
          <w:color w:val="auto"/>
        </w:rPr>
        <w:t xml:space="preserve"> was 77,163,524.</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Borders>
              <w:bottom w:val="single" w:sz="8" w:color="0000FF"/>
            </w:tcBorders>
            <w:gridSpan w:val="10"/>
          </w:tcPr>
          <w:p>
            <w:pPr>
              <w:spacing w:after="0" w:line="159" w:lineRule="exact"/>
              <w:rPr>
                <w:sz w:val="20"/>
                <w:szCs w:val="20"/>
                <w:color w:val="auto"/>
              </w:rPr>
            </w:pPr>
            <w:r>
              <w:rPr>
                <w:rFonts w:ascii="Times New Roman" w:cs="Times New Roman" w:eastAsia="Times New Roman" w:hAnsi="Times New Roman"/>
                <w:sz w:val="16"/>
                <w:szCs w:val="16"/>
                <w:color w:val="0000FF"/>
                <w:w w:val="99"/>
              </w:rPr>
              <w:t>PART I. FINANCIAL INFORMATION</w:t>
            </w:r>
          </w:p>
        </w:tc>
        <w:tc>
          <w:tcPr>
            <w:tcW w:w="7360" w:type="dxa"/>
            <w:vAlign w:val="bottom"/>
            <w:gridSpan w:val="8"/>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Item 1. Financial Statements</w:t>
            </w:r>
          </w:p>
        </w:tc>
        <w:tc>
          <w:tcPr>
            <w:tcW w:w="8100" w:type="dxa"/>
            <w:vAlign w:val="bottom"/>
            <w:gridSpan w:val="11"/>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 and Comprehensive Income for the Three and Nine Months Ended September 30, 2024 and 2023</w:t>
            </w: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3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September 30, 2024 and December 31, 2023 (Unaudited)</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Nine Months Ended September 30, 2024 and 2023 (Unaudited)</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Condensed Consolidated Statements of Changes in Shareholders' Equity for the Nine Months Ended September 30, 2024 and 2023 (Unaudited)</w:t>
            </w:r>
          </w:p>
        </w:tc>
        <w:tc>
          <w:tcPr>
            <w:tcW w:w="640" w:type="dxa"/>
            <w:vAlign w:val="bottom"/>
            <w:gridSpan w:val="2"/>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w:t>
            </w:r>
          </w:p>
        </w:tc>
        <w:tc>
          <w:tcPr>
            <w:tcW w:w="5640" w:type="dxa"/>
            <w:vAlign w:val="bottom"/>
            <w:gridSpan w:val="7"/>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3640" w:type="dxa"/>
            <w:vAlign w:val="bottom"/>
            <w:gridSpan w:val="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2320" w:type="dxa"/>
            <w:vAlign w:val="bottom"/>
            <w:tcBorders>
              <w:top w:val="single" w:sz="8" w:color="0000FF"/>
            </w:tcBorders>
            <w:gridSpan w:val="4"/>
          </w:tcPr>
          <w:p>
            <w:pPr>
              <w:spacing w:after="0"/>
              <w:rPr>
                <w:sz w:val="21"/>
                <w:szCs w:val="21"/>
                <w:color w:val="auto"/>
              </w:rPr>
            </w:pP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Item 1. Legal Proceedings</w:t>
            </w:r>
          </w:p>
        </w:tc>
        <w:tc>
          <w:tcPr>
            <w:tcW w:w="7640" w:type="dxa"/>
            <w:vAlign w:val="bottom"/>
            <w:gridSpan w:val="9"/>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260" w:type="dxa"/>
            <w:vAlign w:val="bottom"/>
            <w:tcBorders>
              <w:top w:val="single" w:sz="8" w:color="0000FF"/>
            </w:tcBorders>
            <w:gridSpan w:val="2"/>
          </w:tcPr>
          <w:p>
            <w:pPr>
              <w:spacing w:after="0"/>
              <w:rPr>
                <w:sz w:val="21"/>
                <w:szCs w:val="21"/>
                <w:color w:val="auto"/>
              </w:rPr>
            </w:pPr>
          </w:p>
        </w:tc>
        <w:tc>
          <w:tcPr>
            <w:tcW w:w="8260" w:type="dxa"/>
            <w:vAlign w:val="bottom"/>
            <w:gridSpan w:val="12"/>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Item 3. Defaults Upon Senior Securities</w:t>
            </w:r>
          </w:p>
        </w:tc>
        <w:tc>
          <w:tcPr>
            <w:tcW w:w="7360" w:type="dxa"/>
            <w:vAlign w:val="bottom"/>
            <w:gridSpan w:val="8"/>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7860" w:type="dxa"/>
            <w:vAlign w:val="bottom"/>
            <w:gridSpan w:val="10"/>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Item 5. Other Information</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6. Exhibits</w:t>
            </w:r>
          </w:p>
        </w:tc>
        <w:tc>
          <w:tcPr>
            <w:tcW w:w="8280" w:type="dxa"/>
            <w:vAlign w:val="bottom"/>
            <w:gridSpan w:val="13"/>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8920" w:type="dxa"/>
            <w:vAlign w:val="bottom"/>
            <w:gridSpan w:val="1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5"/>
        </w:trPr>
        <w:tc>
          <w:tcPr>
            <w:tcW w:w="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8"/>
        </w:trPr>
        <w:tc>
          <w:tcPr>
            <w:tcW w:w="5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1,167,881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1,144,534</w:t>
            </w:r>
          </w:p>
        </w:tc>
      </w:tr>
      <w:tr>
        <w:trPr>
          <w:trHeight w:val="216"/>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486,292</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79,908</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538,463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493,513</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9,342</w:t>
            </w:r>
          </w:p>
        </w:tc>
      </w:tr>
      <w:tr>
        <w:trPr>
          <w:trHeight w:val="207"/>
        </w:trPr>
        <w:tc>
          <w:tcPr>
            <w:tcW w:w="5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388,984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355,828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1,175,097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1,069,055</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 income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75,479</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12,653</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(37,626)</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52,211</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4,304</w:t>
            </w: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per share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r>
      <w:tr>
        <w:trPr>
          <w:trHeight w:val="21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r>
      <w:tr>
        <w:trPr>
          <w:trHeight w:val="270"/>
        </w:trPr>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(See Note 13):</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80,842</w:t>
            </w: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76,448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77,196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81,112</w:t>
            </w: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(See Note 14)</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39,387</w:t>
            </w: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276,402</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investments</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 accounts receivable, net of allowances of $7,423 and $4,879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259,327</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 net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389,608</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67,362</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32,643</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1,099,522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1,058,036</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340,199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156,184</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1,209,548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1,067,833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1,116,535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1,055,462</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58,194</w:t>
            </w:r>
          </w:p>
        </w:tc>
        <w:tc>
          <w:tcPr>
            <w:tcW w:w="0" w:type="dxa"/>
            <w:vAlign w:val="bottom"/>
          </w:tcPr>
          <w:p>
            <w:pPr>
              <w:spacing w:after="0"/>
              <w:rPr>
                <w:sz w:val="1"/>
                <w:szCs w:val="1"/>
                <w:color w:val="auto"/>
              </w:rPr>
            </w:pPr>
          </w:p>
        </w:tc>
      </w:tr>
      <w:tr>
        <w:trPr>
          <w:trHeight w:val="212"/>
        </w:trPr>
        <w:tc>
          <w:tcPr>
            <w:tcW w:w="7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4,065,803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3,781,988</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borrowings under senior credit facility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14,531</w:t>
            </w:r>
          </w:p>
        </w:tc>
        <w:tc>
          <w:tcPr>
            <w:tcW w:w="0" w:type="dxa"/>
            <w:vAlign w:val="bottom"/>
          </w:tcPr>
          <w:p>
            <w:pPr>
              <w:spacing w:after="0"/>
              <w:rPr>
                <w:sz w:val="1"/>
                <w:szCs w:val="1"/>
                <w:color w:val="auto"/>
              </w:rPr>
            </w:pPr>
          </w:p>
        </w:tc>
      </w:tr>
      <w:tr>
        <w:trPr>
          <w:trHeight w:val="213"/>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lease liability - operating leases</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15,284</w:t>
            </w: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Convertible securities</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572,442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trade</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92,326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0" w:type="dxa"/>
            <w:vAlign w:val="bottom"/>
          </w:tcPr>
          <w:p>
            <w:pPr>
              <w:spacing w:after="0"/>
              <w:rPr>
                <w:sz w:val="1"/>
                <w:szCs w:val="1"/>
                <w:color w:val="auto"/>
              </w:rPr>
            </w:pPr>
          </w:p>
        </w:tc>
      </w:tr>
      <w:tr>
        <w:trPr>
          <w:trHeight w:val="213"/>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75,455</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131,939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100,844</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306,980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borrowings under senior credit facility</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1,132,292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825,563</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borrowings under securitization facility</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89,200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convertible securities</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570,255</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166,849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35,317</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199,940</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2,544,216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2,194,104</w:t>
            </w:r>
          </w:p>
        </w:tc>
        <w:tc>
          <w:tcPr>
            <w:tcW w:w="0" w:type="dxa"/>
            <w:vAlign w:val="bottom"/>
          </w:tcPr>
          <w:p>
            <w:pPr>
              <w:spacing w:after="0"/>
              <w:rPr>
                <w:sz w:val="1"/>
                <w:szCs w:val="1"/>
                <w:color w:val="auto"/>
              </w:rPr>
            </w:pPr>
          </w:p>
        </w:tc>
      </w:tr>
      <w:tr>
        <w:trPr>
          <w:trHeight w:val="19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Preferred stock; no par value; 15,000 authorized shares; none outstanding</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8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Common stock; $0.01 par value; 240,000 authorized shares; 91,588 and 90,920 issued at September 30, 2024 and</w:t>
            </w: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0" w:type="dxa"/>
            <w:vAlign w:val="bottom"/>
          </w:tcPr>
          <w:p>
            <w:pPr>
              <w:spacing w:after="0"/>
              <w:rPr>
                <w:sz w:val="1"/>
                <w:szCs w:val="1"/>
                <w:color w:val="auto"/>
              </w:rPr>
            </w:pPr>
          </w:p>
        </w:tc>
      </w:tr>
      <w:tr>
        <w:trPr>
          <w:trHeight w:val="213"/>
        </w:trPr>
        <w:tc>
          <w:tcPr>
            <w:tcW w:w="7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1,316,854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1,302,484</w:t>
            </w:r>
          </w:p>
        </w:tc>
        <w:tc>
          <w:tcPr>
            <w:tcW w:w="0" w:type="dxa"/>
            <w:vAlign w:val="bottom"/>
          </w:tcPr>
          <w:p>
            <w:pPr>
              <w:spacing w:after="0"/>
              <w:rPr>
                <w:sz w:val="1"/>
                <w:szCs w:val="1"/>
                <w:color w:val="auto"/>
              </w:rPr>
            </w:pPr>
          </w:p>
        </w:tc>
      </w:tr>
      <w:tr>
        <w:trPr>
          <w:trHeight w:val="162"/>
        </w:trPr>
        <w:tc>
          <w:tcPr>
            <w:tcW w:w="78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Treasury stock, at cost; 14,454 shares and 12,751 shares at September 30, 2024 and December 31, 2023,</w:t>
            </w: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(691,810)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(647,262)</w:t>
            </w:r>
          </w:p>
        </w:tc>
        <w:tc>
          <w:tcPr>
            <w:tcW w:w="0" w:type="dxa"/>
            <w:vAlign w:val="bottom"/>
          </w:tcPr>
          <w:p>
            <w:pPr>
              <w:spacing w:after="0"/>
              <w:rPr>
                <w:sz w:val="1"/>
                <w:szCs w:val="1"/>
                <w:color w:val="auto"/>
              </w:rPr>
            </w:pPr>
          </w:p>
        </w:tc>
      </w:tr>
      <w:tr>
        <w:trPr>
          <w:trHeight w:val="213"/>
        </w:trPr>
        <w:tc>
          <w:tcPr>
            <w:tcW w:w="7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920,481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946,859</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1,521,587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1,587,884</w:t>
            </w:r>
          </w:p>
        </w:tc>
        <w:tc>
          <w:tcPr>
            <w:tcW w:w="0" w:type="dxa"/>
            <w:vAlign w:val="bottom"/>
          </w:tcPr>
          <w:p>
            <w:pPr>
              <w:spacing w:after="0"/>
              <w:rPr>
                <w:sz w:val="1"/>
                <w:szCs w:val="1"/>
                <w:color w:val="auto"/>
              </w:rPr>
            </w:pPr>
          </w:p>
        </w:tc>
      </w:tr>
      <w:tr>
        <w:trPr>
          <w:trHeight w:val="212"/>
        </w:trPr>
        <w:tc>
          <w:tcPr>
            <w:tcW w:w="7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4,065,803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3,781,988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3400" w:type="dxa"/>
            <w:vAlign w:val="bottom"/>
            <w:tcBorders>
              <w:bottom w:val="single" w:sz="8" w:color="auto"/>
            </w:tcBorders>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8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47,907</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92,527</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(benefit) provision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14,350</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 and expenses associated with debt refinancing</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4,731</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(gain) on disposal of property and equipment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 and others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(43,350)</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(21,700)</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non-current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(8,774)</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(22,141)</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Contract liabilities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78,642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(281,994)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short term investments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maturities of short term investments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swaps designated as net investment hedges</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w:t>
            </w:r>
          </w:p>
        </w:tc>
      </w:tr>
      <w:tr>
        <w:trPr>
          <w:trHeight w:val="212"/>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(386,559)</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(36,949)</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 of long-term indebtedness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146,900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debt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(147,188)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Contingent Consideration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taxes paid in net equity settlement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(5,549)</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245,013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(223,035)</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(61,245)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(182,929)</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276,402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456,661</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215,157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273,732</w:t>
            </w: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January 1, 2024</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p>
      <w:pPr>
        <w:spacing w:after="0" w:line="32" w:lineRule="exact"/>
        <w:rPr>
          <w:sz w:val="20"/>
          <w:szCs w:val="20"/>
          <w:color w:val="auto"/>
        </w:rPr>
      </w:pPr>
    </w:p>
    <w:p>
      <w:pPr>
        <w:ind w:left="20" w:right="80"/>
        <w:spacing w:after="0" w:line="245" w:lineRule="auto"/>
        <w:rPr>
          <w:sz w:val="20"/>
          <w:szCs w:val="20"/>
          <w:color w:val="auto"/>
        </w:rPr>
      </w:pPr>
      <w:r>
        <w:rPr>
          <w:rFonts w:ascii="Times New Roman" w:cs="Times New Roman" w:eastAsia="Times New Roman" w:hAnsi="Times New Roman"/>
          <w:sz w:val="16"/>
          <w:szCs w:val="16"/>
          <w:color w:val="auto"/>
        </w:rPr>
        <w:t>Issuance of common stock through employee stock purchase plan</w:t>
      </w:r>
    </w:p>
    <w:p>
      <w:pPr>
        <w:spacing w:after="0" w:line="2"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 and forfeitures</w:t>
      </w:r>
    </w:p>
    <w:p>
      <w:pPr>
        <w:spacing w:after="0" w:line="6" w:lineRule="exact"/>
        <w:rPr>
          <w:sz w:val="20"/>
          <w:szCs w:val="20"/>
          <w:color w:val="auto"/>
        </w:rPr>
      </w:pPr>
    </w:p>
    <w:p>
      <w:pPr>
        <w:ind w:left="20" w:right="980"/>
        <w:spacing w:after="0" w:line="287" w:lineRule="auto"/>
        <w:rPr>
          <w:sz w:val="20"/>
          <w:szCs w:val="20"/>
          <w:color w:val="auto"/>
        </w:rPr>
      </w:pPr>
      <w:r>
        <w:rPr>
          <w:rFonts w:ascii="Times New Roman" w:cs="Times New Roman" w:eastAsia="Times New Roman" w:hAnsi="Times New Roman"/>
          <w:sz w:val="16"/>
          <w:szCs w:val="16"/>
          <w:color w:val="auto"/>
        </w:rPr>
        <w:t xml:space="preserve">Share-based compensation Accelerated shares repurchased </w:t>
      </w:r>
      <w:r>
        <w:rPr>
          <w:rFonts w:ascii="Times New Roman" w:cs="Times New Roman" w:eastAsia="Times New Roman" w:hAnsi="Times New Roman"/>
          <w:sz w:val="16"/>
          <w:szCs w:val="16"/>
          <w:b w:val="1"/>
          <w:bCs w:val="1"/>
          <w:color w:val="auto"/>
        </w:rPr>
        <w:t>Balance, March 31, 2024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p>
      <w:pPr>
        <w:spacing w:after="0" w:line="32"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 and forfeitures</w:t>
      </w:r>
    </w:p>
    <w:p>
      <w:pPr>
        <w:spacing w:after="0" w:line="6" w:lineRule="exact"/>
        <w:rPr>
          <w:sz w:val="20"/>
          <w:szCs w:val="20"/>
          <w:color w:val="auto"/>
        </w:rPr>
      </w:pPr>
    </w:p>
    <w:p>
      <w:pPr>
        <w:ind w:left="20" w:right="980"/>
        <w:spacing w:after="0" w:line="287" w:lineRule="auto"/>
        <w:rPr>
          <w:sz w:val="20"/>
          <w:szCs w:val="20"/>
          <w:color w:val="auto"/>
        </w:rPr>
      </w:pPr>
      <w:r>
        <w:rPr>
          <w:rFonts w:ascii="Times New Roman" w:cs="Times New Roman" w:eastAsia="Times New Roman" w:hAnsi="Times New Roman"/>
          <w:sz w:val="16"/>
          <w:szCs w:val="16"/>
          <w:color w:val="auto"/>
        </w:rPr>
        <w:t xml:space="preserve">Share-based compensation Accelerated shares repurchased </w:t>
      </w:r>
      <w:r>
        <w:rPr>
          <w:rFonts w:ascii="Times New Roman" w:cs="Times New Roman" w:eastAsia="Times New Roman" w:hAnsi="Times New Roman"/>
          <w:sz w:val="16"/>
          <w:szCs w:val="16"/>
          <w:b w:val="1"/>
          <w:bCs w:val="1"/>
          <w:color w:val="auto"/>
        </w:rPr>
        <w:t>Balance, June 30, 2024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p>
      <w:pPr>
        <w:spacing w:after="0" w:line="32"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 and forfeitures</w:t>
      </w:r>
    </w:p>
    <w:p>
      <w:pPr>
        <w:spacing w:after="0" w:line="6" w:lineRule="exact"/>
        <w:rPr>
          <w:sz w:val="20"/>
          <w:szCs w:val="20"/>
          <w:color w:val="auto"/>
        </w:rPr>
      </w:pPr>
    </w:p>
    <w:p>
      <w:pPr>
        <w:ind w:left="20" w:right="980"/>
        <w:spacing w:after="0" w:line="298" w:lineRule="auto"/>
        <w:rPr>
          <w:sz w:val="20"/>
          <w:szCs w:val="20"/>
          <w:color w:val="auto"/>
        </w:rPr>
      </w:pPr>
      <w:r>
        <w:rPr>
          <w:rFonts w:ascii="Times New Roman" w:cs="Times New Roman" w:eastAsia="Times New Roman" w:hAnsi="Times New Roman"/>
          <w:sz w:val="16"/>
          <w:szCs w:val="16"/>
          <w:color w:val="auto"/>
        </w:rPr>
        <w:t xml:space="preserve">Share-based compensation Accelerated shares repurchased </w:t>
      </w:r>
      <w:r>
        <w:rPr>
          <w:rFonts w:ascii="Times New Roman" w:cs="Times New Roman" w:eastAsia="Times New Roman" w:hAnsi="Times New Roman"/>
          <w:sz w:val="16"/>
          <w:szCs w:val="16"/>
          <w:b w:val="1"/>
          <w:bCs w:val="1"/>
          <w:color w:val="auto"/>
        </w:rPr>
        <w:t>Balance, September 30, 2024</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5177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77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8"/>
                <w:szCs w:val="18"/>
                <w:color w:val="auto"/>
              </w:rPr>
            </w:pP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83"/>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7"/>
                <w:szCs w:val="7"/>
                <w:color w:val="auto"/>
              </w:rPr>
            </w:pPr>
          </w:p>
        </w:tc>
        <w:tc>
          <w:tcPr>
            <w:tcW w:w="1240" w:type="dxa"/>
            <w:vAlign w:val="bottom"/>
            <w:gridSpan w:val="2"/>
          </w:tcPr>
          <w:p>
            <w:pPr>
              <w:jc w:val="center"/>
              <w:ind w:right="240"/>
              <w:spacing w:after="0" w:line="84"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100" w:type="dxa"/>
            <w:vAlign w:val="bottom"/>
          </w:tcPr>
          <w:p>
            <w:pPr>
              <w:spacing w:after="0"/>
              <w:rPr>
                <w:sz w:val="7"/>
                <w:szCs w:val="7"/>
                <w:color w:val="auto"/>
              </w:rPr>
            </w:pPr>
          </w:p>
        </w:tc>
        <w:tc>
          <w:tcPr>
            <w:tcW w:w="780" w:type="dxa"/>
            <w:vAlign w:val="bottom"/>
            <w:gridSpan w:val="2"/>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0"/>
                <w:szCs w:val="10"/>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90,920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(647,262)</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1,302,484</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946,859</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1,587,884</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0" w:type="dxa"/>
            <w:vAlign w:val="bottom"/>
          </w:tcPr>
          <w:p>
            <w:pPr>
              <w:spacing w:after="0"/>
              <w:rPr>
                <w:sz w:val="1"/>
                <w:szCs w:val="1"/>
                <w:color w:val="auto"/>
              </w:rPr>
            </w:pPr>
          </w:p>
        </w:tc>
      </w:tr>
      <w:tr>
        <w:trPr>
          <w:trHeight w:val="297"/>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459"/>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0" w:type="dxa"/>
            <w:vAlign w:val="bottom"/>
          </w:tcPr>
          <w:p>
            <w:pPr>
              <w:spacing w:after="0"/>
              <w:rPr>
                <w:sz w:val="1"/>
                <w:szCs w:val="1"/>
                <w:color w:val="auto"/>
              </w:rPr>
            </w:pPr>
          </w:p>
        </w:tc>
      </w:tr>
      <w:tr>
        <w:trPr>
          <w:trHeight w:val="378"/>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0" w:type="dxa"/>
            <w:vAlign w:val="bottom"/>
          </w:tcPr>
          <w:p>
            <w:pPr>
              <w:spacing w:after="0"/>
              <w:rPr>
                <w:sz w:val="1"/>
                <w:szCs w:val="1"/>
                <w:color w:val="auto"/>
              </w:rPr>
            </w:pPr>
          </w:p>
        </w:tc>
      </w:tr>
      <w:tr>
        <w:trPr>
          <w:trHeight w:val="219"/>
        </w:trPr>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91,484</w:t>
            </w:r>
          </w:p>
        </w:tc>
        <w:tc>
          <w:tcPr>
            <w:tcW w:w="10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(12,735)</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(646,422)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1,310,527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(10,646)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943,578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1,597,952</w:t>
            </w:r>
          </w:p>
        </w:tc>
        <w:tc>
          <w:tcPr>
            <w:tcW w:w="0" w:type="dxa"/>
            <w:vAlign w:val="bottom"/>
          </w:tcPr>
          <w:p>
            <w:pPr>
              <w:spacing w:after="0"/>
              <w:rPr>
                <w:sz w:val="1"/>
                <w:szCs w:val="1"/>
                <w:color w:val="auto"/>
              </w:rPr>
            </w:pPr>
          </w:p>
        </w:tc>
      </w:tr>
      <w:tr>
        <w:trPr>
          <w:trHeight w:val="214"/>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w:t>
            </w:r>
          </w:p>
        </w:tc>
        <w:tc>
          <w:tcPr>
            <w:tcW w:w="0" w:type="dxa"/>
            <w:vAlign w:val="bottom"/>
          </w:tcPr>
          <w:p>
            <w:pPr>
              <w:spacing w:after="0"/>
              <w:rPr>
                <w:sz w:val="1"/>
                <w:szCs w:val="1"/>
                <w:color w:val="auto"/>
              </w:rPr>
            </w:pPr>
          </w:p>
        </w:tc>
      </w:tr>
      <w:tr>
        <w:trPr>
          <w:trHeight w:val="378"/>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378"/>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0" w:type="dxa"/>
            <w:vAlign w:val="bottom"/>
          </w:tcPr>
          <w:p>
            <w:pPr>
              <w:spacing w:after="0"/>
              <w:rPr>
                <w:sz w:val="1"/>
                <w:szCs w:val="1"/>
                <w:color w:val="auto"/>
              </w:rPr>
            </w:pPr>
          </w:p>
        </w:tc>
      </w:tr>
      <w:tr>
        <w:trPr>
          <w:trHeight w:val="219"/>
        </w:trPr>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(34,351)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(50,500)</w:t>
            </w:r>
          </w:p>
        </w:tc>
        <w:tc>
          <w:tcPr>
            <w:tcW w:w="0" w:type="dxa"/>
            <w:vAlign w:val="bottom"/>
          </w:tcPr>
          <w:p>
            <w:pPr>
              <w:spacing w:after="0"/>
              <w:rPr>
                <w:sz w:val="1"/>
                <w:szCs w:val="1"/>
                <w:color w:val="auto"/>
              </w:rPr>
            </w:pPr>
          </w:p>
        </w:tc>
      </w:tr>
      <w:tr>
        <w:trPr>
          <w:trHeight w:val="209"/>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91,591</w:t>
            </w:r>
          </w:p>
        </w:tc>
        <w:tc>
          <w:tcPr>
            <w:tcW w:w="10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(14,008)</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(680,753)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1,301,582</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(18,726)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931,176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1,534,195</w:t>
            </w:r>
          </w:p>
        </w:tc>
        <w:tc>
          <w:tcPr>
            <w:tcW w:w="0" w:type="dxa"/>
            <w:vAlign w:val="bottom"/>
          </w:tcPr>
          <w:p>
            <w:pPr>
              <w:spacing w:after="0"/>
              <w:rPr>
                <w:sz w:val="1"/>
                <w:szCs w:val="1"/>
                <w:color w:val="auto"/>
              </w:rPr>
            </w:pPr>
          </w:p>
        </w:tc>
      </w:tr>
      <w:tr>
        <w:trPr>
          <w:trHeight w:val="214"/>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(6,128)</w:t>
            </w:r>
          </w:p>
        </w:tc>
        <w:tc>
          <w:tcPr>
            <w:tcW w:w="0" w:type="dxa"/>
            <w:vAlign w:val="bottom"/>
          </w:tcPr>
          <w:p>
            <w:pPr>
              <w:spacing w:after="0"/>
              <w:rPr>
                <w:sz w:val="1"/>
                <w:szCs w:val="1"/>
                <w:color w:val="auto"/>
              </w:rPr>
            </w:pPr>
          </w:p>
        </w:tc>
      </w:tr>
      <w:tr>
        <w:trPr>
          <w:trHeight w:val="378"/>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378"/>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0" w:type="dxa"/>
            <w:vAlign w:val="bottom"/>
          </w:tcPr>
          <w:p>
            <w:pPr>
              <w:spacing w:after="0"/>
              <w:rPr>
                <w:sz w:val="1"/>
                <w:szCs w:val="1"/>
                <w:color w:val="auto"/>
              </w:rPr>
            </w:pPr>
          </w:p>
        </w:tc>
      </w:tr>
      <w:tr>
        <w:trPr>
          <w:trHeight w:val="219"/>
        </w:trPr>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91,588</w:t>
            </w:r>
          </w:p>
        </w:tc>
        <w:tc>
          <w:tcPr>
            <w:tcW w:w="10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(14,454)</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(691,810)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1,316,854</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(24,854)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920,481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1,521,587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-3494405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-3211830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-2834640</wp:posOffset>
            </wp:positionV>
            <wp:extent cx="713232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-2354580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-2071370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-1797050</wp:posOffset>
            </wp:positionV>
            <wp:extent cx="713232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-1316990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-1034415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-760095</wp:posOffset>
            </wp:positionV>
            <wp:extent cx="713232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-280035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3040" w:space="40"/>
            <w:col w:w="81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January 1, 2023</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p>
      <w:pPr>
        <w:spacing w:after="0" w:line="32" w:lineRule="exact"/>
        <w:rPr>
          <w:sz w:val="20"/>
          <w:szCs w:val="20"/>
          <w:color w:val="auto"/>
        </w:rPr>
      </w:pPr>
    </w:p>
    <w:p>
      <w:pPr>
        <w:ind w:left="20" w:right="80"/>
        <w:spacing w:after="0" w:line="245" w:lineRule="auto"/>
        <w:rPr>
          <w:sz w:val="20"/>
          <w:szCs w:val="20"/>
          <w:color w:val="auto"/>
        </w:rPr>
      </w:pPr>
      <w:r>
        <w:rPr>
          <w:rFonts w:ascii="Times New Roman" w:cs="Times New Roman" w:eastAsia="Times New Roman" w:hAnsi="Times New Roman"/>
          <w:sz w:val="16"/>
          <w:szCs w:val="16"/>
          <w:color w:val="auto"/>
        </w:rPr>
        <w:t>Issuance of common stock through employee stock purchase plan</w:t>
      </w:r>
    </w:p>
    <w:p>
      <w:pPr>
        <w:spacing w:after="0" w:line="2"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 and forfeitures</w:t>
      </w:r>
    </w:p>
    <w:p>
      <w:pPr>
        <w:spacing w:after="0" w:line="6" w:lineRule="exact"/>
        <w:rPr>
          <w:sz w:val="20"/>
          <w:szCs w:val="20"/>
          <w:color w:val="auto"/>
        </w:rPr>
      </w:pPr>
    </w:p>
    <w:p>
      <w:pPr>
        <w:ind w:left="20" w:right="980"/>
        <w:spacing w:after="0" w:line="289" w:lineRule="auto"/>
        <w:rPr>
          <w:sz w:val="20"/>
          <w:szCs w:val="20"/>
          <w:color w:val="auto"/>
        </w:rPr>
      </w:pPr>
      <w:r>
        <w:rPr>
          <w:rFonts w:ascii="Times New Roman" w:cs="Times New Roman" w:eastAsia="Times New Roman" w:hAnsi="Times New Roman"/>
          <w:sz w:val="16"/>
          <w:szCs w:val="16"/>
          <w:color w:val="auto"/>
        </w:rPr>
        <w:t>Share-based compensation Accelerated shares repurchased</w:t>
      </w:r>
    </w:p>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2023</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p>
      <w:pPr>
        <w:spacing w:after="0" w:line="32"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 and forfeitures</w:t>
      </w:r>
    </w:p>
    <w:p>
      <w:pPr>
        <w:spacing w:after="0" w:line="6" w:lineRule="exact"/>
        <w:rPr>
          <w:sz w:val="20"/>
          <w:szCs w:val="20"/>
          <w:color w:val="auto"/>
        </w:rPr>
      </w:pPr>
    </w:p>
    <w:p>
      <w:pPr>
        <w:ind w:left="20" w:right="980"/>
        <w:spacing w:after="0" w:line="289" w:lineRule="auto"/>
        <w:rPr>
          <w:sz w:val="20"/>
          <w:szCs w:val="20"/>
          <w:color w:val="auto"/>
        </w:rPr>
      </w:pPr>
      <w:r>
        <w:rPr>
          <w:rFonts w:ascii="Times New Roman" w:cs="Times New Roman" w:eastAsia="Times New Roman" w:hAnsi="Times New Roman"/>
          <w:sz w:val="16"/>
          <w:szCs w:val="16"/>
          <w:color w:val="auto"/>
        </w:rPr>
        <w:t>Share-based compensation Accelerated shares repurchased</w:t>
      </w:r>
    </w:p>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2023</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p>
      <w:pPr>
        <w:spacing w:after="0" w:line="32"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 and forfeitures</w:t>
      </w:r>
    </w:p>
    <w:p>
      <w:pPr>
        <w:spacing w:after="0" w:line="6" w:lineRule="exact"/>
        <w:rPr>
          <w:sz w:val="20"/>
          <w:szCs w:val="20"/>
          <w:color w:val="auto"/>
        </w:rPr>
      </w:pPr>
    </w:p>
    <w:p>
      <w:pPr>
        <w:ind w:left="20" w:right="980"/>
        <w:spacing w:after="0" w:line="289" w:lineRule="auto"/>
        <w:rPr>
          <w:sz w:val="20"/>
          <w:szCs w:val="20"/>
          <w:color w:val="auto"/>
        </w:rPr>
      </w:pPr>
      <w:r>
        <w:rPr>
          <w:rFonts w:ascii="Times New Roman" w:cs="Times New Roman" w:eastAsia="Times New Roman" w:hAnsi="Times New Roman"/>
          <w:sz w:val="16"/>
          <w:szCs w:val="16"/>
          <w:color w:val="auto"/>
        </w:rPr>
        <w:t>Share-based compensation Accelerated shares repurchased</w:t>
      </w:r>
    </w:p>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5177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8"/>
                <w:szCs w:val="18"/>
                <w:color w:val="auto"/>
              </w:rPr>
            </w:pP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83"/>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7"/>
                <w:szCs w:val="7"/>
                <w:color w:val="auto"/>
              </w:rPr>
            </w:pPr>
          </w:p>
        </w:tc>
        <w:tc>
          <w:tcPr>
            <w:tcW w:w="1240" w:type="dxa"/>
            <w:vAlign w:val="bottom"/>
            <w:gridSpan w:val="2"/>
          </w:tcPr>
          <w:p>
            <w:pPr>
              <w:jc w:val="center"/>
              <w:ind w:right="240"/>
              <w:spacing w:after="0" w:line="84"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100" w:type="dxa"/>
            <w:vAlign w:val="bottom"/>
          </w:tcPr>
          <w:p>
            <w:pPr>
              <w:spacing w:after="0"/>
              <w:rPr>
                <w:sz w:val="7"/>
                <w:szCs w:val="7"/>
                <w:color w:val="auto"/>
              </w:rPr>
            </w:pPr>
          </w:p>
        </w:tc>
        <w:tc>
          <w:tcPr>
            <w:tcW w:w="780" w:type="dxa"/>
            <w:vAlign w:val="bottom"/>
            <w:gridSpan w:val="2"/>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0"/>
                <w:szCs w:val="10"/>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90,476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(362,862)</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1,276,977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879,118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1,804,403</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24,226</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0" w:type="dxa"/>
            <w:vAlign w:val="bottom"/>
          </w:tcPr>
          <w:p>
            <w:pPr>
              <w:spacing w:after="0"/>
              <w:rPr>
                <w:sz w:val="1"/>
                <w:szCs w:val="1"/>
                <w:color w:val="auto"/>
              </w:rPr>
            </w:pPr>
          </w:p>
        </w:tc>
      </w:tr>
      <w:tr>
        <w:trPr>
          <w:trHeight w:val="297"/>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459"/>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0" w:type="dxa"/>
            <w:vAlign w:val="bottom"/>
          </w:tcPr>
          <w:p>
            <w:pPr>
              <w:spacing w:after="0"/>
              <w:rPr>
                <w:sz w:val="1"/>
                <w:szCs w:val="1"/>
                <w:color w:val="auto"/>
              </w:rPr>
            </w:pPr>
          </w:p>
        </w:tc>
      </w:tr>
      <w:tr>
        <w:trPr>
          <w:trHeight w:val="378"/>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(151,200)</w:t>
            </w:r>
          </w:p>
        </w:tc>
        <w:tc>
          <w:tcPr>
            <w:tcW w:w="0" w:type="dxa"/>
            <w:vAlign w:val="bottom"/>
          </w:tcPr>
          <w:p>
            <w:pPr>
              <w:spacing w:after="0"/>
              <w:rPr>
                <w:sz w:val="1"/>
                <w:szCs w:val="1"/>
                <w:color w:val="auto"/>
              </w:rPr>
            </w:pPr>
          </w:p>
        </w:tc>
      </w:tr>
      <w:tr>
        <w:trPr>
          <w:trHeight w:val="219"/>
        </w:trPr>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90,813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908</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(8,918)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(481,678)</w:t>
            </w:r>
          </w:p>
        </w:tc>
        <w:tc>
          <w:tcPr>
            <w:tcW w:w="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1,245,297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7,067</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903,344</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1,674,938</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0" w:type="dxa"/>
            <w:vAlign w:val="bottom"/>
          </w:tcPr>
          <w:p>
            <w:pPr>
              <w:spacing w:after="0"/>
              <w:rPr>
                <w:sz w:val="1"/>
                <w:szCs w:val="1"/>
                <w:color w:val="auto"/>
              </w:rPr>
            </w:pPr>
          </w:p>
        </w:tc>
      </w:tr>
      <w:tr>
        <w:trPr>
          <w:trHeight w:val="378"/>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378"/>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90,881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909</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(9,527)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(513,782)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1,283,675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4,830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907,528</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1,683,160</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19,497</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0" w:type="dxa"/>
            <w:vAlign w:val="bottom"/>
          </w:tcPr>
          <w:p>
            <w:pPr>
              <w:spacing w:after="0"/>
              <w:rPr>
                <w:sz w:val="1"/>
                <w:szCs w:val="1"/>
                <w:color w:val="auto"/>
              </w:rPr>
            </w:pPr>
          </w:p>
        </w:tc>
      </w:tr>
      <w:tr>
        <w:trPr>
          <w:trHeight w:val="378"/>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378"/>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(126,249)</w:t>
            </w:r>
          </w:p>
        </w:tc>
        <w:tc>
          <w:tcPr>
            <w:tcW w:w="0" w:type="dxa"/>
            <w:vAlign w:val="bottom"/>
          </w:tcPr>
          <w:p>
            <w:pPr>
              <w:spacing w:after="0"/>
              <w:rPr>
                <w:sz w:val="1"/>
                <w:szCs w:val="1"/>
                <w:color w:val="auto"/>
              </w:rPr>
            </w:pPr>
          </w:p>
        </w:tc>
      </w:tr>
      <w:tr>
        <w:trPr>
          <w:trHeight w:val="219"/>
        </w:trPr>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90,935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909</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(11,823)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(612,777)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1,262,319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1,745</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927,025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1,579,221</w:t>
            </w:r>
          </w:p>
        </w:tc>
        <w:tc>
          <w:tcPr>
            <w:tcW w:w="0" w:type="dxa"/>
            <w:vAlign w:val="bottom"/>
          </w:tcPr>
          <w:p>
            <w:pPr>
              <w:spacing w:after="0"/>
              <w:rPr>
                <w:sz w:val="1"/>
                <w:szCs w:val="1"/>
                <w:color w:val="auto"/>
              </w:rPr>
            </w:pPr>
          </w:p>
        </w:tc>
      </w:tr>
      <w:tr>
        <w:trPr>
          <w:trHeight w:val="24"/>
        </w:trPr>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-3573780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-3291205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-2914015</wp:posOffset>
            </wp:positionV>
            <wp:extent cx="713232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-2433955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-2142490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-1851025</wp:posOffset>
            </wp:positionV>
            <wp:extent cx="7132320"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-1370965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-1079500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-788035</wp:posOffset>
            </wp:positionV>
            <wp:extent cx="7132320"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-307975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40"/>
            <w:col w:w="8160"/>
          </w:cols>
          <w:pgMar w:left="320" w:top="121" w:right="3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“we,” “our,” “us,” “Company” and “Integra” refer to Integra LifeSciences Holdings Corporation, a Delaware corporation, and its subsidiaries unless the context suggests otherwise.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September 30, 2024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in the United States (“GAAP”)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2023 included in the Company’s Annual Report on Form 10-K. The consolidated balance sheet as of December 31, 2023 was derived from audited financial statements, but does not include all disclosures required by GAAP. Operating results for the three and nine-month period ended September 30, 2024 are not necessarily indicative of the results to be expected for the entire year.</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is in conformity with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unaudited condensed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ASU 2020-04, </w:t>
      </w:r>
      <w:r>
        <w:rPr>
          <w:rFonts w:ascii="Times New Roman" w:cs="Times New Roman" w:eastAsia="Times New Roman" w:hAnsi="Times New Roman"/>
          <w:sz w:val="18"/>
          <w:szCs w:val="18"/>
          <w:i w:val="1"/>
          <w:iCs w:val="1"/>
          <w:color w:val="auto"/>
        </w:rPr>
        <w:t>Reference Rate Reform (Topic 848): Facilitation of the Effects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of Reference Rate Reform on Financial Reporting</w:t>
      </w:r>
      <w:r>
        <w:rPr>
          <w:rFonts w:ascii="Times New Roman" w:cs="Times New Roman" w:eastAsia="Times New Roman" w:hAnsi="Times New Roman"/>
          <w:sz w:val="18"/>
          <w:szCs w:val="18"/>
          <w:color w:val="auto"/>
        </w:rPr>
        <w:t>, and, in January 2021, subsequently amended the initial guidance in</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2021-01,</w:t>
      </w:r>
      <w:r>
        <w:rPr>
          <w:rFonts w:ascii="Times New Roman" w:cs="Times New Roman" w:eastAsia="Times New Roman" w:hAnsi="Times New Roman"/>
          <w:sz w:val="18"/>
          <w:szCs w:val="18"/>
          <w:i w:val="1"/>
          <w:iCs w:val="1"/>
          <w:color w:val="auto"/>
        </w:rPr>
        <w:t xml:space="preserve"> Reference Rate Reform (Topic 848): Scope </w:t>
      </w:r>
      <w:r>
        <w:rPr>
          <w:rFonts w:ascii="Times New Roman" w:cs="Times New Roman" w:eastAsia="Times New Roman" w:hAnsi="Times New Roman"/>
          <w:sz w:val="18"/>
          <w:szCs w:val="18"/>
          <w:color w:val="auto"/>
        </w:rPr>
        <w:t>(collectively, “Topic 848”). Topic 848 provides optional expedients and exceptions for applying GAAP to contracts,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In December 2022, the FASB issued ASU 2022-06</w:t>
      </w:r>
      <w:r>
        <w:rPr>
          <w:rFonts w:ascii="Times New Roman" w:cs="Times New Roman" w:eastAsia="Times New Roman" w:hAnsi="Times New Roman"/>
          <w:sz w:val="18"/>
          <w:szCs w:val="18"/>
          <w:i w:val="1"/>
          <w:iCs w:val="1"/>
          <w:color w:val="auto"/>
        </w:rPr>
        <w:t>, Reference Rate Reform (Topic 848): Deferral of the Sunset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w:t>
      </w:r>
      <w:r>
        <w:rPr>
          <w:rFonts w:ascii="Times New Roman" w:cs="Times New Roman" w:eastAsia="Times New Roman" w:hAnsi="Times New Roman"/>
          <w:sz w:val="18"/>
          <w:szCs w:val="18"/>
          <w:color w:val="auto"/>
        </w:rPr>
        <w:t>, which delayed the effective date from December 31, 2022 to December 31, 2024. The Alternative Reference Rates Committee, a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private-market participants convened by the U.S. Federal Reserve Board and the New York Federal Reserve, has recommended the use of the Secured Overnight Financing Rate (“SOFR”) as a more robust reference rate alternative to LIBOR. On March 24, 2023, the Company entered into the seventh amendment and restatement (the “March 2023 Amendment”) of its Senior Credit Facility (the “Senior Credit Facility”) with a syndicate of lending banks with Bank of America, N.A., as Administrative Agent. In connection with the March 2023 Amendment, the Company replaced all LIBOR-based contracts with SOFR, which is calculated based on overnight transactions under repurchase agreements backed by Treasury securities. In addition, on April 17, 2023 the Company entered into an amendment (the “April 2023 Amendment”) of the Securitization Facility (as defined below) and amended the interest rate from LIBOR to a SOFR-indexed rate. (See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In March 2023, the Company entered into a basis swap where the Company receives Term SOFR and pays daily compounded SOFR to convert the portfolio of swaps from daily compounded SOFR to term SOFR. The Company has elected to adopt the optional expedient under Topic 848, which will allow the interest rate swap hedging relationship to continue, without de-designation, due to the change in the indexed rate from LIBOR to SOFR.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enhances the transparency of income tax disclosures by expanding annual disclosure requirements related to the rate reconciliation and income taxes paid. The amendments are effective for fiscal years beginning after December 15, 2024. Early adoption is permitted. The amendments should be applied retrospectively to all prior periods presented in the financial statements. The Company does not plan to early adopt and is currently evaluating this ASU to determine its impact on the Company’s disclosures.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does not plan to early adopt and is currently evaluating this ASU to determine its impact on the Company’s disclosures.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are expected to have any significant effect on the Company’s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had cash and cash equivalents, primarily consisting of cash on-hand as well as time deposits with original maturities of three months or less and money market funds which are highly liquid and readily convertible to cash, totaling approximately $215.2 million and $276.4 million at September 30, 2024 and December 31, 2023 respectively. Time deposits with original maturities of three months or less and money market funds are valued based on Level 1 measurements in the fair value hierarchy established within FASB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Level 1 inputs represent quoted prices in active markets for identical assets or liabilities.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0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Company had short term investments, primarily consisting of time deposits with original maturities between three months and one year, which are valued based on Level 1 measurements in the fair value hierarchy, totaling approximately $62.4 million at September 30, 2024 compared to $32.7 million at December 31, 2023.</w:t>
      </w:r>
    </w:p>
    <w:p>
      <w:pPr>
        <w:spacing w:after="0" w:line="186" w:lineRule="exact"/>
        <w:rPr>
          <w:sz w:val="20"/>
          <w:szCs w:val="20"/>
          <w:color w:val="auto"/>
        </w:rPr>
      </w:pPr>
    </w:p>
    <w:p>
      <w:pPr>
        <w:ind w:right="7920" w:firstLine="8"/>
        <w:spacing w:after="0" w:line="383" w:lineRule="auto"/>
        <w:tabs>
          <w:tab w:leader="none" w:pos="17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AND DIVESTITURES </w:t>
      </w:r>
      <w:r>
        <w:rPr>
          <w:rFonts w:ascii="Times New Roman" w:cs="Times New Roman" w:eastAsia="Times New Roman" w:hAnsi="Times New Roman"/>
          <w:sz w:val="17"/>
          <w:szCs w:val="17"/>
          <w:b w:val="1"/>
          <w:bCs w:val="1"/>
          <w:i w:val="1"/>
          <w:iCs w:val="1"/>
          <w:color w:val="auto"/>
        </w:rPr>
        <w:t>Acquisition of Acclarent, Inc.</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 2024, the Company completed the acquisition of all of the outstanding capital stock of Acclarent, Inc. (“Acclarent”), a developer and marketer of medical devices used in ear, nose, throat (“ENT”) procedures, from Ethicon, Inc., a subsidiary of Johnson &amp; Johnson, for approximately $282.0 million in cash, subject to customary adjustments set forth in the purchase agreement related to working capital balances transferred to the Company. In September 2024, the Company finalized the working capital adjustment in the amount of $4.2 million, which resulted in a reduction to goodwill. This adjustment will be settled during the three months ending December 31, 2024. The addition of Acclarent’s ENT product portfolio, including sinus balloon dilation, eustachian tube balloon dilation, and surgical navigation systems technologies, and dedicated salesforce will enhance the Company’s position in the ENT specialty device market.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Acclarent’s results of operations have been reported in the Company’s Codman Specialty Surgical reportable segment from the date of acquisition. The Company recorded revenue from Acclarent of approximately $62.3 million, in the consolidated statements of operations and comprehensive income for the nine months ended September 30, 2024. The net income or loss attributable to this acquisition cannot be identified on a stand-alone basis because it is in the process of being integrated into the Company’s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Acquired and Liabilities Assumed at Fair Value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Acclarent acquisition has been accounted for using the acquisition method of accounting in accordance with FASB Topic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(“ASC 805”). This method requires that assets acquired and liabilities assumed in a business combination are recognized at their fair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acquisition date. The Company estimated fair values at the date of acquisition for the preliminary allocation of consideration to the net tangible and intangible assets acquired and liabilities assumed. The Company has not completed its analysis regarding the assets acquired and liabilities assumed. Therefore, the allocation to intangible assets, goodwill, and income taxes are preliminary and subject to finalization. During the measurement period ending no later than one year after the acquisition date, the Company will continue to obtain information to assist in finalizing the fair values of the net assets acquired, which may differ materially from these preliminary estimates. If any measurement period adjustment is material, the Company will record such adjustment, including any related impact on net income, in the reporting period in which the adjustment is determined.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the assets acquired and liabilities assumed at the acquisition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3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r>
      <w:tr>
        <w:trPr>
          <w:trHeight w:val="20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2"/>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Completed technology</w:t>
            </w:r>
          </w:p>
        </w:tc>
        <w:tc>
          <w:tcPr>
            <w:tcW w:w="2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 years</w:t>
            </w: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Trademarks/brand names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 other</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 years</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61,396</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343,723</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8"/>
        </w:trPr>
        <w:tc>
          <w:tcPr>
            <w:tcW w:w="7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2"/>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trade</w:t>
            </w:r>
          </w:p>
        </w:tc>
        <w:tc>
          <w:tcPr>
            <w:tcW w:w="2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30"/>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lease liability - operating leases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7"/>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11,653</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53,635</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65,912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7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3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277,811</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trade accounts receivable, prepaid expenses, other current assets, accounts payable, contract liabilities, accrued compensation, accrued expenses and other current liabilities, as well as certain other current and non-current assets and liabilities, generally represented the fair value at the date of acquisition.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estimated fair value of the intangible assets acquired was determined using the multi-period, excess earnings method of the income approach, which estimates value based on the present value of future economic benefits attributable to the intangible assets. The significant assumptions used in developing the valuation included the estimated annual net cash flows including application of forecasted revenue, the discount rate that appropriately reflects the risk inherent in each future cash flow stream, and an assessment of the asset’s life cycle, as well as other factors. The assumptions used in the financial forecasts were based on historical data, supplemented by current and anticipated growth rates, management plans, and market-comparable information. Fair-value determinations require considerable judgment and are sensitive to changes in underlying assumptions and factors. Preliminary assumptions may change and may result in significant changes to the final valuation. The intangible assets acquired have a weighted average useful life of 11 years.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used a discount rate of 12.2%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Goodwill is the excess of the consideration transferred over the net assets recognized and represents the expected synergies of the combined company and assembled workforce. Goodwill has been allocated to the Codman Specialty Surgical segment, as shown in </w:t>
      </w:r>
      <w:r>
        <w:rPr>
          <w:rFonts w:ascii="Times New Roman" w:cs="Times New Roman" w:eastAsia="Times New Roman" w:hAnsi="Times New Roman"/>
          <w:sz w:val="18"/>
          <w:szCs w:val="18"/>
          <w:i w:val="1"/>
          <w:iCs w:val="1"/>
          <w:color w:val="auto"/>
        </w:rPr>
        <w:t>Note 5. Goodwill and Other Intangible Assets</w:t>
      </w:r>
      <w:r>
        <w:rPr>
          <w:rFonts w:ascii="Times New Roman" w:cs="Times New Roman" w:eastAsia="Times New Roman" w:hAnsi="Times New Roman"/>
          <w:sz w:val="18"/>
          <w:szCs w:val="18"/>
          <w:color w:val="auto"/>
        </w:rPr>
        <w:t>. Goodwill recognized as a result of this acquisition is non-deductible for income tax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Liabilities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Durepair®</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 2024, the Company completed the acquisition of the product rights for Durepair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Regeneration Matrix (“Durepair”), a non-synthetic dura substitute for repair of the dura mater during neurosurgical procedures, from Medtronic plc for total consideration of $45.0 million. The Company made a cash payment of $10.0 million upon the closing of the acquisition and will make additional cash payments of $15.0 million upon the first anniversary of the acquisition and $20.0 million upon the second anniversary of the acquisition.</w:t>
      </w:r>
    </w:p>
    <w:p>
      <w:pPr>
        <w:spacing w:after="0" w:line="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will account for the acquisition of the product rights for Durepair, which consist of certain patents and trademarks, regulatory approvals, and other records, as an asset acquisition in accordance with ASC 805 because the acquisition does not include an assembled workforce and substantially all of the fair value of the assets acquired is concentrated in a single identifiable asset and, thus, the assets are not considered a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Accounting Policies on Revenue Recognition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 and Liability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recognized from the Company’s private label business that are not invoiced to the customers as a result of recognizing revenue over time are recorded as a contract asset included in the other current assets account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contract asset and liability balances for the nine months ended September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50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90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Contract Asset</w:t>
            </w:r>
          </w:p>
        </w:tc>
        <w:tc>
          <w:tcPr>
            <w:tcW w:w="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0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asset, January 1, 2024</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9,233</w:t>
            </w:r>
          </w:p>
        </w:tc>
      </w:tr>
      <w:tr>
        <w:trPr>
          <w:trHeight w:val="219"/>
        </w:trPr>
        <w:tc>
          <w:tcPr>
            <w:tcW w:w="20" w:type="dxa"/>
            <w:vAlign w:val="bottom"/>
            <w:shd w:val="clear" w:color="auto" w:fill="CCEEFF"/>
          </w:tcPr>
          <w:p>
            <w:pPr>
              <w:spacing w:after="0"/>
              <w:rPr>
                <w:sz w:val="19"/>
                <w:szCs w:val="19"/>
                <w:color w:val="auto"/>
              </w:rPr>
            </w:pPr>
          </w:p>
        </w:tc>
        <w:tc>
          <w:tcPr>
            <w:tcW w:w="90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Transferred to trade receivable from contract asset included in beginning of the year contract asset</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(9,233)</w:t>
            </w:r>
          </w:p>
        </w:tc>
      </w:tr>
      <w:tr>
        <w:trPr>
          <w:trHeight w:val="213"/>
        </w:trPr>
        <w:tc>
          <w:tcPr>
            <w:tcW w:w="20" w:type="dxa"/>
            <w:vAlign w:val="bottom"/>
          </w:tcPr>
          <w:p>
            <w:pPr>
              <w:spacing w:after="0"/>
              <w:rPr>
                <w:sz w:val="18"/>
                <w:szCs w:val="18"/>
                <w:color w:val="auto"/>
              </w:rPr>
            </w:pPr>
          </w:p>
        </w:tc>
        <w:tc>
          <w:tcPr>
            <w:tcW w:w="90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Contract asset, net of transferred to trade receivables on contracts during the period</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7,828</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90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asset, September 30, 2024</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908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Contract Liability</w:t>
            </w:r>
          </w:p>
        </w:tc>
        <w:tc>
          <w:tcPr>
            <w:tcW w:w="5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0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liability, January 1, 2024</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16,252</w:t>
            </w:r>
          </w:p>
        </w:tc>
      </w:tr>
      <w:tr>
        <w:trPr>
          <w:trHeight w:val="219"/>
        </w:trPr>
        <w:tc>
          <w:tcPr>
            <w:tcW w:w="20" w:type="dxa"/>
            <w:vAlign w:val="bottom"/>
            <w:shd w:val="clear" w:color="auto" w:fill="CCEEFF"/>
          </w:tcPr>
          <w:p>
            <w:pPr>
              <w:spacing w:after="0"/>
              <w:rPr>
                <w:sz w:val="19"/>
                <w:szCs w:val="19"/>
                <w:color w:val="auto"/>
              </w:rPr>
            </w:pPr>
          </w:p>
        </w:tc>
        <w:tc>
          <w:tcPr>
            <w:tcW w:w="90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Recognition of revenue included in beginning of year contract liability</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(6,616)</w:t>
            </w:r>
          </w:p>
        </w:tc>
      </w:tr>
      <w:tr>
        <w:trPr>
          <w:trHeight w:val="213"/>
        </w:trPr>
        <w:tc>
          <w:tcPr>
            <w:tcW w:w="20" w:type="dxa"/>
            <w:vAlign w:val="bottom"/>
          </w:tcPr>
          <w:p>
            <w:pPr>
              <w:spacing w:after="0"/>
              <w:rPr>
                <w:sz w:val="18"/>
                <w:szCs w:val="18"/>
                <w:color w:val="auto"/>
              </w:rPr>
            </w:pPr>
          </w:p>
        </w:tc>
        <w:tc>
          <w:tcPr>
            <w:tcW w:w="90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Contract liability, acquired with Acclarent</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w:t>
            </w:r>
          </w:p>
        </w:tc>
      </w:tr>
      <w:tr>
        <w:trPr>
          <w:trHeight w:val="219"/>
        </w:trPr>
        <w:tc>
          <w:tcPr>
            <w:tcW w:w="20" w:type="dxa"/>
            <w:vAlign w:val="bottom"/>
            <w:shd w:val="clear" w:color="auto" w:fill="CCEEFF"/>
          </w:tcPr>
          <w:p>
            <w:pPr>
              <w:spacing w:after="0"/>
              <w:rPr>
                <w:sz w:val="19"/>
                <w:szCs w:val="19"/>
                <w:color w:val="auto"/>
              </w:rPr>
            </w:pPr>
          </w:p>
        </w:tc>
        <w:tc>
          <w:tcPr>
            <w:tcW w:w="90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Contract liability, net of revenue recognized on contracts during the period</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w:t>
            </w:r>
          </w:p>
        </w:tc>
      </w:tr>
      <w:tr>
        <w:trPr>
          <w:trHeight w:val="213"/>
        </w:trPr>
        <w:tc>
          <w:tcPr>
            <w:tcW w:w="20" w:type="dxa"/>
            <w:vAlign w:val="bottom"/>
          </w:tcPr>
          <w:p>
            <w:pPr>
              <w:spacing w:after="0"/>
              <w:rPr>
                <w:sz w:val="18"/>
                <w:szCs w:val="18"/>
                <w:color w:val="auto"/>
              </w:rPr>
            </w:pPr>
          </w:p>
        </w:tc>
        <w:tc>
          <w:tcPr>
            <w:tcW w:w="90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90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liability, September 30, 2024</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2024, the short-term portion of the contract liability of $10.0 million and the long-term portion of $8.1 million are included in current liabilities and other liabilities, respectively, in the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is expected to recognize revenue of approximately 55% of unsatisfied (or partially unsatisfied) performance obligations as revenue within 12 months, with the remaining balance to be recognized thereafter.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Fees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Collected from Customers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of revenues for the three and nine months ended September 30, 2024 and 2023 (dollar amounts in thousands):</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1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Neurosurgery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175,956</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209,229</w:t>
            </w:r>
          </w:p>
        </w:tc>
        <w:tc>
          <w:tcPr>
            <w:tcW w:w="80" w:type="dxa"/>
            <w:vAlign w:val="bottom"/>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583,726</w:t>
            </w:r>
          </w:p>
        </w:tc>
        <w:tc>
          <w:tcPr>
            <w:tcW w:w="100" w:type="dxa"/>
            <w:vAlign w:val="bottom"/>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607,902</w:t>
            </w:r>
          </w:p>
        </w:tc>
      </w:t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49,920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152,523</w:t>
            </w:r>
          </w:p>
        </w:tc>
      </w:tr>
      <w:tr>
        <w:trPr>
          <w:trHeight w:val="239"/>
        </w:trPr>
        <w:tc>
          <w:tcPr>
            <w:tcW w:w="3320" w:type="dxa"/>
            <w:vAlign w:val="bottom"/>
            <w:tcBorders>
              <w:bottom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ENT</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40,588</w:t>
            </w:r>
          </w:p>
        </w:tc>
        <w:tc>
          <w:tcPr>
            <w:tcW w:w="10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9,056</w:t>
            </w:r>
          </w:p>
        </w:tc>
        <w:tc>
          <w:tcPr>
            <w:tcW w:w="8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92,103</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26,946</w:t>
            </w:r>
          </w:p>
        </w:tc>
      </w:tr>
      <w:tr>
        <w:trPr>
          <w:trHeight w:val="200"/>
        </w:trPr>
        <w:tc>
          <w:tcPr>
            <w:tcW w:w="3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Codman Specialty Surgical</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268,205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828,977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787,371</w:t>
            </w:r>
          </w:p>
        </w:tc>
      </w:tr>
      <w:tr>
        <w:trPr>
          <w:trHeight w:val="219"/>
        </w:trPr>
        <w:tc>
          <w:tcPr>
            <w:tcW w:w="3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Wound Reconstruction and Care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88,071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280,129</w:t>
            </w:r>
          </w:p>
        </w:tc>
      </w:tr>
      <w:tr>
        <w:trPr>
          <w:trHeight w:val="21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Private Label</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29,592</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26,145</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89,872</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77,034</w:t>
            </w:r>
          </w:p>
        </w:tc>
      </w:tr>
      <w:tr>
        <w:trPr>
          <w:trHeight w:val="207"/>
        </w:trPr>
        <w:tc>
          <w:tcPr>
            <w:tcW w:w="3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Tissue Technologies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110,052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114,216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338,904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357,163</w:t>
            </w:r>
          </w:p>
        </w:tc>
      </w:tr>
      <w:tr>
        <w:trPr>
          <w:trHeight w:val="237"/>
        </w:trPr>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380,834</w:t>
            </w:r>
          </w:p>
        </w:tc>
        <w:tc>
          <w:tcPr>
            <w:tcW w:w="10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382,421</w:t>
            </w:r>
          </w:p>
        </w:tc>
        <w:tc>
          <w:tcPr>
            <w:tcW w:w="8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1,167,881</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1,144,534</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Prior period revenues included within our instruments business have been reclassified under the ENT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15. Segment and Geographic Information</w:t>
      </w:r>
      <w:r>
        <w:rPr>
          <w:rFonts w:ascii="Times New Roman" w:cs="Times New Roman" w:eastAsia="Times New Roman" w:hAnsi="Times New Roman"/>
          <w:sz w:val="18"/>
          <w:szCs w:val="18"/>
          <w:color w:val="auto"/>
        </w:rPr>
        <w:t>, for details of revenues based on the location of the customer.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196,402</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74,035</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119,171</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436,930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389,608</w:t>
            </w:r>
          </w:p>
        </w:tc>
      </w:tr>
      <w:tr>
        <w:trPr>
          <w:trHeight w:val="23"/>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nine-month period ended September 30, 2024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Codman Specialty</w:t>
            </w:r>
          </w:p>
        </w:tc>
        <w:tc>
          <w:tcPr>
            <w:tcW w:w="140" w:type="dxa"/>
            <w:vAlign w:val="bottom"/>
          </w:tcPr>
          <w:p>
            <w:pPr>
              <w:spacing w:after="0"/>
              <w:rPr>
                <w:sz w:val="13"/>
                <w:szCs w:val="13"/>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Tissue Technologies</w:t>
            </w:r>
          </w:p>
        </w:tc>
        <w:tc>
          <w:tcPr>
            <w:tcW w:w="360" w:type="dxa"/>
            <w:vAlign w:val="bottom"/>
          </w:tcPr>
          <w:p>
            <w:pPr>
              <w:spacing w:after="0"/>
              <w:rPr>
                <w:sz w:val="13"/>
                <w:szCs w:val="13"/>
                <w:color w:val="auto"/>
              </w:rPr>
            </w:pPr>
          </w:p>
        </w:tc>
        <w:tc>
          <w:tcPr>
            <w:tcW w:w="1220" w:type="dxa"/>
            <w:vAlign w:val="bottom"/>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Surgical</w:t>
            </w:r>
          </w:p>
        </w:tc>
        <w:tc>
          <w:tcPr>
            <w:tcW w:w="14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666,937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388,525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1,055,462</w:t>
            </w: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Acclarent Acquisition</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61,396</w:t>
            </w:r>
          </w:p>
        </w:tc>
        <w:tc>
          <w:tcPr>
            <w:tcW w:w="0" w:type="dxa"/>
            <w:vAlign w:val="bottom"/>
          </w:tcPr>
          <w:p>
            <w:pPr>
              <w:spacing w:after="0"/>
              <w:rPr>
                <w:sz w:val="1"/>
                <w:szCs w:val="1"/>
                <w:color w:val="auto"/>
              </w:rPr>
            </w:pPr>
          </w:p>
        </w:tc>
      </w:tr>
      <w:tr>
        <w:trPr>
          <w:trHeight w:val="21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at September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728,123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388,412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1,116,535</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tests goodwill and intangible assets with indefinite lives for impairment annually in the third quarter in accordance with FASB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 Additionally, the Company may perform interim tests if an event occurs or circumstances change that could potentially reduce the fair value of a reporting unit or indefinite lived intangible asset below its carrying amount. The carrying value of each reporting unit is determined by assigning the assets and liabilities, including the existing goodwill and intangible assets, to those reporting units.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The quantitative test uses a combination of both an income approach and a market approach to determine the fair value of the reporting unit. The income approach utilizes the estimated discounted cash flows for the reporting unit, while the market approach utilizes comparable publicly-traded companies’ revenue and EBITDA</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multiples. Estimates and assumptions used in the income approach to calculate projected future discounted cash flows included revenue growth rates, operating margins, and a discount rate for each reporting unit. Discount rates are determined using a weighted average cost of capital for risk factors specific to each reporting unit and other market and industry data. The assumptions used are inherently subject to uncertainty and slight changes in these assumptions could have a significant impact on the concluded value. The estimates and assumptions applied represent a Level 3 measurement in the fair value hierarchy. Level 3 inputs are supported by limited or no market activity and reflect the Company’s assumptions in measuring fair value.</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goodwill, during the third quarter of 2024, the Company elected to bypass the qualitative evaluations of its Tissue Technologies, Neurosurgery, and Instruments and ENT reporting units and perform quantitative tests. The quantitative test for the Tissue Technologies reporting unit utilized a terminal growth rate of 2.5% and a discount rate of 12.5% in the income approach. The Company determined, after performing the quantitative analysis, that the fair value of the Tissue Technologies reporting unit was not less than its carrying amount, with 21.2% headroom. The quantitative test for the Neurosurgery reporting unit utilized a terminal growth rate of 2.5% and a discount rate of 12.0% in the income approach. The Company determined, after performing the quantitative analysis, that the fair value of the Neurosurgery reporting unit was not less than its carrying amount, with 11.7% headroom. The quantitative test for the Instruments and ENT reporting unit utilized a terminal growth rate of 2.5% and a discount rate of 11.5% in the income approach. The Company determined, after performing the quantitative analysis, that the fair value of the Instruments and ENT reporting unit was not less than its carrying amount, with 22.1% headroom. Based on the results of these quantitative tests, the Company recorded no impairment of goodwill for Tissue Technologies, Neurosurgery, or Instruments and ENT reporting units.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performed a hypothetical sensitivity analysis of the fair value for each reporting unit by increasing the discount rate by 50 basis points, decreasing the terminal growth rate by 50 basis points, and holding all other assumptions constant, which resulted in a decrease to the estimated fair value of the Tissue Technology reporting unit by 4.5%, a decrease to the estimated fair value of the Neurosurgery reporting unit by 3.8%, and a decrease to the estimated fair value of the Instruments and ENT reporting unit by 3.5%. Based on the results of the hypothetical sensitivity analyses, the Company would still not have recorded an impairment of goodwill for Tissue Technologies, Neurosurgery, or Instruments and ENT reporting units.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intangible assets with indefinite lives, the Company elected to bypass the qualitative evaluation for its Codman tradename intangible asset and perform a quantitative test during the third quarter 2024. In performing this test, the Company utilized a discount rate of 13.0%. The assumptions used in evaluating the Codman tradename for impairment are subject to change and are tracked against historical results by management. Based on the results of the quantitative test, the Company recorded no impairment to the Codman tradename intangible asset.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identifiable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6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8"/>
        </w:trPr>
        <w:tc>
          <w:tcPr>
            <w:tcW w:w="5020" w:type="dxa"/>
            <w:vAlign w:val="bottom"/>
            <w:gridSpan w:val="2"/>
            <w:vMerge w:val="continue"/>
          </w:tcPr>
          <w:p>
            <w:pPr>
              <w:spacing w:after="0"/>
              <w:rPr>
                <w:sz w:val="17"/>
                <w:szCs w:val="17"/>
                <w:color w:val="auto"/>
              </w:rPr>
            </w:pP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Completed technology</w:t>
            </w:r>
          </w:p>
        </w:tc>
        <w:tc>
          <w:tcPr>
            <w:tcW w:w="13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 years</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1,427,186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(509,825)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917,361</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12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168,396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30,374</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Trademarks/brand names</w:t>
            </w:r>
          </w:p>
        </w:tc>
        <w:tc>
          <w:tcPr>
            <w:tcW w:w="156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27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101,896</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60,063</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Codman tradename</w:t>
            </w: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Indefinite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174,118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174,118</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156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30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11,329</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1560" w:type="dxa"/>
            <w:vAlign w:val="bottom"/>
            <w:tcBorders>
              <w:bottom w:val="single" w:sz="8" w:color="CCEEFF"/>
            </w:tcBorders>
            <w:gridSpan w:val="4"/>
          </w:tcPr>
          <w:p>
            <w:pPr>
              <w:jc w:val="center"/>
              <w:ind w:right="260"/>
              <w:spacing w:after="0"/>
              <w:rPr>
                <w:sz w:val="20"/>
                <w:szCs w:val="20"/>
                <w:color w:val="auto"/>
              </w:rPr>
            </w:pPr>
            <w:r>
              <w:rPr>
                <w:rFonts w:ascii="Times New Roman" w:cs="Times New Roman" w:eastAsia="Times New Roman" w:hAnsi="Times New Roman"/>
                <w:sz w:val="16"/>
                <w:szCs w:val="16"/>
                <w:color w:val="auto"/>
              </w:rPr>
              <w:t>6 years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23,154</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(6,851)</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16,303</w:t>
            </w:r>
          </w:p>
        </w:tc>
        <w:tc>
          <w:tcPr>
            <w:tcW w:w="0" w:type="dxa"/>
            <w:vAlign w:val="bottom"/>
          </w:tcPr>
          <w:p>
            <w:pPr>
              <w:spacing w:after="0"/>
              <w:rPr>
                <w:sz w:val="1"/>
                <w:szCs w:val="1"/>
                <w:color w:val="auto"/>
              </w:rPr>
            </w:pPr>
          </w:p>
        </w:tc>
      </w:tr>
      <w:tr>
        <w:trPr>
          <w:trHeight w:val="234"/>
        </w:trPr>
        <w:tc>
          <w:tcPr>
            <w:tcW w:w="4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1,924,961</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(715,413)</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1,209,548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6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5020" w:type="dxa"/>
            <w:vAlign w:val="bottom"/>
            <w:gridSpan w:val="2"/>
            <w:vMerge w:val="continue"/>
          </w:tcPr>
          <w:p>
            <w:pPr>
              <w:spacing w:after="0"/>
              <w:rPr>
                <w:sz w:val="17"/>
                <w:szCs w:val="17"/>
                <w:color w:val="auto"/>
              </w:rPr>
            </w:pP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Completed technology</w:t>
            </w: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rPr>
              <w:t>18 years</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1,226,128</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(448,519)</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777,609</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12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193,895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(152,160)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41,735</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Trademarks/brand names</w:t>
            </w:r>
          </w:p>
        </w:tc>
        <w:tc>
          <w:tcPr>
            <w:tcW w:w="156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28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98,892</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(38,754)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60,138</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Codman tradename</w:t>
            </w: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Indefinite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174,531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174,531</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156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30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(18,148)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12,063</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15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11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0" w:type="dxa"/>
            <w:vAlign w:val="bottom"/>
          </w:tcPr>
          <w:p>
            <w:pPr>
              <w:spacing w:after="0"/>
              <w:rPr>
                <w:sz w:val="1"/>
                <w:szCs w:val="1"/>
                <w:color w:val="auto"/>
              </w:rPr>
            </w:pPr>
          </w:p>
        </w:tc>
      </w:tr>
      <w:tr>
        <w:trPr>
          <w:trHeight w:val="234"/>
        </w:trPr>
        <w:tc>
          <w:tcPr>
            <w:tcW w:w="49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1,729,837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(662,004)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1,067,833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amortization of intangible assets for the three and nine months ended September 30, 2024 was $25.6 million and $78.7 million, respectively. Of these amounts, $21.8 million and $61.1 million, respectively, was related to amortization of technology based intangibles and included in cost of goods sold. $7.1 million related to the impairment of a customer relationship intangible and the remainder were included in intangible amortization in the statement of operations.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amortization of intangible assets for the three and nine months ended September 30, 2023 was $20.9 million and $62.1 million, respectively. Of these amounts, $17.7 million and $52.8 million, respectively, was related to amortization of technology based intangibles and included in cost of goods sold, with the remainder included in intangible amortization in the statement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quarter-end exchange rates, amortization expense (including amounts reported in cost of goods sold) is expected to be approximately $25.6 million for the remainder of 2024, $102.4 million in 2025, $102.2 million in 2026, $101.2 million in 2027, $97.6 million in 2028, $92.4 million in 2029 and $511.8 million thereafter.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periodically performs testing for impairment on certain long-lived assets whenever events or changes in circumstances indicate that the carrying amount of an asset may not be recoverable.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the first quarter of 2024, due to third-party audit findings and an update to the estimated timeframe to resume the commercial distribution of products manufactured in the Boston facility, the Company elected to perform quantitative impairment testing on certain definite-lived intangible assets including completed technology and customer relationships in accordance with FASB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The Company recorded an impairment charge related to the definite-lived intangible asset associated with the customer relationships of $7.1 million in intangible asset amortization in the consolidated statement of operations. With respect to the definite-lived intangible assets associated with the completed technology of SurgiMend® and PriMatrix®, the Company determined that the carrying amount of these definite-lived intangible assets were recoverable and, therefore, the intangible assets were not deemed to be impaired. In the second quarter of 2024, the Company approved a plan to transition the commercial distribution of SurgiMend® and PriMatrix® from the Boston facility to the Company’s manufacturing facility in Braintree, Massachusetts (the “Braintree facility”). The Company considered the impact to the update to the estimated timeframe to resume the commercial distribution of products manufactured in the Boston facility on the assumptions used in the quantitative assessment of the definite-lived intangible assets completed in the first quarter of 2024, which did not require further evaluation for impairment. The carrying values of SurgiMend® and PriMatrix® are $34.6 million and $25.5 million, respectively, as of September 30,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Seventh Amended and Restated Senior Credit Agreement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24, 2023, the Company entered into the seventh amendment and restatement (the “March 2023 Amendment”) of the Senior Credit Facility (the “Senior Credit Facility”) with a syndicate of lending banks with Bank of America, N.A., as Administrative Agent. The March 2023 Amendment extended the maturity date to March 24, 2028, amended the contractual repayments of the term loan component, and amended the interest rate from LIBOR to SOFR-indexed interest. The Company continues to have the aggregate principal amount of up to approximately $2.1 billion available to it through the following facilities: (i) a $775.0 million term loan facility, and (ii) a $1.3 billion revolving credit facility, which includes a $60 million sublimit for the issuance of standby letters of credit and a $60 million sublimit for swingline loans. The terms of the Senior Credit Facility limit the amount of dividends we may pay.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maximum Consolidated Total Leverage Ratio (as defined in the March 2023 Amendment) in the financial covenants is outlined below. Concurrent with the Durepair acquisition (see </w:t>
      </w:r>
      <w:r>
        <w:rPr>
          <w:rFonts w:ascii="Times New Roman" w:cs="Times New Roman" w:eastAsia="Times New Roman" w:hAnsi="Times New Roman"/>
          <w:sz w:val="18"/>
          <w:szCs w:val="18"/>
          <w:i w:val="1"/>
          <w:iCs w:val="1"/>
          <w:color w:val="auto"/>
        </w:rPr>
        <w:t>Note 2. Acquisitions and Divestitures),</w:t>
      </w:r>
      <w:r>
        <w:rPr>
          <w:rFonts w:ascii="Times New Roman" w:cs="Times New Roman" w:eastAsia="Times New Roman" w:hAnsi="Times New Roman"/>
          <w:sz w:val="18"/>
          <w:szCs w:val="18"/>
          <w:color w:val="auto"/>
        </w:rPr>
        <w:t xml:space="preserve"> in accordance with the terms of the March 2023 Amendment, the Company elected to increase the maximum Consolidated Total Leverage Ratio to 5.00 from the fiscal quarter ending December 31, 2024 through the fiscal quarter ending September 30, 2025.</w:t>
      </w:r>
    </w:p>
    <w:p>
      <w:pPr>
        <w:spacing w:after="0" w:line="24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Quarter Ending</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Consolidated Total</w:t>
            </w:r>
          </w:p>
        </w:tc>
        <w:tc>
          <w:tcPr>
            <w:tcW w:w="0" w:type="dxa"/>
            <w:vAlign w:val="bottom"/>
          </w:tcPr>
          <w:p>
            <w:pPr>
              <w:spacing w:after="0"/>
              <w:rPr>
                <w:sz w:val="1"/>
                <w:szCs w:val="1"/>
                <w:color w:val="auto"/>
              </w:rPr>
            </w:pPr>
          </w:p>
        </w:tc>
      </w:tr>
      <w:tr>
        <w:trPr>
          <w:trHeight w:val="195"/>
        </w:trPr>
        <w:tc>
          <w:tcPr>
            <w:tcW w:w="7160" w:type="dxa"/>
            <w:vAlign w:val="bottom"/>
            <w:gridSpan w:val="2"/>
            <w:vMerge w:val="continue"/>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0" w:type="dxa"/>
            <w:vAlign w:val="bottom"/>
          </w:tcPr>
          <w:p>
            <w:pPr>
              <w:spacing w:after="0"/>
              <w:rPr>
                <w:sz w:val="1"/>
                <w:szCs w:val="1"/>
                <w:color w:val="auto"/>
              </w:rPr>
            </w:pPr>
          </w:p>
        </w:tc>
      </w:tr>
      <w:tr>
        <w:trPr>
          <w:trHeight w:val="214"/>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2023 through September 30, 2024</w:t>
            </w:r>
          </w:p>
        </w:tc>
        <w:tc>
          <w:tcPr>
            <w:tcW w:w="1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4.50 to 1.00</w:t>
            </w:r>
          </w:p>
        </w:tc>
        <w:tc>
          <w:tcPr>
            <w:tcW w:w="0" w:type="dxa"/>
            <w:vAlign w:val="bottom"/>
          </w:tcPr>
          <w:p>
            <w:pPr>
              <w:spacing w:after="0"/>
              <w:rPr>
                <w:sz w:val="1"/>
                <w:szCs w:val="1"/>
                <w:color w:val="auto"/>
              </w:rPr>
            </w:pPr>
          </w:p>
        </w:tc>
      </w:tr>
      <w:tr>
        <w:trPr>
          <w:trHeight w:val="21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31, 2024 through September 30, 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 to 1.00</w:t>
            </w:r>
          </w:p>
        </w:tc>
        <w:tc>
          <w:tcPr>
            <w:tcW w:w="0" w:type="dxa"/>
            <w:vAlign w:val="bottom"/>
          </w:tcPr>
          <w:p>
            <w:pPr>
              <w:spacing w:after="0"/>
              <w:rPr>
                <w:sz w:val="1"/>
                <w:szCs w:val="1"/>
                <w:color w:val="auto"/>
              </w:rPr>
            </w:pPr>
          </w:p>
        </w:tc>
      </w:tr>
      <w:tr>
        <w:trPr>
          <w:trHeight w:val="21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2025 through June 30, 2026</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 to 1.00</w:t>
            </w:r>
          </w:p>
        </w:tc>
        <w:tc>
          <w:tcPr>
            <w:tcW w:w="0" w:type="dxa"/>
            <w:vAlign w:val="bottom"/>
          </w:tcPr>
          <w:p>
            <w:pPr>
              <w:spacing w:after="0"/>
              <w:rPr>
                <w:sz w:val="1"/>
                <w:szCs w:val="1"/>
                <w:color w:val="auto"/>
              </w:rPr>
            </w:pPr>
          </w:p>
        </w:tc>
      </w:tr>
      <w:tr>
        <w:trPr>
          <w:trHeight w:val="21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30, 2026 and the last day of each fiscal quarter thereafter</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4.00 to 1.00</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Senior Credit Facility bear interest, at the Company’s option, at a rate equal to the following:</w:t>
      </w:r>
    </w:p>
    <w:p>
      <w:pPr>
        <w:spacing w:after="0" w:line="117"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in effect from time to time plus 0.10% plus the applicable rate (ranging from 1.00% to 1.75%),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of:</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overnight Federal funds rate, as published by the Federal Reserve Bank of New York, plus 0.50%;</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lending rate of Bank of America, N.A.; or</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one-month Term SOFR plus 1.00%.</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rates are based on the Company’s Consolidated Total Leverage Ratio (defined, as of any date of determination, as the ratio of (a) Consolidated Funded Indebtedness as of such date (as defined in the Credit Agreement) less cash that is not subject to any restriction on the use or investment thereof to (b) Consolidated EBITDA (as defined by the Seventh Amended and Restated Credit Agreement (the “Credit Agreement”)), for the period of four consecutive fiscal quarters ending on such date).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pay an annual commitment fee (ranging from 0.15% to 0.30%), based on the Company’s consolidated total leverage ratio, on the amount available for borrowing under the revolving credit facility component of the Senior Credit Facility.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Credit Facility is collateralized by substantially all of the assets of the Company’s U.S. subsidiaries, excluding intangible assets. The Senior Credit Facility is subject to various financial and negative covenants and, at September 30, 2024, the Company was in compliance with all such covenants. The Company capitalized $7.6 million in deferred financing costs in connection with the modification of the Senior Credit Facility and wrote off $0.2 million of previously capitalized financing costs during the first quarter of 2023.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2024 and December 31, 2023 there was $400.0 million and $70.0 million, respectively, outstanding under the revolving credit facility component of the Senior Credit Facility. At September 30, 2024 and December 31, 2023, there was $765.3 million and $775.0 million outstanding under the term loan component of the Senior Credit Facility at a weighted average interest rate of 6.4% and 6.8%, respectively. As of September 30, 2024 and December 31, 2023 there was $29.1 million and $14.5 million, respectively, of the term loan component of the Senior Credit Facility classified as current on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term loan and revolving portion of the Senior Credit Facility at September 30, 2024 was $756.3 million, and $395.3 million, respectively. The fair value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Letters of credit outstanding as of September 30, 2024 and December 31, 2023 totaled $1.7 million. There were no amounts drawn under the letters of credit outstanding as of September 30,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repayments of the term loan component of the Senior Credit Facility are due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6800" w:type="dxa"/>
            <w:vAlign w:val="bottom"/>
            <w:gridSpan w:val="3"/>
          </w:tcPr>
          <w:p>
            <w:pPr>
              <w:jc w:val="right"/>
              <w:ind w:right="3959"/>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9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Principal Repayment</w:t>
            </w:r>
          </w:p>
        </w:tc>
      </w:tr>
      <w:tr>
        <w:trPr>
          <w:trHeight w:val="23"/>
        </w:trPr>
        <w:tc>
          <w:tcPr>
            <w:tcW w:w="24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680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4,844</w:t>
            </w: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33,906</w:t>
            </w: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38,750</w:t>
            </w: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53,281</w:t>
            </w: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634,531</w:t>
            </w:r>
          </w:p>
        </w:tc>
      </w:tr>
      <w:tr>
        <w:trPr>
          <w:trHeight w:val="207"/>
        </w:trPr>
        <w:tc>
          <w:tcPr>
            <w:tcW w:w="248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765,312</w:t>
            </w:r>
          </w:p>
        </w:tc>
      </w:tr>
      <w:tr>
        <w:trPr>
          <w:trHeight w:val="23"/>
        </w:trPr>
        <w:tc>
          <w:tcPr>
            <w:tcW w:w="24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interest payments on the term loan component of the Senior Credit Facility based on current interest rates are expected to approximate $12.3 million for the remainder of 2024, $48.1 million in 2025, $45.6 million in 2026, $42.6 million in 2027, and $9.4 million in 2028. Interest is calculated on the term loan portion of the Senior Credit Facility based on SOFR plus the certain amounts set forth in the Credit Agreement. As the revolving credit facility and Securitization Facility (defined below) can be repaid at any time, no interest has been included in the calculation.</w:t>
      </w:r>
    </w:p>
    <w:p>
      <w:pPr>
        <w:spacing w:after="0" w:line="72" w:lineRule="exact"/>
        <w:rPr>
          <w:sz w:val="20"/>
          <w:szCs w:val="20"/>
          <w:color w:val="auto"/>
        </w:rPr>
      </w:pPr>
    </w:p>
    <w:p>
      <w:pPr>
        <w:ind w:right="2000"/>
        <w:spacing w:after="0" w:line="375" w:lineRule="auto"/>
        <w:rPr>
          <w:sz w:val="20"/>
          <w:szCs w:val="20"/>
          <w:color w:val="auto"/>
        </w:rPr>
      </w:pPr>
      <w:r>
        <w:rPr>
          <w:rFonts w:ascii="Times New Roman" w:cs="Times New Roman" w:eastAsia="Times New Roman" w:hAnsi="Times New Roman"/>
          <w:sz w:val="18"/>
          <w:szCs w:val="18"/>
          <w:color w:val="auto"/>
        </w:rPr>
        <w:t xml:space="preserve">Any outstanding borrowings on the revolving credit facility component of the Senior Credit Facility are due on March 24, 2028. </w:t>
      </w:r>
      <w:r>
        <w:rPr>
          <w:rFonts w:ascii="Times New Roman" w:cs="Times New Roman" w:eastAsia="Times New Roman" w:hAnsi="Times New Roman"/>
          <w:sz w:val="18"/>
          <w:szCs w:val="18"/>
          <w:b w:val="1"/>
          <w:bCs w:val="1"/>
          <w:i w:val="1"/>
          <w:iCs w:val="1"/>
          <w:color w:val="auto"/>
        </w:rPr>
        <w:t>Convertible Senior Notes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7, 2020, the Company issued $575.0 million aggregate principal amount of its 0.5% Convertible Senior Notes due 2025 (the “2025 Notes”) pursuant to an indenture, dated as of February 7, 2020 (the “Original Indenture”), between the Company and Citibank, N.A., as trustee. The 2025 Notes will mature on August 15, 2025 and bear interest at a rate of 0.5% per annum payable semi-annually in arrears, unless earlier converted, repurchased or redeemed in accordance with the terms of the 2025 Notes. In connection with this offering, the Company capitalized $13.2 million of financing fees.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2025 Notes are senior, unsecured obligations of the Company, and are convertible into cash and shares of its common stock based on an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specified in the Original Indenture; (3) if the Company calls the notes for optional redemption as described in the Original Indenture; or (4) if specified corporate transactions occur. As of September 30, 2024, none of these conditions existed and the 2025 Notes are classified as current convertible securities on the consolidated balance sheet, as they are due within one year.</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9, 2020, the Company entered into the first supplemental indenture to the Original Indenture (the “First Supplemental Indenture” and, together with Original Indenture, the “Indenture”), pursuant to which the Company irrevocably elected (1) to eliminate the Company’s option to choose physical settlement on any conversion of the 2025 Notes that occurs on or after the date of the First Supplemental Indenture and (2) with respect to any Combination Settlement (as defined in the First Supplemental Indenture) for a conversion of the 2025 Notes, the Specified Dollar Amount (as defined in the First Supplemental Indenture) that will be settled in cash per $1,000 principal amount of the 2025 Notes shall be no lower than $1,000.</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2025 Notes will have the right to require the Company to repurchase for cash all or a portion of their 2025 Notes at 100% of their principal amount, plus any accrued and unpaid interest, upon the occurrence of a fundamental change (as defined in the Indenture). The Company will also be required to increase the conversion rate for holders who convert their 2025 Notes in connection with certain Fundamental Changes (as defined in the Original Indenture) occurring prior to the maturity date or following delivery by the Company of a notice of redemption.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2024, the carrying amount of the liability of the 2025 Notes was $575.0 million. The fair value of the 2025 Notes at September 30, 2024 was $547.7 million. Factors that the Company considered when estimating the fair value of the 2025 Notes included recent quoted market prices or dealer quotes. The 2025 Notes are valued based on Level 1 measurements in the fair value hierarchy. Level 1 inputs represent quoted prices in active markets for identical assets or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 Facility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September 30, 2024, the Company was in compliance with the covenants and none of the termination events had occurred.</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15, 2023, the Company entered into an amendment (the “December 2023 Amendment”) of the Securitization Facility which extended the maturity date from May 28, 2024 to December 15, 2026. The Company incurred approximately $0.3 million of new issuance costs associated with the December 2023 Amendment which will be amortized over 3 years, the length of the Securitization Agreement as amended by the December 2023 Amendment. Due to the increase in borrowing capacity, the remaining $0.1 million of unamortized costs from the previous agreement will also be amortized over the length of the amended agreement, three years. In addition, on April 17, 2023 the Company entered into an amendment (the “April 2023 Amendment”) of the Securitization Facility and amended the interest rate from LIBOR to SOFR-indexed rate. The December 2023 Amendment and April 2023 Amendment did not increase the Company’s total indebtedness.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2024 and December 31, 2023, the Company had $72.8 million and $89.2 million, respectively, of outstanding borrowings under its Securitization Facility at an interest rate of 5.9% and 6.4%, respectively. The fair value of the outstanding borrowing of the Securitization Facility at September 30, 2024 was $71.2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In March 2023, the Company entered into a basis swap where the Company receives Term SOFR and pays daily compounded SOFR to convert the portfolio of swaps from daily compounded SOFR to Term SOFR.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September 30, 2024 and December 31, 2023 (dollar amounts in thousands):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6"/>
        </w:trPr>
        <w:tc>
          <w:tcPr>
            <w:tcW w:w="15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820" w:type="dxa"/>
            <w:vAlign w:val="bottom"/>
            <w:gridSpan w:val="4"/>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Pr>
          <w:p>
            <w:pPr>
              <w:spacing w:after="0"/>
              <w:rPr>
                <w:sz w:val="11"/>
                <w:szCs w:val="11"/>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Designation Date</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9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Fixed Interest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1500" w:type="dxa"/>
            <w:vAlign w:val="bottom"/>
            <w:gridSpan w:val="3"/>
            <w:vMerge w:val="continue"/>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240" w:type="dxa"/>
            <w:vAlign w:val="bottom"/>
            <w:gridSpan w:val="3"/>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18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18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125"/>
        </w:trPr>
        <w:tc>
          <w:tcPr>
            <w:tcW w:w="1500" w:type="dxa"/>
            <w:vAlign w:val="bottom"/>
            <w:gridSpan w:val="3"/>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1-month Term</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0"/>
                <w:szCs w:val="10"/>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13, 2017</w:t>
            </w: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1, 2019</w:t>
            </w: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June 28, 2024</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2.423 %</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0" w:type="dxa"/>
            <w:vAlign w:val="bottom"/>
          </w:tcPr>
          <w:p>
            <w:pPr>
              <w:spacing w:after="0"/>
              <w:rPr>
                <w:sz w:val="1"/>
                <w:szCs w:val="1"/>
                <w:color w:val="auto"/>
              </w:rPr>
            </w:pPr>
          </w:p>
        </w:tc>
      </w:tr>
      <w:tr>
        <w:trPr>
          <w:trHeight w:val="107"/>
        </w:trPr>
        <w:tc>
          <w:tcPr>
            <w:tcW w:w="15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86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00" w:type="dxa"/>
            <w:vAlign w:val="bottom"/>
            <w:gridSpan w:val="3"/>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13, 2017</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January 1, 2018</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31, 2024</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2.313 %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1,246</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0" w:type="dxa"/>
            <w:vAlign w:val="bottom"/>
          </w:tcPr>
          <w:p>
            <w:pPr>
              <w:spacing w:after="0"/>
              <w:rPr>
                <w:sz w:val="1"/>
                <w:szCs w:val="1"/>
                <w:color w:val="auto"/>
              </w:rPr>
            </w:pPr>
          </w:p>
        </w:tc>
      </w:tr>
      <w:tr>
        <w:trPr>
          <w:trHeight w:val="107"/>
        </w:trPr>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5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50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October 10, 2018</w:t>
            </w: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1, 2020</w:t>
            </w: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June 30, 2025</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525</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07"/>
        </w:trPr>
        <w:tc>
          <w:tcPr>
            <w:tcW w:w="15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00" w:type="dxa"/>
            <w:vAlign w:val="bottom"/>
            <w:gridSpan w:val="3"/>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October 10, 2018</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July 1, 2020</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June 30, 2025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3.199 %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515</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07"/>
        </w:trPr>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5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50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October 10, 2018</w:t>
            </w: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1, 2020</w:t>
            </w: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June 30, 2025</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501</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107"/>
        </w:trPr>
        <w:tc>
          <w:tcPr>
            <w:tcW w:w="15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00" w:type="dxa"/>
            <w:vAlign w:val="bottom"/>
            <w:gridSpan w:val="3"/>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18, 2018</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30, 2022</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31, 2027</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2.885 %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1,425</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0" w:type="dxa"/>
            <w:vAlign w:val="bottom"/>
          </w:tcPr>
          <w:p>
            <w:pPr>
              <w:spacing w:after="0"/>
              <w:rPr>
                <w:sz w:val="1"/>
                <w:szCs w:val="1"/>
                <w:color w:val="auto"/>
              </w:rPr>
            </w:pPr>
          </w:p>
        </w:tc>
      </w:tr>
      <w:tr>
        <w:trPr>
          <w:trHeight w:val="107"/>
        </w:trPr>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5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50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18, 2018</w:t>
            </w: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30, 2022</w:t>
            </w: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31, 2027</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1,616</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0" w:type="dxa"/>
            <w:vAlign w:val="bottom"/>
          </w:tcPr>
          <w:p>
            <w:pPr>
              <w:spacing w:after="0"/>
              <w:rPr>
                <w:sz w:val="1"/>
                <w:szCs w:val="1"/>
                <w:color w:val="auto"/>
              </w:rPr>
            </w:pPr>
          </w:p>
        </w:tc>
      </w:tr>
      <w:tr>
        <w:trPr>
          <w:trHeight w:val="107"/>
        </w:trPr>
        <w:tc>
          <w:tcPr>
            <w:tcW w:w="15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00" w:type="dxa"/>
            <w:vAlign w:val="bottom"/>
            <w:gridSpan w:val="3"/>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15, 2020</w:t>
            </w: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July 31, 2025</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31, 2027</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1.415 %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22,809</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22,965</w:t>
            </w:r>
          </w:p>
        </w:tc>
        <w:tc>
          <w:tcPr>
            <w:tcW w:w="0" w:type="dxa"/>
            <w:vAlign w:val="bottom"/>
          </w:tcPr>
          <w:p>
            <w:pPr>
              <w:spacing w:after="0"/>
              <w:rPr>
                <w:sz w:val="1"/>
                <w:szCs w:val="1"/>
                <w:color w:val="auto"/>
              </w:rPr>
            </w:pPr>
          </w:p>
        </w:tc>
      </w:tr>
      <w:tr>
        <w:trPr>
          <w:trHeight w:val="107"/>
        </w:trPr>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5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50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15, 2020</w:t>
            </w: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1, 2025</w:t>
            </w: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31, 2027</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5,159</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0" w:type="dxa"/>
            <w:vAlign w:val="bottom"/>
          </w:tcPr>
          <w:p>
            <w:pPr>
              <w:spacing w:after="0"/>
              <w:rPr>
                <w:sz w:val="1"/>
                <w:szCs w:val="1"/>
                <w:color w:val="auto"/>
              </w:rPr>
            </w:pPr>
          </w:p>
        </w:tc>
      </w:tr>
      <w:tr>
        <w:trPr>
          <w:trHeight w:val="107"/>
        </w:trPr>
        <w:tc>
          <w:tcPr>
            <w:tcW w:w="15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00" w:type="dxa"/>
            <w:vAlign w:val="bottom"/>
            <w:gridSpan w:val="3"/>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50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Basis Swap </w:t>
            </w:r>
            <w:r>
              <w:rPr>
                <w:rFonts w:ascii="Times New Roman" w:cs="Times New Roman" w:eastAsia="Times New Roman" w:hAnsi="Times New Roman"/>
                <w:sz w:val="18"/>
                <w:szCs w:val="18"/>
                <w:color w:val="auto"/>
                <w:vertAlign w:val="superscript"/>
              </w:rPr>
              <w:t>(1)</w:t>
            </w: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31, 2023</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24, 2023</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31, 2027</w:t>
            </w:r>
          </w:p>
        </w:tc>
        <w:tc>
          <w:tcPr>
            <w:tcW w:w="124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color w:val="auto"/>
              </w:rPr>
              <w:t>N/A</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 0</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1,325,000</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1,475,000</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31,847</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01230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2305" cy="154305"/>
                    </a:xfrm>
                    <a:prstGeom prst="rect">
                      <a:avLst/>
                    </a:prstGeom>
                    <a:noFill/>
                  </pic:spPr>
                </pic:pic>
              </a:graphicData>
            </a:graphic>
          </wp:anchor>
        </w:drawing>
      </w:r>
    </w:p>
    <w:p>
      <w:pPr>
        <w:spacing w:after="0" w:line="5" w:lineRule="exact"/>
        <w:rPr>
          <w:sz w:val="20"/>
          <w:szCs w:val="20"/>
          <w:color w:val="auto"/>
        </w:rPr>
      </w:pPr>
    </w:p>
    <w:p>
      <w:pPr>
        <w:ind w:left="340" w:hanging="139"/>
        <w:spacing w:after="0"/>
        <w:tabs>
          <w:tab w:leader="none" w:pos="3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notional of the basis swap amortizes to match the total notional of the interest rate swap portfolio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-104775</wp:posOffset>
            </wp:positionV>
            <wp:extent cx="13284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842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-104775</wp:posOffset>
            </wp:positionV>
            <wp:extent cx="12941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swaps were carried on the consolidated balance sheet at fair value and changes in the fair values were recorded as unrealized gains or losses in accumulated other comprehensive income (“AOCI”). For the three and nine months ended September 30, 2024, the Company recorded a loss of $17.1 million and a gain of $2.7 million, respectively, in AOCI related to the change in fair value of the interest rate swaps. For the three and nine months ended September 30, 2023 the Company recorded a gain of $15.3 million and $23.5 million, respectively, in AOCI related to the change in fair value of the interest rate swaps.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recorded gains of $4.1 million and $14.4 million, respectively, in the consolidated statements of operations related to the interest rate differential of the interest rate swaps. For the three and nine months ended September 30, 2023 the Company recorded gains of $5.0 million and $12.9 million, respectively, in the consolidated statements of operations related to the interest rate differential of the interest rate swaps. The estimated gain that is expected to be reclassified to interest income from AOCI as of September 30, 2024 within the next twelve months is $7.1 million.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Rate Swaps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(“CHFs”) and receive interest in U.S. dollars. Upon the maturity of these contracts, the Company will pay the principal amount of the loans in CHFs and receive U.S. dollars from the counterparties.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22, 2023, the Company amended the CHF denominated intercompany loan to partially settle CHF 20.0 million and extend the termination date to September 2024 and as a result, the Company terminated the cross-currency swap designated as cash flow hedge of an intercompany loan with aggregate notional amount of $48.5 million. Simultaneously, the Company entered into a cross-currency swap agreement to hedge a notional amount of CHF 28.5 million equivalent to $31.5 million of this amended intercompany loan into U.S. dollars. On September 23, 2024, the Company settled this cross-currency swap designated as a cash flow hedge of an intercompany loan. Based on the closing exchange rates, the loss upon settlement was approximately $2.3 million which was offset by the gain on the settlement of the intercompany loan.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cross-currency rate swaps as of September 30, 2024 and December 31, 2023 (dollar amounts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 December 31, 2023  September 30, 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660" w:type="dxa"/>
            <w:vAlign w:val="bottom"/>
          </w:tcPr>
          <w:p>
            <w:pPr>
              <w:spacing w:after="0"/>
              <w:rPr>
                <w:sz w:val="11"/>
                <w:szCs w:val="11"/>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Notional Amount</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20" w:type="dxa"/>
            <w:vAlign w:val="bottom"/>
            <w:gridSpan w:val="2"/>
          </w:tcPr>
          <w:p>
            <w:pPr>
              <w:jc w:val="center"/>
              <w:ind w:left="223"/>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20" w:type="dxa"/>
            <w:vAlign w:val="bottom"/>
            <w:gridSpan w:val="2"/>
            <w:vMerge w:val="restart"/>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gridSpan w:val="2"/>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8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December 21, 2020</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22, 2025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84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rPr>
              <w:t>333,887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(30,892)</w:t>
            </w:r>
          </w:p>
        </w:tc>
        <w:tc>
          <w:tcPr>
            <w:tcW w:w="6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(38,324)</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8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vMerge w:val="restart"/>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rPr>
              <w:t>374,817</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394,183</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84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2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8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September 22, 2023</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23, 2024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84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8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vMerge w:val="restart"/>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31,457</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84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(30,892)</w:t>
            </w:r>
          </w:p>
        </w:tc>
        <w:tc>
          <w:tcPr>
            <w:tcW w:w="620" w:type="dxa"/>
            <w:vAlign w:val="bottom"/>
            <w:tcBorders>
              <w:top w:val="single" w:sz="8" w:color="auto"/>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(40,672)</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cross-currency swaps designated as cash flow hedges are carried on the consolidated balance sheet at fair value, and changes in the fair values are recorded as unrealized gains or losses in AOCI. For the three and nine months ended September 30, 2024, the Company recorded a loss of $16.6 million and a gain of $13.5 million, respectively, in AOCI related to change in fair value of the cross-currency swaps. For the three and nine months ended September 30, 2023, the Company recorded gains of $13.8 million and $3.1 million, respectively, in AOCI related to change in fair value of the cross-currency swaps.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recorded a loss of $23.2 million and a gain of $5.4 million, respectively, in other income, net related to change in fair value related to the foreign currency rate translation to offset the gains and losses, respectively, recognized on the intercompany loans. For the three and nine months ended September 30, 2023, the Company recorded a gain of $15.3 million and $3.3 million, respectively, in other income, net related to change in fair value related to the foreign currency rate translation to offset the losses recognized on the intercompany loans.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recorded a gain of $1.1 million and $3.7 million, respectively, in other income, net included in the consolidated statements of operations related to the interest rate differential of the cross-currency swaps. For the three and nine months ended September 30, 2023, the Company recorded a gain of $1.5 million and $4.4 million, respectively, in other income, net included in the consolidated statements of operations related to the interest rate differential of the cross-currency swaps.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gain that is expected to be reclassified to other income (expense), net from AOCI as of September 30, 2024 within the next twelve months is $0.7 million. As of September 30, 2024, the Company does not expect any gains or losses will be reclassified into earnings because the original forecasted transactions will not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2, 2024, the Company entered into a cross-currency swap agreement with a notional amount of CHF 68.5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 2018, May 24, 2022, and November 21, 2023, the Company entered into cross-currency swap agreements designated as net investment hedges to partially offset the effects of foreign currency on foreign subsidiaries.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the following cross-currency rate swaps designated as net investment hedges as of September 30, 2024 and December 31, 2023, respectively (dollar amounts in thousands):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0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980" w:type="dxa"/>
            <w:vAlign w:val="bottom"/>
            <w:gridSpan w:val="4"/>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Aggregate Notional Amount</w:t>
            </w:r>
          </w:p>
        </w:tc>
        <w:tc>
          <w:tcPr>
            <w:tcW w:w="2260" w:type="dxa"/>
            <w:vAlign w:val="bottom"/>
            <w:gridSpan w:val="2"/>
          </w:tcPr>
          <w:p>
            <w:pPr>
              <w:jc w:val="right"/>
              <w:ind w:right="742"/>
              <w:spacing w:after="0" w:line="13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2"/>
        </w:trPr>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980" w:type="dxa"/>
            <w:vAlign w:val="bottom"/>
            <w:gridSpan w:val="4"/>
            <w:vMerge w:val="continue"/>
          </w:tcPr>
          <w:p>
            <w:pPr>
              <w:spacing w:after="0"/>
              <w:rPr>
                <w:sz w:val="9"/>
                <w:szCs w:val="9"/>
                <w:color w:val="auto"/>
              </w:rPr>
            </w:pPr>
          </w:p>
        </w:tc>
        <w:tc>
          <w:tcPr>
            <w:tcW w:w="2260" w:type="dxa"/>
            <w:vAlign w:val="bottom"/>
            <w:gridSpan w:val="2"/>
            <w:vMerge w:val="restart"/>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6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EUR</w:t>
            </w:r>
          </w:p>
        </w:tc>
        <w:tc>
          <w:tcPr>
            <w:tcW w:w="1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October 3, 2018</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30, 2025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EUR</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38,820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38,820</w:t>
            </w:r>
          </w:p>
        </w:tc>
        <w:tc>
          <w:tcPr>
            <w:tcW w:w="1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2,106</w:t>
            </w:r>
          </w:p>
        </w:tc>
        <w:tc>
          <w:tcPr>
            <w:tcW w:w="10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2,475</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45,000</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May 26, 2022</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16, 2028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CHF</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288,211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288,210</w:t>
            </w:r>
          </w:p>
        </w:tc>
        <w:tc>
          <w:tcPr>
            <w:tcW w:w="1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(48,153)</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(48,047)</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300,000</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November 17,</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17, 2029</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CHF</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66,525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66,525</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1"/>
                <w:szCs w:val="11"/>
                <w:color w:val="auto"/>
              </w:rPr>
            </w:pPr>
          </w:p>
        </w:tc>
        <w:tc>
          <w:tcPr>
            <w:tcW w:w="1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75,000</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(5,248)</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May 6, 2024</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18, 2030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CHF</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68,483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75,000</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(6,071)</w:t>
            </w:r>
          </w:p>
        </w:tc>
        <w:tc>
          <w:tcPr>
            <w:tcW w:w="10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760" w:type="dxa"/>
            <w:vAlign w:val="bottom"/>
            <w:tcBorders>
              <w:bottom w:val="single" w:sz="8" w:color="CCEEFF"/>
            </w:tcBorders>
            <w:gridSpan w:val="2"/>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(57,366)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(49,609)</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cross-currency swaps were carried on the consolidated balance sheet at fair value and changes in the fair values were recorded as unrealized gains or losses in AOCI. For the three and nine months ended September 30, 2024, the Company recorded a loss of $21.1 million and $0.4 million, respectively, in AOCI related to the change in fair value of the cross-currency swaps. For the three and nine months ended September 30, 2023, the Company recorded a gain of $6.1 million and a loss of $4.1 million, respectively, in AOCI related to change in fair value of the cross-currency swaps.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recorded a gain of $2.7 million and $7.4 million, respectively, in interest income included in the consolidated statements of operations related to the interest rate differential of the cross-currency swaps. For the three and nine months ended September 30, 2023, the Company recorded gains of $1.8 million and $6.0 million, respectively, in interest income included in the consolidated statements of operations related to the interest rate differential of the cross-currency swaps.</w:t>
      </w:r>
    </w:p>
    <w:p>
      <w:pPr>
        <w:spacing w:after="0" w:line="7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estimated gain that is expected to be reclassified to interest income from AOCI as of September 30, 2024 within the next twelve months is $9.6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a hedge for forecasted intercompany purchases denominated in foreign currencies through the use of forward contracts designated as cash flow hedges. To the extent these forward contracts meet hedge accounting criteria, changes in their fair value are not included in accumulated comprehensive loss. These changes in fair value will be recognized into earnings as a component of cost of sales when the forecasted-transaction occurs.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and third quarter of 2024, the Company entered into foreign currency forwards to mitigate the exchange rate risk of CHF denominated intercompany purchases. These contracts typically settle at various dates within twelve months of execution. As of September 30, 2024 the notional amount of foreign currency forward contracts was 10.4 million CHF.</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recorded a gain of $0.5 million and a loss of $0.2 million, respectively, in AOCI related to the change in fair value of the foreign currency forward contracts and a loss of $0.1 million and $0.3 million, respectively, in cost of goods sold included in the consolidated statements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 recorded a gain of $0.1 million and $0.3 million, respectively, in AOCI related to the change in fair value of the foreign currency forward contracts and a gain of $0.1 million and $0.4 million, respectively, in cost of goods sold included in the consolidated statements of operations.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16, 2024, the Company entered into forward currency forwards with a notional amount of 5.2 million CHF to mitigate the exchange rate risk of Swiss franc denominated intercompany purchases. These contracts settle at various dates within twelve months of execution.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for derivatives designated as hedging instruments in the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3"/>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0" w:type="dxa"/>
            <w:vAlign w:val="bottom"/>
          </w:tcPr>
          <w:p>
            <w:pPr>
              <w:spacing w:after="0"/>
              <w:rPr>
                <w:sz w:val="1"/>
                <w:szCs w:val="1"/>
                <w:color w:val="auto"/>
              </w:rPr>
            </w:pPr>
          </w:p>
        </w:tc>
      </w:tr>
      <w:tr>
        <w:trPr>
          <w:trHeight w:val="23"/>
        </w:trPr>
        <w:tc>
          <w:tcPr>
            <w:tcW w:w="7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Location on Balance Sheet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7"/>
                <w:szCs w:val="17"/>
                <w:color w:val="auto"/>
              </w:rPr>
            </w:pPr>
          </w:p>
        </w:tc>
        <w:tc>
          <w:tcPr>
            <w:tcW w:w="15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9"/>
        </w:trPr>
        <w:tc>
          <w:tcPr>
            <w:tcW w:w="75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 —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Cash Flow Hedges</w:t>
            </w:r>
          </w:p>
        </w:tc>
        <w:tc>
          <w:tcPr>
            <w:tcW w:w="620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74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Interest rate swap</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7,335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14,675</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74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180" w:type="dxa"/>
            <w:vAlign w:val="bottom"/>
          </w:tcPr>
          <w:p>
            <w:pPr>
              <w:spacing w:after="0"/>
              <w:rPr>
                <w:sz w:val="18"/>
                <w:szCs w:val="18"/>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220" w:type="dxa"/>
            <w:vAlign w:val="bottom"/>
            <w:shd w:val="clear" w:color="auto" w:fill="CCEEFF"/>
          </w:tcPr>
          <w:p>
            <w:pPr>
              <w:spacing w:after="0"/>
              <w:rPr>
                <w:sz w:val="17"/>
                <w:szCs w:val="17"/>
                <w:color w:val="auto"/>
              </w:rPr>
            </w:pPr>
          </w:p>
        </w:tc>
        <w:tc>
          <w:tcPr>
            <w:tcW w:w="7440" w:type="dxa"/>
            <w:vAlign w:val="bottom"/>
            <w:gridSpan w:val="4"/>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Investment Hedges</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59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rPr>
              <w:t>5,764</w:t>
            </w:r>
          </w:p>
        </w:tc>
        <w:tc>
          <w:tcPr>
            <w:tcW w:w="2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60" w:type="dxa"/>
            <w:vAlign w:val="bottom"/>
            <w:gridSpan w:val="5"/>
          </w:tcPr>
          <w:p>
            <w:pPr>
              <w:ind w:left="22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swap</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26,461</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30,710</w:t>
            </w:r>
          </w:p>
        </w:tc>
        <w:tc>
          <w:tcPr>
            <w:tcW w:w="0" w:type="dxa"/>
            <w:vAlign w:val="bottom"/>
          </w:tcPr>
          <w:p>
            <w:pPr>
              <w:spacing w:after="0"/>
              <w:rPr>
                <w:sz w:val="1"/>
                <w:szCs w:val="1"/>
                <w:color w:val="auto"/>
              </w:rPr>
            </w:pPr>
          </w:p>
        </w:tc>
      </w:tr>
      <w:tr>
        <w:trPr>
          <w:trHeight w:val="176"/>
        </w:trPr>
        <w:tc>
          <w:tcPr>
            <w:tcW w:w="7660" w:type="dxa"/>
            <w:vAlign w:val="bottom"/>
            <w:gridSpan w:val="5"/>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0" w:type="dxa"/>
            <w:vAlign w:val="bottom"/>
          </w:tcPr>
          <w:p>
            <w:pPr>
              <w:spacing w:after="0"/>
              <w:rPr>
                <w:sz w:val="1"/>
                <w:szCs w:val="1"/>
                <w:color w:val="auto"/>
              </w:rPr>
            </w:pPr>
          </w:p>
        </w:tc>
      </w:tr>
      <w:tr>
        <w:trPr>
          <w:trHeight w:val="207"/>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 —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40,560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50,330</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 — Liabilities: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60" w:type="dxa"/>
            <w:vAlign w:val="bottom"/>
            <w:gridSpan w:val="5"/>
          </w:tcPr>
          <w:p>
            <w:pPr>
              <w:ind w:left="22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swap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74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180" w:type="dxa"/>
            <w:vAlign w:val="bottom"/>
          </w:tcPr>
          <w:p>
            <w:pPr>
              <w:spacing w:after="0"/>
              <w:rPr>
                <w:sz w:val="18"/>
                <w:szCs w:val="18"/>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7660" w:type="dxa"/>
            <w:vAlign w:val="bottom"/>
            <w:gridSpan w:val="5"/>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2,120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0" w:type="dxa"/>
            <w:vAlign w:val="bottom"/>
          </w:tcPr>
          <w:p>
            <w:pPr>
              <w:spacing w:after="0"/>
              <w:rPr>
                <w:sz w:val="1"/>
                <w:szCs w:val="1"/>
                <w:color w:val="auto"/>
              </w:rPr>
            </w:pPr>
          </w:p>
        </w:tc>
      </w:tr>
      <w:tr>
        <w:trPr>
          <w:trHeight w:val="213"/>
        </w:trPr>
        <w:tc>
          <w:tcPr>
            <w:tcW w:w="766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Cash Flow Hedges</w:t>
            </w:r>
          </w:p>
        </w:tc>
        <w:tc>
          <w:tcPr>
            <w:tcW w:w="620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74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Interest rate swap</w:t>
            </w:r>
          </w:p>
        </w:tc>
        <w:tc>
          <w:tcPr>
            <w:tcW w:w="180" w:type="dxa"/>
            <w:vAlign w:val="bottom"/>
          </w:tcPr>
          <w:p>
            <w:pPr>
              <w:spacing w:after="0"/>
              <w:rPr>
                <w:sz w:val="18"/>
                <w:szCs w:val="18"/>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1,684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31,600</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36,396</w:t>
            </w:r>
          </w:p>
        </w:tc>
        <w:tc>
          <w:tcPr>
            <w:tcW w:w="0" w:type="dxa"/>
            <w:vAlign w:val="bottom"/>
          </w:tcPr>
          <w:p>
            <w:pPr>
              <w:spacing w:after="0"/>
              <w:rPr>
                <w:sz w:val="1"/>
                <w:szCs w:val="1"/>
                <w:color w:val="auto"/>
              </w:rPr>
            </w:pPr>
          </w:p>
        </w:tc>
      </w:tr>
      <w:tr>
        <w:trPr>
          <w:trHeight w:val="176"/>
        </w:trPr>
        <w:tc>
          <w:tcPr>
            <w:tcW w:w="7660" w:type="dxa"/>
            <w:vAlign w:val="bottom"/>
            <w:gridSpan w:val="5"/>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Cross-currency swap</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61,010</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51,114</w:t>
            </w:r>
          </w:p>
        </w:tc>
        <w:tc>
          <w:tcPr>
            <w:tcW w:w="0" w:type="dxa"/>
            <w:vAlign w:val="bottom"/>
          </w:tcPr>
          <w:p>
            <w:pPr>
              <w:spacing w:after="0"/>
              <w:rPr>
                <w:sz w:val="1"/>
                <w:szCs w:val="1"/>
                <w:color w:val="auto"/>
              </w:rPr>
            </w:pPr>
          </w:p>
        </w:tc>
      </w:tr>
      <w:tr>
        <w:trPr>
          <w:trHeight w:val="207"/>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 —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96,679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97,055</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classifies derivative assets and liabilities as current based on the cash flows expected to be incurred within the following 12 months.</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386"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presents the effect of derivative instruments designated as cash flow hedges and net investment hedges on the accompanying condensed consolidated statement of operations during the three and nine months ended September 30, 2024 and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08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in AOCI</w:t>
            </w:r>
          </w:p>
        </w:tc>
        <w:tc>
          <w:tcPr>
            <w:tcW w:w="1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56"/>
        </w:trPr>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60" w:type="dxa"/>
            <w:vAlign w:val="bottom"/>
          </w:tcPr>
          <w:p>
            <w:pPr>
              <w:spacing w:after="0"/>
              <w:rPr>
                <w:sz w:val="4"/>
                <w:szCs w:val="4"/>
                <w:color w:val="auto"/>
              </w:rPr>
            </w:pPr>
          </w:p>
        </w:tc>
        <w:tc>
          <w:tcPr>
            <w:tcW w:w="14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080" w:type="dxa"/>
            <w:vAlign w:val="bottom"/>
            <w:gridSpan w:val="2"/>
            <w:vMerge w:val="restart"/>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End of Quarter</w:t>
            </w:r>
          </w:p>
        </w:tc>
        <w:tc>
          <w:tcPr>
            <w:tcW w:w="10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09"/>
        </w:trPr>
        <w:tc>
          <w:tcPr>
            <w:tcW w:w="3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Flow Hedges</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31,848</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3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Cross-currency swap</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(11,403)</w:t>
            </w:r>
          </w:p>
        </w:tc>
        <w:tc>
          <w:tcPr>
            <w:tcW w:w="10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0" w:type="dxa"/>
            <w:vAlign w:val="bottom"/>
          </w:tcPr>
          <w:p>
            <w:pPr>
              <w:spacing w:after="0"/>
              <w:rPr>
                <w:sz w:val="1"/>
                <w:szCs w:val="1"/>
                <w:color w:val="auto"/>
              </w:rPr>
            </w:pPr>
          </w:p>
        </w:tc>
      </w:tr>
      <w:tr>
        <w:trPr>
          <w:trHeight w:val="210"/>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Forward Contract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0" w:type="dxa"/>
            <w:vAlign w:val="bottom"/>
          </w:tcPr>
          <w:p>
            <w:pPr>
              <w:spacing w:after="0"/>
              <w:rPr>
                <w:sz w:val="1"/>
                <w:szCs w:val="1"/>
                <w:color w:val="auto"/>
              </w:rPr>
            </w:pPr>
          </w:p>
        </w:tc>
      </w:tr>
      <w:tr>
        <w:trPr>
          <w:trHeight w:val="148"/>
        </w:trPr>
        <w:tc>
          <w:tcPr>
            <w:tcW w:w="35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Investment Hedges</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Cross-currency swap</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(53,256)</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(54,335)</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(15,334)</w:t>
            </w:r>
          </w:p>
        </w:tc>
        <w:tc>
          <w:tcPr>
            <w:tcW w:w="100" w:type="dxa"/>
            <w:vAlign w:val="bottom"/>
          </w:tcPr>
          <w:p>
            <w:pPr>
              <w:spacing w:after="0"/>
              <w:rPr>
                <w:sz w:val="17"/>
                <w:szCs w:val="17"/>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(32,648)</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Flow Hedges</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67,254</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3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Cross-currency swap</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(20,476)</w:t>
            </w:r>
          </w:p>
        </w:tc>
        <w:tc>
          <w:tcPr>
            <w:tcW w:w="10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0" w:type="dxa"/>
            <w:vAlign w:val="bottom"/>
          </w:tcPr>
          <w:p>
            <w:pPr>
              <w:spacing w:after="0"/>
              <w:rPr>
                <w:sz w:val="1"/>
                <w:szCs w:val="1"/>
                <w:color w:val="auto"/>
              </w:rPr>
            </w:pPr>
          </w:p>
        </w:tc>
      </w:tr>
      <w:tr>
        <w:trPr>
          <w:trHeight w:val="210"/>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Forward Contract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5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Investment Hedges</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Cross-currency swap</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(16,960)</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35,262</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22,170</w:t>
            </w:r>
          </w:p>
        </w:tc>
        <w:tc>
          <w:tcPr>
            <w:tcW w:w="100" w:type="dxa"/>
            <w:vAlign w:val="bottom"/>
          </w:tcPr>
          <w:p>
            <w:pPr>
              <w:spacing w:after="0"/>
              <w:rPr>
                <w:sz w:val="17"/>
                <w:szCs w:val="17"/>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29,706</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18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08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in AOCI</w:t>
            </w:r>
          </w:p>
        </w:tc>
        <w:tc>
          <w:tcPr>
            <w:tcW w:w="1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56"/>
        </w:trPr>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60" w:type="dxa"/>
            <w:vAlign w:val="bottom"/>
          </w:tcPr>
          <w:p>
            <w:pPr>
              <w:spacing w:after="0"/>
              <w:rPr>
                <w:sz w:val="4"/>
                <w:szCs w:val="4"/>
                <w:color w:val="auto"/>
              </w:rPr>
            </w:pPr>
          </w:p>
        </w:tc>
        <w:tc>
          <w:tcPr>
            <w:tcW w:w="14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080" w:type="dxa"/>
            <w:vAlign w:val="bottom"/>
            <w:gridSpan w:val="2"/>
            <w:vMerge w:val="restart"/>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End of Quarter</w:t>
            </w:r>
          </w:p>
        </w:tc>
        <w:tc>
          <w:tcPr>
            <w:tcW w:w="10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09"/>
        </w:trPr>
        <w:tc>
          <w:tcPr>
            <w:tcW w:w="3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Flow Hedges</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31,848</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3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Cross-currency swap</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(11,403)</w:t>
            </w:r>
          </w:p>
        </w:tc>
        <w:tc>
          <w:tcPr>
            <w:tcW w:w="10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0" w:type="dxa"/>
            <w:vAlign w:val="bottom"/>
          </w:tcPr>
          <w:p>
            <w:pPr>
              <w:spacing w:after="0"/>
              <w:rPr>
                <w:sz w:val="1"/>
                <w:szCs w:val="1"/>
                <w:color w:val="auto"/>
              </w:rPr>
            </w:pPr>
          </w:p>
        </w:tc>
      </w:tr>
      <w:tr>
        <w:trPr>
          <w:trHeight w:val="210"/>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forward contract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0" w:type="dxa"/>
            <w:vAlign w:val="bottom"/>
          </w:tcPr>
          <w:p>
            <w:pPr>
              <w:spacing w:after="0"/>
              <w:rPr>
                <w:sz w:val="1"/>
                <w:szCs w:val="1"/>
                <w:color w:val="auto"/>
              </w:rPr>
            </w:pPr>
          </w:p>
        </w:tc>
      </w:tr>
      <w:tr>
        <w:trPr>
          <w:trHeight w:val="149"/>
        </w:trPr>
        <w:tc>
          <w:tcPr>
            <w:tcW w:w="35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Investment Hedges</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Cross-currency swap</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(53,256)</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15,660</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30,603</w:t>
            </w:r>
          </w:p>
        </w:tc>
        <w:tc>
          <w:tcPr>
            <w:tcW w:w="100" w:type="dxa"/>
            <w:vAlign w:val="bottom"/>
          </w:tcPr>
          <w:p>
            <w:pPr>
              <w:spacing w:after="0"/>
              <w:rPr>
                <w:sz w:val="17"/>
                <w:szCs w:val="17"/>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(32,648)</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Flow Hedges</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67,254</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3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Cross-currency swap</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(20,476)</w:t>
            </w:r>
          </w:p>
        </w:tc>
        <w:tc>
          <w:tcPr>
            <w:tcW w:w="100" w:type="dxa"/>
            <w:vAlign w:val="bottom"/>
          </w:tcPr>
          <w:p>
            <w:pPr>
              <w:spacing w:after="0"/>
              <w:rPr>
                <w:sz w:val="16"/>
                <w:szCs w:val="16"/>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0" w:type="dxa"/>
            <w:vAlign w:val="bottom"/>
          </w:tcPr>
          <w:p>
            <w:pPr>
              <w:spacing w:after="0"/>
              <w:rPr>
                <w:sz w:val="1"/>
                <w:szCs w:val="1"/>
                <w:color w:val="auto"/>
              </w:rPr>
            </w:pPr>
          </w:p>
        </w:tc>
      </w:tr>
      <w:tr>
        <w:trPr>
          <w:trHeight w:val="210"/>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forward contract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5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Investment Hedges</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Cross-currency swap</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(16,960)</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29,527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22,858</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22,679</w:t>
            </w:r>
          </w:p>
        </w:tc>
        <w:tc>
          <w:tcPr>
            <w:tcW w:w="100" w:type="dxa"/>
            <w:vAlign w:val="bottom"/>
          </w:tcPr>
          <w:p>
            <w:pPr>
              <w:spacing w:after="0"/>
              <w:rPr>
                <w:sz w:val="17"/>
                <w:szCs w:val="17"/>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29,706</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not Designated Hedges: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a foreign currency swap, with a notional amount of $7.3 million to mitigate the risk from fluctuations in foreign currency exchange rates associated with an intercompany loan denominated in Japanese yen.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$4.6 million as of September 30, 2024.</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foreign currency swaps not designated as hedges was $1.1 million and $1.2 million as of September 30, 2024 and December 31, 2023, respectively. The following table summarizes the gains on derivative instruments not designated as hedges on the condensed consolidated statements of income, which was included in other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320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0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swaps</w:t>
            </w: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r>
      <w:tr>
        <w:trPr>
          <w:trHeight w:val="212"/>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r>
      <w:tr>
        <w:trPr>
          <w:trHeight w:val="21"/>
        </w:trPr>
        <w:tc>
          <w:tcPr>
            <w:tcW w:w="4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stock options, restricted stock awards, performance stock awards, contract stock awards and restricted stock unit awards outstanding under the Integra LifeSciences Holdings Corporation Fifth Amended and Restated 2003 Equity Incentive Plan, as amended (the “2003 Plan”).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2003 Plan vests over specified periods, generally three years after the date of grant. The vesting of performance stock issued under the 2003 Plan is subject to service and performance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there were approximately $3.5 million of total unrecognized compensation costs related to unvested stock options. These costs are expected to be recognized over a weighted-average period of approximately three years. There were 243,964 stock options granted during the nine months ended September 30, 2024. For the nine months ended September 30, 2024, the weighted average grant date fair value for stock options granted was $15.68 per option.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of Restricted Stock and Performance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September 30, 2024, there was approximately $35.4 million of total unrecognized compensation costs related to these unvested awards. The Company expects to recognize these costs over a weighted-average period of approximately two years. The Company granted 737,623 restricted stock awards and 263,350 performance stock awards during the nine months ended September 30, 2024. For the nine months ended September 30, 2024, the weighted average grant date fair value for restricted stock awards and performance stock units granted was $34.45 and $36.22 per award, respectively.</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Separation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27, 2024, the Company announced that Mr. De Witte would retire from his position as President and Chief Executive Officer and director of the Company following the completion of a succession process and entered into a letter agreement with Mr. De Witte to modify his current employment agreement and put forth the form of a post-employment consulting agreement. The Company applied modification accounting to the outstanding equity-based awards granted to Mr. De Witte as of that date, which revalued and accelerated stock-based compensation associated with equity-based awards granted to him over his expected service period to the Company. Pursuant to this letter agreement, Mr. De Witte’s unvested equity-based awards will continue to vest during his continued service period to the Company and vested stock options were modified such that they will remain exercisable until the lesser of (a) the stated term of the stock options and (b) six months following his cessation of continued service to the Company. As a result of the modifications, the Company recorded incremental stock-based compensation expense of $1.4 million during the nine months ended September 30, 2024. The Company will record a total of $1.9 million in accelerated stock-based compensation expenses for the twelve months ended December 31, 2024 that would not have been recognized if Mr. De Witte had not announced his retirement from Integra.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defined benefit pension plans that cover certain employees in France, Japan, Germany, India and Switzerland.</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periodic benefit costs for the Company’s defined benefit pension plans for the three and nine months ended September 30, 2024 were $0.4 million and $1.3 million, respectively. The components of the net periodic benefit costs other than the service cost component of $0.8 million and $2.4 million for the three and nine months ended September 30, 2024, respectively, are included in other income, net in the consolidated statements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periodic benefit costs for the Company’s defined benefit pension plans for the three and nine months ended September 30, 2023 were $0.3 million and $0.9 million, respectively. The components of the net periodic benefit costs other than the service cost component of $0.5 million and $1.6 million for the three and nine months ended September 30, 2023, respectively, are included in other income, net in the consolidated statements of operations.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plan assets were $43.4 million and $45.7 million as of September 30, 2024 and December 31, 2023, respectively. The net plan assets of the pension plans are invested in common trusts as of September 30, 2024 and December 31, 2023.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$6.5 million and $6.1 million as of September 30, 2024 and December 31, 2023, respectively. Offsetting liabilities relating to the deferred compensation plan are included in other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 AND RELATED PARTY 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administrative, manufacturing, research and distribution facilities, and vehicles through operating lease agreements. The Company has no finance leases as of September 30, 2024.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operating lease expense for the nine months ended September 30, 2024 and September 30, 2023 was $18.8 million and $17.9 million, respectively, which includes $0.2 million, in related party operating lease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were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lease term and discount rate</w:t>
            </w:r>
          </w:p>
        </w:tc>
        <w:tc>
          <w:tcPr>
            <w:tcW w:w="320" w:type="dxa"/>
            <w:vAlign w:val="bottom"/>
          </w:tcPr>
          <w:p>
            <w:pPr>
              <w:spacing w:after="0"/>
              <w:rPr>
                <w:sz w:val="16"/>
                <w:szCs w:val="16"/>
                <w:color w:val="auto"/>
              </w:rPr>
            </w:pP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0" w:type="dxa"/>
            <w:vAlign w:val="bottom"/>
          </w:tcPr>
          <w:p>
            <w:pPr>
              <w:spacing w:after="0"/>
              <w:rPr>
                <w:sz w:val="16"/>
                <w:szCs w:val="16"/>
                <w:color w:val="auto"/>
              </w:rPr>
            </w:pPr>
          </w:p>
        </w:tc>
        <w:tc>
          <w:tcPr>
            <w:tcW w:w="194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146,342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156,184</w:t>
            </w:r>
          </w:p>
        </w:tc>
      </w:tr>
      <w:tr>
        <w:trPr>
          <w:trHeight w:val="270"/>
        </w:trPr>
        <w:tc>
          <w:tcPr>
            <w:tcW w:w="6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15,284</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167,808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166,849</w:t>
            </w: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182,847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182,133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facilities</w:t>
            </w:r>
          </w:p>
        </w:tc>
        <w:tc>
          <w:tcPr>
            <w:tcW w:w="320" w:type="dxa"/>
            <w:vAlign w:val="bottom"/>
          </w:tcPr>
          <w:p>
            <w:pPr>
              <w:spacing w:after="0"/>
              <w:rPr>
                <w:sz w:val="18"/>
                <w:szCs w:val="18"/>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16.2 years</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 years</w:t>
            </w: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vehicles</w:t>
            </w:r>
          </w:p>
        </w:tc>
        <w:tc>
          <w:tcPr>
            <w:tcW w:w="3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 years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years</w:t>
            </w:r>
          </w:p>
        </w:tc>
      </w:tr>
      <w:tr>
        <w:trPr>
          <w:trHeight w:val="270"/>
        </w:trPr>
        <w:tc>
          <w:tcPr>
            <w:tcW w:w="6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facilities</w:t>
            </w: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vehicles</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nine months ended September 30, 2024 and 2023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48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54"/>
        </w:trPr>
        <w:tc>
          <w:tcPr>
            <w:tcW w:w="78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14,778</w:t>
            </w:r>
          </w:p>
        </w:tc>
        <w:tc>
          <w:tcPr>
            <w:tcW w:w="0" w:type="dxa"/>
            <w:vAlign w:val="bottom"/>
          </w:tcPr>
          <w:p>
            <w:pPr>
              <w:spacing w:after="0"/>
              <w:rPr>
                <w:sz w:val="1"/>
                <w:szCs w:val="1"/>
                <w:color w:val="auto"/>
              </w:rPr>
            </w:pPr>
          </w:p>
        </w:tc>
      </w:tr>
      <w:tr>
        <w:trPr>
          <w:trHeight w:val="273"/>
        </w:trPr>
        <w:tc>
          <w:tcPr>
            <w:tcW w:w="7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ROU assets obtained in exchange for lease liabilities, net of modifications: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19,540</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operating leases at September 30, 2024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23,312</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21,613</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19,721</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17,459</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16,552</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165,343</w:t>
            </w: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268,627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270,131</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87,284</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182,847</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15,039</w:t>
            </w: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future minimum lease payments under finance leases at September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one of its manufacturing facilities in Plainsboro, New Jersey, from a general partnership that is 50% owned by a principal stockholder of the Company. The term of the current lease agreement is through October 31, 2029 at an annual rate of approximately $0.3 million.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Impairment Charge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approved a plan to transition the commercial distribution of PriMatrix® and SurgiMend® from the Boston facility to the Company’s manufacturing facility in Braintree, Massachusetts and permanently cease use of the Boston facility. As a result, in the second quarter of 2024, the Company recorded a $4.6 million impairment charge, as the carrying amounts of the operating lease right-of-use asset and fixed assets related to the Boston facility exceeded their fair values based on the Company’s estimates of future discounted cash flows through the end of the lease term and the end of their remaining useful lives, respectively. The $4.6 million impairment charge was comprised of a $1.7 million impairment of an operating lease right-of-use asset and a $2.9 million write-off of fixed assets, which was recorded as a component of cost of goods sold in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TREASURY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there were 14.5 million and 12.8 million shares of treasury stock outstanding with a cost of $691.8 million and $647.3 million, at a weighted average cost per share of $47.86 and $50.76, respectively.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16, 2024, the Company entered into a $50 million accelerated share repurchase (“May 2024 ASR”) and received 1.3 million shares of common stock at inception of the May 2024 ASR, which represented approximately 70% of the expected total shares under the May 2024 ASR. On July 31, 2024, the early exercise provision was exercised by the May 2024 ASR counterparty. The Company received an additional 0.4 million shares determined using the volume-weighted average price of the Company’s common stock during the term of the May 2024 ASR.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15, 2023, the Company entered into a $125 million accelerated share repurchase (“August 2023 ASR”) and received 2.3 million shares of common stock at inception of the August 2023 ASR, which represented approximately 80% of the expected total shares under the August 2023 ASR. On October 18, 2023 the early exercise provision was exercised by the August 2023 ASR counterparty. The Company received an additional 0.9 million shares determined using the volume-weighted average price of the Company’s common stock during the term of the August 2023 ASR.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2023, the Company entered into a $150 million accelerated share repurchase (“January 2023 ASR”) and received 2.1 million shares of common stock at inception of the January 2023 ASR, which represented approximately 80% of the expected total shares under the January 2023 ASR. The settlement of the January 2023 ASR agreement was completed in the second quarter of 2023, where the Company received 0.6 million shares, determined using the volume-weighted average price of the Company’s common stock during the term of the January 2023 ASR.</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“Inflation Act”) was signed into law. The Inflation Act implements a new excise tax of 1% on the net share repurchases made by the Company effective for share repurchases performed January 1, 2023, or after. In October 2024, the Company made an excise tax payment of $2.5 million related to the January 2023 ASR and the August 2023 ASR.</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18, 2023, the Board of Directors authorized a new $225 million share repurchase program. As of September 30, 2024, $50 million remained authorized. The program, which was authorized in July 2023 and expires on December 31, 2025, allows the Company to repurchase its shares opportunistically from time to time. The Company may utilize various methods to effect any repurchases, including open market transactions, privately negotiated transactions, transactions structured through investment banking institutions, including accelerated share repurchases, or a combination of the foregoing, some of which may be effected through Rule 10b5-1 plans.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effective tax rate: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9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3"/>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60" w:type="dxa"/>
            <w:vAlign w:val="bottom"/>
            <w:gridSpan w:val="2"/>
          </w:tcPr>
          <w:p>
            <w:pPr>
              <w:spacing w:after="0"/>
              <w:rPr>
                <w:sz w:val="2"/>
                <w:szCs w:val="2"/>
                <w:color w:val="auto"/>
              </w:rPr>
            </w:pPr>
          </w:p>
        </w:tc>
        <w:tc>
          <w:tcPr>
            <w:tcW w:w="184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11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4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tax rate</w:t>
            </w: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September 30, 2024 and 2023 were 47.5% and (4.8)%, respectively. For the three months ended September 30, 2024, the higher tax rate is primarily due to the limitation of foreign tax credits in the U.S. and the limitation of federal tax credits in Switzerland, caused by lower book income realized during the third quarter. For the three months ended September 30, 2023,the primary drivers of the lower tax rate relate to a reduction to book income in higher-taxed jurisdictions and a $3.3 million benefit related to the filing of prior year tax returns.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rates for the nine months ended September 30, 2024 and 2023 were 35.3% and 8.2%, respectively. For the nine months ended September 30, 2024, the higher tax rate is primarily due to the limitation of foreign tax credits in the U.S. and the limitation of federal tax credits in Switzerland, caused by lower book income and a $1.9 million shortfall from stock-based compensation, as compared to the prior year. For the nine months ended September 30, 2023, the primary drivers of the lower tax rate relate to a reduction to book income in higher-taxed jurisdictions and a $3.8 million benefit related to the filing of prior year tax returns.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to income tax laws and regulations, in any of the tax jurisdictions in which the Company operates, could impact the effective tax rate. Various governments, both U.S. and non-U.S., are increasingly focused on tax reform and revenue-raising legislation. On August 16, 2022, the Inflation Act was signed into law. The Company did not experience a material impact on the Company’s effective tax rate under the Inflation Act. Further, legislation in foreign jurisdictions may be enacted, in continued response to the base erosion and profit-sharing (“BEPS”) project begun by the Organization for Economic Cooperation and Development (“OECD”).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OECD released model rules related to a new 15% global minimum tax regime (“Pillar 2”). Several of the jurisdictions that the Company operates in have already adopted some form of the model rules, which could impact the amount of taxes that the Company pays after 2023. However, the rules are complex and provide for delays for implementing the tax during the early transition years, if certain conditions are met. At this time, the Company is projecting an immaterial amount related to Pillar 2 tax liability for the year ending December 31, 2024. Related changes in U.S. and non-U.S. jurisdictions could have an adverse effect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5240" w:type="dxa"/>
            <w:vAlign w:val="bottom"/>
            <w:tcBorders>
              <w:bottom w:val="single" w:sz="8" w:color="CCEEFF"/>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2320" w:type="dxa"/>
            <w:vAlign w:val="bottom"/>
            <w:tcBorders>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Basic net (loss) income per share:</w:t>
            </w:r>
          </w:p>
        </w:tc>
        <w:tc>
          <w:tcPr>
            <w:tcW w:w="292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19,497</w:t>
            </w:r>
          </w:p>
        </w:tc>
        <w:tc>
          <w:tcPr>
            <w:tcW w:w="1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76,448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(loss) income per common share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Diluted net (loss) income per share:</w:t>
            </w:r>
          </w:p>
        </w:tc>
        <w:tc>
          <w:tcPr>
            <w:tcW w:w="2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19,497</w:t>
            </w:r>
          </w:p>
        </w:tc>
        <w:tc>
          <w:tcPr>
            <w:tcW w:w="1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47,907</w:t>
            </w: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76,448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Stock options and restricted stock</w:t>
            </w: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for diluted earnings per share</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76,448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79,811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77,196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(loss) income per common share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common shares outstanding during the period. Diluted earnings per share is computed based on the weighted-average common shares outstanding plus the effect of dilutive potential common shares outstanding during the period calculated using the treasury stock method. Dilutive potential common shares include employee equity share options, non-vested shares, and similar equity instruments granted by the Company. Potential common share equivalents have been excluded where their inclusion would be anti-dilutive. For periods in which the Company generated a net loss, the Company does not include the potential impact of dilutive securities in diluted net loss per share, as the impact of these items is anti-dilutive.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of approximately 1.3 million and 0.6 million shares at September 30, 2024, and 2023, respectively, were not included in the computation of diluted net (loss) income per share because their effect would have been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 income for the three and nine months ended September 30,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60" w:type="dxa"/>
            <w:vAlign w:val="bottom"/>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47,907</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unrealized loss/(gain) on derivatives, net of tax</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Pension liability adjustment, net of tax</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income by component between December 31, 2023 and September 30, 2024 are presented in the table below, net of tax: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Gains and Losses</w:t>
            </w:r>
          </w:p>
        </w:tc>
        <w:tc>
          <w:tcPr>
            <w:tcW w:w="12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8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80" w:type="dxa"/>
            <w:vAlign w:val="bottom"/>
          </w:tcPr>
          <w:p>
            <w:pPr>
              <w:spacing w:after="0"/>
              <w:rPr>
                <w:sz w:val="13"/>
                <w:szCs w:val="13"/>
                <w:color w:val="auto"/>
              </w:rPr>
            </w:pPr>
          </w:p>
        </w:tc>
        <w:tc>
          <w:tcPr>
            <w:tcW w:w="90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6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21,489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0" w:type="dxa"/>
            <w:vAlign w:val="bottom"/>
          </w:tcPr>
          <w:p>
            <w:pPr>
              <w:spacing w:after="0"/>
              <w:rPr>
                <w:sz w:val="1"/>
                <w:szCs w:val="1"/>
                <w:color w:val="auto"/>
              </w:rPr>
            </w:pPr>
          </w:p>
        </w:tc>
      </w:tr>
      <w:tr>
        <w:trPr>
          <w:trHeight w:val="21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14,286</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Less: Amounts reclassified from accumulated other comprehensive income,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24,034</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Net current-period other comprehensive gain (loss)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reclassified a gain of $7.3 million and $16.8 million from accumulated other comprehensive income to other income, net and interest income,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internally manages two global reportable segments and reports the results of its businesses to its chief operating decision maker.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two reportable segments and their activities are described below.</w:t>
      </w:r>
    </w:p>
    <w:p>
      <w:pPr>
        <w:spacing w:after="0" w:line="99" w:lineRule="exact"/>
        <w:rPr>
          <w:sz w:val="20"/>
          <w:szCs w:val="20"/>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(ii) the Instruments business, which sells more than 40,000 instrument patterns and surgical and lighting products to hospitals, surgery centers, dental, podiatry, and veterinary offices; and (iii) the ENT business, which includes instrumentation, balloon technologies for sinus dilation and eustachian tube dilation, as well as surgical navigation systems.</w:t>
      </w:r>
    </w:p>
    <w:p>
      <w:pPr>
        <w:spacing w:after="0" w:line="7" w:lineRule="exact"/>
        <w:rPr>
          <w:rFonts w:ascii="Times New Roman" w:cs="Times New Roman" w:eastAsia="Times New Roman" w:hAnsi="Times New Roman"/>
          <w:sz w:val="18"/>
          <w:szCs w:val="18"/>
          <w:color w:val="auto"/>
        </w:rPr>
      </w:pPr>
    </w:p>
    <w:p>
      <w:pPr>
        <w:ind w:left="660" w:right="40" w:hanging="328"/>
        <w:spacing w:after="0" w:line="238" w:lineRule="auto"/>
        <w:tabs>
          <w:tab w:leader="none" w:pos="653" w:val="left"/>
        </w:tabs>
        <w:numPr>
          <w:ilvl w:val="0"/>
          <w:numId w:val="7"/>
        </w:numPr>
        <w:rPr>
          <w:rFonts w:ascii="Calibri" w:cs="Calibri" w:eastAsia="Calibri" w:hAnsi="Calibri"/>
          <w:sz w:val="20"/>
          <w:szCs w:val="20"/>
          <w:color w:val="auto"/>
        </w:rPr>
      </w:pPr>
      <w:r>
        <w:rPr>
          <w:rFonts w:ascii="Times New Roman" w:cs="Times New Roman" w:eastAsia="Times New Roman" w:hAnsi="Times New Roman"/>
          <w:sz w:val="18"/>
          <w:szCs w:val="18"/>
          <w:color w:val="auto"/>
        </w:rPr>
        <w:t>The Tissue Technologies segment consists of the Wound Reconstruction and Care business, which includes offerings such as skin and wound repair products, plastics and surgical reconstruction products, bone grafts, and nerve and tendon repair products. The Tissue Technologies segment includes the Company’s private label business.</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Corporate and other category includes (i) various executive, finance, human resource, information systems and legal functions, (ii) brand management, and (iii) share-based compensation costs.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and nine months ended September 30, 2024 and 2023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32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Net Sales</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Codman Specialty Surgical</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270,782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268,205</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828,977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787,371</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Tissue Technologies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114,216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338,904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357,163</w:t>
            </w:r>
          </w:p>
        </w:tc>
        <w:tc>
          <w:tcPr>
            <w:tcW w:w="0" w:type="dxa"/>
            <w:vAlign w:val="bottom"/>
          </w:tcPr>
          <w:p>
            <w:pPr>
              <w:spacing w:after="0"/>
              <w:rPr>
                <w:sz w:val="1"/>
                <w:szCs w:val="1"/>
                <w:color w:val="auto"/>
              </w:rPr>
            </w:pPr>
          </w:p>
        </w:tc>
      </w:tr>
      <w:tr>
        <w:trPr>
          <w:trHeight w:val="207"/>
        </w:trPr>
        <w:tc>
          <w:tcPr>
            <w:tcW w:w="3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380,834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382,421</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1,167,881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1,144,534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Profit</w:t>
            </w: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Codman Specialty Surgical</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100,538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105,170</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368,171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332,444</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Tissue Technologies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92,132</w:t>
            </w:r>
          </w:p>
        </w:tc>
        <w:tc>
          <w:tcPr>
            <w:tcW w:w="0" w:type="dxa"/>
            <w:vAlign w:val="bottom"/>
          </w:tcPr>
          <w:p>
            <w:pPr>
              <w:spacing w:after="0"/>
              <w:rPr>
                <w:sz w:val="1"/>
                <w:szCs w:val="1"/>
                <w:color w:val="auto"/>
              </w:rPr>
            </w:pPr>
          </w:p>
        </w:tc>
      </w:tr>
      <w:tr>
        <w:trPr>
          <w:trHeight w:val="207"/>
        </w:trPr>
        <w:tc>
          <w:tcPr>
            <w:tcW w:w="3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Segment profit</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136,959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464,506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424,576</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(9,342)</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(133,410)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(107,158)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(454,147)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(339,755)</w:t>
            </w:r>
          </w:p>
        </w:tc>
        <w:tc>
          <w:tcPr>
            <w:tcW w:w="0" w:type="dxa"/>
            <w:vAlign w:val="bottom"/>
          </w:tcPr>
          <w:p>
            <w:pPr>
              <w:spacing w:after="0"/>
              <w:rPr>
                <w:sz w:val="1"/>
                <w:szCs w:val="1"/>
                <w:color w:val="auto"/>
              </w:rPr>
            </w:pPr>
          </w:p>
        </w:tc>
      </w:tr>
      <w:tr>
        <w:trPr>
          <w:trHeight w:val="23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26,593</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allocate any assets to the reportable segments. No asset information is reported to the chief operating decision maker and disclosed in the financial information for each segment. The Company attributes revenues to geographic areas based on the location of the customer. Total revenue by major geographic area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3060" w:type="dxa"/>
            <w:vAlign w:val="bottom"/>
            <w:gridSpan w:val="4"/>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20" w:type="dxa"/>
            <w:vAlign w:val="bottom"/>
            <w:gridSpan w:val="4"/>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6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14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290,192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269,838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856,646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817,622</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34,368</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41,524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120,040</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37,052</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146,956</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19,222</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22,282</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62,034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59,916</w:t>
            </w:r>
          </w:p>
        </w:tc>
        <w:tc>
          <w:tcPr>
            <w:tcW w:w="0" w:type="dxa"/>
            <w:vAlign w:val="bottom"/>
          </w:tcPr>
          <w:p>
            <w:pPr>
              <w:spacing w:after="0"/>
              <w:rPr>
                <w:sz w:val="1"/>
                <w:szCs w:val="1"/>
                <w:color w:val="auto"/>
              </w:rPr>
            </w:pPr>
          </w:p>
        </w:tc>
      </w:tr>
      <w:tr>
        <w:trPr>
          <w:trHeight w:val="235"/>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140" w:type="dxa"/>
            <w:vAlign w:val="bottom"/>
            <w:tcBorders>
              <w:bottom w:val="single" w:sz="8" w:color="auto"/>
            </w:tcBorders>
            <w:shd w:val="clear" w:color="auto" w:fill="CCEEFF"/>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380,834</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382,421</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1,167,881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1,144,534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its business, the Company is involved in, from time to time, various legal actions, including any matters described below, involving product liability, employment, intellectual property and commercial disputes, shareholder related matters, environmental proceedings, tax disputes, and governmental proceedings and investigations, some of which have been settled by the Company. In the opinion of management, such matters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If the reasonable estimate of a probable loss is a range, and no amount within the range is a better estimate than any other, the minimum amount of the range is recorded. In most cases, significant judgment is required to estimate the amount and timing of a loss to be recorded and actual results may differ from these estimates.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December 21, 2023, Fortis Advisors, LLC (representative of the security holders of ACell, Inc. (“ACell”)) filed for arbitration against Integra Life Sciences claiming breach of contract related to the earnout consideration from the 2021 acquisition of ACell. Refer to the contingent consideration section of this footnote for additional information on the ACell contingent considerations. The Company believes that it has strong defenses to the allegations in the arbitration and intends to defend the matter vigorously.</w:t>
      </w:r>
    </w:p>
    <w:p>
      <w:pPr>
        <w:spacing w:after="0" w:line="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September 12, 2023, a securities class action complaint, captioned </w:t>
      </w:r>
      <w:r>
        <w:rPr>
          <w:rFonts w:ascii="Times New Roman" w:cs="Times New Roman" w:eastAsia="Times New Roman" w:hAnsi="Times New Roman"/>
          <w:sz w:val="18"/>
          <w:szCs w:val="18"/>
          <w:i w:val="1"/>
          <w:iCs w:val="1"/>
          <w:color w:val="auto"/>
        </w:rPr>
        <w:t>Pembroke Pines Firefighters &amp; Police Officers Pension Fund v. Integra LifeSciences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Corporation</w:t>
      </w:r>
      <w:r>
        <w:rPr>
          <w:rFonts w:ascii="Times New Roman" w:cs="Times New Roman" w:eastAsia="Times New Roman" w:hAnsi="Times New Roman"/>
          <w:sz w:val="18"/>
          <w:szCs w:val="18"/>
          <w:color w:val="auto"/>
        </w:rPr>
        <w:t>, No. 23-cv-20321 (D.N.J.), was filed by a purported stockholder of the Company in the United States District Court for the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U.S. Food and Drug Administration at the Company’s Boston, Massachusetts manufacturing facility, the Company’s efforts to remediate those issues, and the Company’s forecasts for certain products in its Tissue Technologies segment. The complaint seeks, among other things, compensatory damages, attorneys’ fees, expert fees, and other costs. The Company believes that it has strong defenses to the allegations in the Pembroke Litigation, and intends to defend the matter vigorously.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2021, a complaint was filed against the Company in the Court of Common Pleas of Philadelphia County in Pennsylvania asserting product liability claims relating to a surgical procedure in which the Company’s CUSA® Clarity allegedly was used. The plaintiff seeks damages against the Company based upon plaintiff’s claim that the CUSA® Clarity did not function as intended. The plaintiff also asserts separate claims against the surgeon and the hospital. In the third quarter of 2024, a settlement was reached, which has since been paid by the Company’s insurance carriers.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contingent consideration during the nine month period ended September 30, 2024 and September 30, 2023 to reflect the change in estimate, additions, payments, transfers and the time value of money during each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opening balances to the closing balances of these Level 3 measurements for the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20" w:type="dxa"/>
            <w:vAlign w:val="bottom"/>
            <w:gridSpan w:val="21"/>
          </w:tcPr>
          <w:p>
            <w:pPr>
              <w:ind w:left="580"/>
              <w:spacing w:after="0"/>
              <w:rPr>
                <w:sz w:val="20"/>
                <w:szCs w:val="20"/>
                <w:color w:val="auto"/>
              </w:rPr>
            </w:pPr>
            <w:r>
              <w:rPr>
                <w:rFonts w:ascii="Times New Roman" w:cs="Times New Roman" w:eastAsia="Times New Roman" w:hAnsi="Times New Roman"/>
                <w:sz w:val="16"/>
                <w:szCs w:val="16"/>
                <w:b w:val="1"/>
                <w:bCs w:val="1"/>
                <w:color w:val="auto"/>
              </w:rPr>
              <w:t>Contingent Consideration Liability Related to Acquisition of:</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200"/>
              <w:spacing w:after="0" w:line="168" w:lineRule="exact"/>
              <w:rPr>
                <w:sz w:val="20"/>
                <w:szCs w:val="20"/>
                <w:color w:val="auto"/>
              </w:rPr>
            </w:pPr>
            <w:r>
              <w:rPr>
                <w:rFonts w:ascii="Times New Roman" w:cs="Times New Roman" w:eastAsia="Times New Roman" w:hAnsi="Times New Roman"/>
                <w:sz w:val="16"/>
                <w:szCs w:val="16"/>
                <w:b w:val="1"/>
                <w:bCs w:val="1"/>
                <w:color w:val="auto"/>
              </w:rPr>
              <w:t>Surgical</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Derma</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Innovations</w:t>
            </w:r>
          </w:p>
        </w:tc>
        <w:tc>
          <w:tcPr>
            <w:tcW w:w="164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Location in Financial</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ind w:left="140"/>
              <w:spacing w:after="0" w:line="162" w:lineRule="exact"/>
              <w:rPr>
                <w:sz w:val="20"/>
                <w:szCs w:val="20"/>
                <w:color w:val="auto"/>
              </w:rPr>
            </w:pPr>
            <w:r>
              <w:rPr>
                <w:rFonts w:ascii="Times New Roman" w:cs="Times New Roman" w:eastAsia="Times New Roman" w:hAnsi="Times New Roman"/>
                <w:sz w:val="16"/>
                <w:szCs w:val="16"/>
                <w:b w:val="1"/>
                <w:bCs w:val="1"/>
                <w:color w:val="auto"/>
              </w:rPr>
              <w:t>Arkis</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restart"/>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Financial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ind w:left="180"/>
              <w:spacing w:after="0" w:line="162" w:lineRule="exact"/>
              <w:rPr>
                <w:sz w:val="20"/>
                <w:szCs w:val="20"/>
                <w:color w:val="auto"/>
              </w:rPr>
            </w:pPr>
            <w:r>
              <w:rPr>
                <w:rFonts w:ascii="Times New Roman" w:cs="Times New Roman" w:eastAsia="Times New Roman" w:hAnsi="Times New Roman"/>
                <w:sz w:val="16"/>
                <w:szCs w:val="16"/>
                <w:b w:val="1"/>
                <w:bCs w:val="1"/>
                <w:color w:val="auto"/>
              </w:rPr>
              <w:t>ACell</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right"/>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Sciences</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Associates</w:t>
            </w:r>
          </w:p>
        </w:tc>
        <w:tc>
          <w:tcPr>
            <w:tcW w:w="1640" w:type="dxa"/>
            <w:vAlign w:val="bottom"/>
            <w:vMerge w:val="restart"/>
          </w:tcPr>
          <w:p>
            <w:pPr>
              <w:ind w:left="440"/>
              <w:spacing w:after="0" w:line="162" w:lineRule="exact"/>
              <w:rPr>
                <w:sz w:val="20"/>
                <w:szCs w:val="20"/>
                <w:color w:val="auto"/>
              </w:rPr>
            </w:pPr>
            <w:r>
              <w:rPr>
                <w:rFonts w:ascii="Times New Roman" w:cs="Times New Roman" w:eastAsia="Times New Roman" w:hAnsi="Times New Roman"/>
                <w:sz w:val="16"/>
                <w:szCs w:val="16"/>
                <w:b w:val="1"/>
                <w:bCs w:val="1"/>
                <w:color w:val="auto"/>
              </w:rPr>
              <w:t>Statements</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Statements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3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(SIA), Inc.</w:t>
            </w: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35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35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2,557</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Payment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52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(3,019)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Research and</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Selling, general and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3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12,736</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2,694</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Pr>
          <w:p>
            <w:pPr>
              <w:spacing w:after="0"/>
              <w:rPr>
                <w:sz w:val="6"/>
                <w:szCs w:val="6"/>
                <w:color w:val="auto"/>
              </w:rPr>
            </w:pPr>
          </w:p>
        </w:tc>
        <w:tc>
          <w:tcPr>
            <w:tcW w:w="3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Short-Term</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Accrued expenses and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520" w:type="dxa"/>
            <w:vAlign w:val="bottom"/>
            <w:gridSpan w:val="3"/>
            <w:vMerge w:val="continue"/>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2,694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3520" w:type="dxa"/>
            <w:vAlign w:val="bottom"/>
            <w:gridSpan w:val="3"/>
          </w:tcPr>
          <w:p>
            <w:pPr>
              <w:ind w:left="3180"/>
              <w:spacing w:after="0"/>
              <w:rPr>
                <w:sz w:val="20"/>
                <w:szCs w:val="20"/>
                <w:color w:val="auto"/>
              </w:rPr>
            </w:pPr>
            <w:r>
              <w:rPr>
                <w:rFonts w:ascii="Times New Roman" w:cs="Times New Roman" w:eastAsia="Times New Roman" w:hAnsi="Times New Roman"/>
                <w:sz w:val="16"/>
                <w:szCs w:val="16"/>
                <w:color w:val="auto"/>
                <w:w w:val="94"/>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12,736</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2,694</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21"/>
          </w:tcPr>
          <w:p>
            <w:pPr>
              <w:ind w:left="560"/>
              <w:spacing w:after="0"/>
              <w:rPr>
                <w:sz w:val="20"/>
                <w:szCs w:val="20"/>
                <w:color w:val="auto"/>
              </w:rPr>
            </w:pPr>
            <w:r>
              <w:rPr>
                <w:rFonts w:ascii="Times New Roman" w:cs="Times New Roman" w:eastAsia="Times New Roman" w:hAnsi="Times New Roman"/>
                <w:sz w:val="16"/>
                <w:szCs w:val="16"/>
                <w:b w:val="1"/>
                <w:bCs w:val="1"/>
                <w:color w:val="auto"/>
              </w:rPr>
              <w:t>Contingent Consideration Liability Related to Acquisition of:</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Location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rPr>
              <w:t>Surgical</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3"/>
            <w:vMerge w:val="restart"/>
          </w:tcPr>
          <w:p>
            <w:pPr>
              <w:jc w:val="right"/>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Derma</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Innovations</w:t>
            </w:r>
          </w:p>
        </w:tc>
        <w:tc>
          <w:tcPr>
            <w:tcW w:w="1640" w:type="dxa"/>
            <w:vAlign w:val="bottom"/>
            <w:vMerge w:val="restart"/>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Location in Financial</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Arkis</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Financial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right"/>
              <w:ind w:right="3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ACell</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4"/>
            <w:vMerge w:val="restart"/>
          </w:tcPr>
          <w:p>
            <w:pPr>
              <w:jc w:val="right"/>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Sciences</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320" w:type="dxa"/>
            <w:vAlign w:val="bottom"/>
            <w:gridSpan w:val="5"/>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Associates (SIA),</w:t>
            </w:r>
          </w:p>
        </w:tc>
        <w:tc>
          <w:tcPr>
            <w:tcW w:w="1640" w:type="dxa"/>
            <w:vAlign w:val="bottom"/>
            <w:vMerge w:val="restart"/>
          </w:tcPr>
          <w:p>
            <w:pPr>
              <w:ind w:left="480"/>
              <w:spacing w:after="0" w:line="162" w:lineRule="exact"/>
              <w:rPr>
                <w:sz w:val="20"/>
                <w:szCs w:val="20"/>
                <w:color w:val="auto"/>
              </w:rPr>
            </w:pPr>
            <w:r>
              <w:rPr>
                <w:rFonts w:ascii="Times New Roman" w:cs="Times New Roman" w:eastAsia="Times New Roman" w:hAnsi="Times New Roman"/>
                <w:sz w:val="16"/>
                <w:szCs w:val="16"/>
                <w:b w:val="1"/>
                <w:bCs w:val="1"/>
                <w:color w:val="auto"/>
              </w:rPr>
              <w:t>Statements</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Statements</w:t>
            </w:r>
          </w:p>
        </w:tc>
        <w:tc>
          <w:tcPr>
            <w:tcW w:w="100" w:type="dxa"/>
            <w:vAlign w:val="bottom"/>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6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57,600</w:t>
            </w:r>
          </w:p>
        </w:tc>
        <w:tc>
          <w:tcPr>
            <w:tcW w:w="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2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Research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(2,200)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6,600</w:t>
            </w:r>
          </w:p>
        </w:tc>
        <w:tc>
          <w:tcPr>
            <w:tcW w:w="20" w:type="dxa"/>
            <w:vAlign w:val="bottom"/>
          </w:tcPr>
          <w:p>
            <w:pPr>
              <w:spacing w:after="0"/>
              <w:rPr>
                <w:sz w:val="14"/>
                <w:szCs w:val="14"/>
                <w:color w:val="auto"/>
              </w:rPr>
            </w:pPr>
          </w:p>
        </w:tc>
        <w:tc>
          <w:tcPr>
            <w:tcW w:w="16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Selling, general and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administrative</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2023</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64,200</w:t>
            </w:r>
          </w:p>
        </w:tc>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62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w:t>
            </w:r>
          </w:p>
        </w:tc>
        <w:tc>
          <w:tcPr>
            <w:tcW w:w="1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shd w:val="clear" w:color="auto" w:fill="CCEEFF"/>
          </w:tcPr>
          <w:p>
            <w:pPr>
              <w:spacing w:after="0"/>
              <w:rPr>
                <w:sz w:val="14"/>
                <w:szCs w:val="14"/>
                <w:color w:val="auto"/>
              </w:rPr>
            </w:pPr>
          </w:p>
        </w:tc>
        <w:tc>
          <w:tcPr>
            <w:tcW w:w="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13,000</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Accrued expenses and</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gridSpan w:val="4"/>
            <w:vMerge w:val="continue"/>
            <w:shd w:val="clear" w:color="auto" w:fill="CCEEFF"/>
          </w:tcPr>
          <w:p>
            <w:pPr>
              <w:spacing w:after="0"/>
              <w:rPr>
                <w:sz w:val="18"/>
                <w:szCs w:val="18"/>
                <w:color w:val="auto"/>
              </w:rPr>
            </w:pPr>
          </w:p>
        </w:tc>
        <w:tc>
          <w:tcPr>
            <w:tcW w:w="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10,513</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51,200</w:t>
            </w:r>
          </w:p>
        </w:tc>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0" w:type="dxa"/>
            <w:vAlign w:val="bottom"/>
            <w:shd w:val="clear" w:color="auto" w:fill="CCEEFF"/>
          </w:tcPr>
          <w:p>
            <w:pPr>
              <w:spacing w:after="0"/>
              <w:rPr>
                <w:sz w:val="20"/>
                <w:szCs w:val="20"/>
                <w:color w:val="auto"/>
              </w:rPr>
            </w:pPr>
          </w:p>
        </w:tc>
        <w:tc>
          <w:tcPr>
            <w:tcW w:w="3520" w:type="dxa"/>
            <w:vAlign w:val="bottom"/>
            <w:gridSpan w:val="3"/>
            <w:shd w:val="clear" w:color="auto" w:fill="CCEEFF"/>
          </w:tcPr>
          <w:p>
            <w:pPr>
              <w:ind w:left="302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64,200</w:t>
            </w:r>
          </w:p>
        </w:tc>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Arkis BioSciences Inc.</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Derma Sciences, Inc.</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assumed contingent consideration incurred by Derma Sciences, Inc. (“Derma Sciences”) related to its acquisitions of BioD, LLC and the intellectual property related to Medihoney® products. The Company accounted for the contingent liabilities by recording the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ACell, Inc.</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acquisition of ACell, the Company is required to make payments to the former shareholders of ACell up to $100 million in total for years 2022, 2023, and 2025 based on the achievement by the Company of certain revenue-based performance milestones. The 2022 and 2023 milestones were not achieved, leaving only one contingent milestone remaining.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Surgical Innovations Associates, Inc.</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acquisition of Surgical Innovations Associates, Inc. (“SIA”), the Company is required to pay to the former shareholders of SIA up to $90.0 million for two separate payments, which are dependent on (1) achieving certain revenue-based performance milestones in 2023, 2024, and 2025 (up to $50.0 million in additional payments), as well as (2) the approval by the FDA of the pre-market approval ("PMA") application for DuraSorb for certain uses by certain timing targets (up to $40.0 million in additional payments). In the second quarter of 2024, the Company paid out $12.4 million related to the 2023 performance year. The Company used iterations of the Monte Carlo simulation to calculate the fair value of the contingent consideration for the revenue-based milestone that considered the possible outcomes of scenarios related to each specific milestone for the revenue based performance milestone. The Company used probabilities of achieving the conditions to calculate the fair value of the contingent consideration for the PMA approval milestone. The Company estimated the fair value of the contingent consideration for the revenue based milestone to be $32.6 million at the acquisition date and $25.0 million for the PMA approval milestone at the acquisition date.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the Company entered into a definitive agreement to acquire a manufacturing facility in Plainsboro, New Jersey for $10 million in cash at closing. The manufacturing facility is currently leased by the Company. The transaction is expected to close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our unaudited condensed consolidated financial statements and the related notes thereto appearing elsewhere in this Quarterly Report on Form 10-Q (this “Quarterly Report”) and our consolidated financial statements included in our Annual Report on Form 10-K for the year ended December 31, 2023.</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statements in this Quarterly Report that constitute forward-looking statements within the meaning of Section 27A of the Securities Act of 1933, as amended and Section 21E of the Securities Exchange Act of 1934 (the “Exchange Act”). All statements other than statements of historical fact contained in this Quarterly Report, including, but not limited to, statements regarding our business strategy and plans, growth and growth strategies, developments in the markets for our products and services, financial results, development launches and effectiveness, research and development strategy, regulatory approvals, competitive strengths, objectives of management for future operations and current expectations or forecasts of future results, our expectations regarding the Boston facility and plans to operationalize the Company's Braintree facility, transition the manufacture of SurgiMend® and PriMatrix® to the Braintree facility, and to obtain pre-market approval of SurgiMend® PRS in implant-based breast reconstruction; our expectations regarding CMP (as defined below) implementation and engagement; restructuring and cost-saving initiatives, intellectual property rights, litigation and tax matters, governmental proceedings and investigations, mergers and acquisitions, divestitures, market acceptance of our products and services, accounting estimates, financing activities, ongoing contractual obligations, working capital adequacy, value of our investments, our effective tax rate, our expected returns to shareholders, and sales efforts, are forward-looking statements. In some cases, these forward-looking statements may be identified by forward-looking words such as “believe,” “may,” “might,” “could,” “will,” “estimate,” “continue,” “anticipate,” “intend,” “seek,” “plan,” “expect,” “should,” “would” or the negative version of these words or other similar words and expressions in this Quarterly Report.</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about the Company and other matters that may cause our actual results, performance, or achievements to be materially different from any future results, performance, or achievements expressed or implied by the forward-looking statements. We believe these risks include but are not limited to those described under the headings “Risk Factors” and “Special Note Regarding Forward-Looking Statements” in our Annual Report on Form 10-K for the year ended December 31, 2023 and in this Quarterly Report, as such factors may be updated from time to time in our periodic filings with the Securities and Exchange Commission (the “SEC”), which are accessible on the SEC’s website at https://www.sec.gov. Such risks and uncertainties include, but are not limited, to the following: the ongoing and possible future effects of global challenges, including macroeconomic uncertainties, inflation, supply chain disruptions, trade regulation and tariffs, other economic disruptions and U.S. and global recession concerns, on the Company’s customers and on the Company’s business, financial condition, results of operations and cash flows; the Company's ability to execute its operating plan effectively; the Company’s ability to successfully integrate acquired businesses; the Company’s ability to achieve sales growth in a timely fashion; the Company’s ability to manufacture and ship sufficient quantities of its products to meet its customers’ demands; the ability of third-party suppliers to supply us with raw materials and finished products; global macroeconomic and political conditions, including the war in Ukraine and the conflict in Israel and Gaza; the Company’s ability to manage its direct sales channels effectively; the sales performance of third-party distributors on whom the Company relies to generate revenue for certain products and geographic regions; the Company’s ability to access and maintain relationships with customers of acquired entities and businesses; physicians’ willingness to adopt and third-party payors’ willingness to provide or maintain reimbursement for the Company’s recently launched, planned and existing products; initiatives launched by the Company's competitors; downward pricing pressures from customers; the Company's ability to secure regulatory approval for products in development; the Company’s ability to remediate quality systems violations; difficulties or delays in obtaining and maintaining required regulatory approvals related to the transition of the manufacturing to the Braintree facility and obtain pre-market approval of SurgiMend® PRS in implant-based breast reconstruction; the possibility that costs or difficulties related to building and the operationalization of the Braintree facility or the transition of manufacturing activities from the Company’s Boston facility to the Braintree facility will be greater than expected; fluctuations in hospitals’ spending for capital equipment; the Company’s ability to comply with regulations regarding products of human origin and products containing materials derived from animal source; difficulties in controlling expenses, including costs to procure and manufacture our products; the impact of changes in management or staff levels; the impact of goodwill and intangible asset impairment charges if future operating results of acquired businesses are significantly less than the results anticipated at the time of the acquisitions, the Company’s ability to leverage its existing selling organizations and administrative infrastructure; the Company’s ability to increase product sales and gross margins, and control non-product costs; the Company’s ability to achieve anticipated growth rates, margins and scale and execute its strategy generally; the amount and timing of divestiture, acquisition and integration-related costs; the geographic distribution of where the Company generates its taxable income; new U.S. and foreign government laws and regulations, and changes in existing laws, regulations and enforcement guidance, which affect areas of our operations including, but not limited to, those affecting the health care industry, including the EU Medical Devices Regulation; the scope, duration and effect of additional U.S. and international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governmental, regulatory, fiscal, monetary and public health responses to public health crises; fluctuations in foreign currency exchange rates; the amount of our bank borrowings outstanding and other factors influencing liquidity; potential negative impacts resulting from environmental, social and governance matters; and the potential impact of our compliance with governmental regulations and accounting guidance.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results of operations, financial condition, and/or cash flows. These forward-looking statements speak only as of the date of this Quarterly Report and we undertake no obligation to publicly update or revise any forward-looking statements, whether as a result of new information, future events or otherwise, except to the extent required by applicable law. You should carefully consider forward-looking statements and understand that such forward-looking statements are inherently subject to risks and uncertainties, some of which cannot be predicted or quantified, and involve a variety of risks and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leading global medical technology company innovating treatment pathways in surgical, neurologic and regenerative care to advance patient outcomes and set new standards of surgical, neurologic and regenerative care. Founded in 1989 with the acquisition of an engineered collagen technology platform used to repair and regenerate tissue, our common stock trades on the Nasdaq Global Select Market (“Nasdaq”) under the symbol “IART.” We have developed numerous product lines from this technology for applications ranging from burn and deep tissue wounds to the repair of dura mater in the brain, as well as nerves and tendons. We have expanded our base regenerative technology business to include surgical instruments, neurosurgical products and advanced wound care through global acquisitions and product development to meet the evolving needs of our customers and enhance patient care.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are sold in more than 120 countries through a direct sales force as well as distributors and wholesalers. We manufacture and sell medical technologies and products in two reportable business segments: Codman Specialty Surgical (“CSS”) and Tissue Technologies (“TT”). The CSS segment, which represents approximately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key manufacturing and research facilities located in California, Maryland, Massachusetts, New Jersey, Ohio, Puerto Rico, Tennessee, Utah, France, Germany, Ireland and Switzerland. We source most of our handheld surgical instruments and dural sealant products through specialized third-party vendors.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strategies are focused around five pillars. Of these five pillars, we have identified three core growth drivers: (1) innovating for outcomes, (2) growing internationally, and (3) broadening our impact on care pathways. Our execution of the core growth drivers is enabled by two key levers: (4) driving operational and customer excellence and (5) cultivating a high-performance culture. As outlined in greater detail below, we believe these five pillars will enable us to realize and advance our integrated growth strategy.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end, our executive leadership team has established the following key priorities aligned to the following five pillars: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Innovating for Outcomes. </w:t>
      </w:r>
      <w:r>
        <w:rPr>
          <w:rFonts w:ascii="Times New Roman" w:cs="Times New Roman" w:eastAsia="Times New Roman" w:hAnsi="Times New Roman"/>
          <w:sz w:val="18"/>
          <w:szCs w:val="18"/>
          <w:color w:val="auto"/>
        </w:rPr>
        <w:t>An important part of Integra’s growth strategy is introducing new products to strengthen and expand our portfolio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evidence to support regulatory approval and strong reimbursement of our product portfolio around the world, including new indications for existing technologies. For example, in 2021, we filed a pre-market approval (“PMA”) application for a specific indication for Surgimend® in the use of post-mastectomy breast reconstruction. We cannot predict an approval date because of the timeline of restarting manufacturing at the Braintree, Massachusetts facility (the "Braintree facility"), where Surgimend® will be manufactured. We are also pursuing a PMA for DuraSorb for use in implant-based breast reconstruction (“IBBR”). We completed enrollment for the DuraSorb U.S. investigational device exemption clinical study for two-stage breast reconstruction in June 2023 and are conducting the primary follow-up one year after device implantation. We hope to secure approval for DuraSorb in 2025.</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March 2024, we expanded our urinary bladder matrix platform with the U.S. launch of MicroMatrix® Flex, a dual-syringe system enabling the convenient mixing and precise delivery of MicroMatrix® paste to provide convenient access to hard-to-reach spaces and to help prepare an even wound surface in challenging wound areas.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continued to advance the development of pioneering neurosurgical technologies with the expansion of our product offerings. In 2023, we launched additional CUSA® Clarity tips for use in surgical procedures requiring the controlled fragmentation, emulsification and aspiration of bone as well as in laparoscopic liver surgery.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Growing Internationally: </w:t>
      </w:r>
      <w:r>
        <w:rPr>
          <w:rFonts w:ascii="Times New Roman" w:cs="Times New Roman" w:eastAsia="Times New Roman" w:hAnsi="Times New Roman"/>
          <w:sz w:val="18"/>
          <w:szCs w:val="18"/>
          <w:color w:val="auto"/>
        </w:rPr>
        <w:t>Over the years, we have been significantly expanding our global footprint through investments in our commercial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organizations, the expansion and development of international markets and new product introductions. As part of our In-China-For-China strategy, we continue the build out of our assembly capabilities in our new facility in Suzhou, China. Several new products were introduced in select international markets in 2023 and 2024, including MicroMatrix® and Certas Plus® Programmable Valve, which were launched in Europe, and CUSA Clarity laparoscopic tip, which was launched in Australia, New Zealand, Japan, Canada, South Africa and Israel. In addition, DuraGen® Secure, received approval in Japan, while DuraGen Plus, an absorbable and sutureless collagen onlay indicated as a dura substitute for the repair of dura mater, and Certas Plus were approved in China. We also continued to strengthen our presence in South Asia, Southeast Asia and South Korea with key leadership appointments.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Broadening Impact on Care Pathways. </w:t>
      </w:r>
      <w:r>
        <w:rPr>
          <w:rFonts w:ascii="Times New Roman" w:cs="Times New Roman" w:eastAsia="Times New Roman" w:hAnsi="Times New Roman"/>
          <w:sz w:val="18"/>
          <w:szCs w:val="18"/>
          <w:color w:val="auto"/>
        </w:rPr>
        <w:t>We seek ways to develop and acquire products and technologies that impact the lives of patients, starting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journey that a patient takes from diagnosis and treatment planning to surgery and postoperative care. We are well-established in acute care in the hospital setting and continue to leverage that strong position to grow in this segment and shape treatment pathways into preoperative care and additional sites of care. On April 1, 2024, the Company successfully completed the acquisition of Acclarent from Ethicon, Inc., a subsidiary of Johnson &amp; Johnson. Acclarent is an innovator and market leader in ear, nose and throat (“ENT”) procedures and the acquisition of Acclarent has positioned Integra as one of the leading providers of ENT products and technologies. Furthermore, we believe that, owing to the ENT business being an anatomical adjacency to neurosurgery, the acquisition will allow Integra to deliver future innovation both within the ENT business and across our other CSS technology platforms.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Driving Operations and Customer Excellence. </w:t>
      </w:r>
      <w:r>
        <w:rPr>
          <w:rFonts w:ascii="Times New Roman" w:cs="Times New Roman" w:eastAsia="Times New Roman" w:hAnsi="Times New Roman"/>
          <w:sz w:val="18"/>
          <w:szCs w:val="18"/>
          <w:color w:val="auto"/>
        </w:rPr>
        <w:t>We have been making investments to build more responsive and scalable processes, enhance the reliability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quality systems and supply chain, and drive productivity initiatives to further supply and lower costs. We continue to invest in technologies, systems and processes to enhance the customer experience. We also continue to invest in our capacity expansion. This includes ongoing projects of transferring our Boston manufacturing to a new location in Braintree, Massachusetts, validating manufacturing processes in our manufacturing facility in Plainsboro, New Jersey and increasing capacity in our Memphis, Tennessee location.</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Cultivating a High-Performance Culture. </w:t>
      </w:r>
      <w:r>
        <w:rPr>
          <w:rFonts w:ascii="Times New Roman" w:cs="Times New Roman" w:eastAsia="Times New Roman" w:hAnsi="Times New Roman"/>
          <w:sz w:val="18"/>
          <w:szCs w:val="18"/>
          <w:color w:val="auto"/>
        </w:rPr>
        <w:t>In seeking to sustain a culture of excellence and accountability, we have focused on employee empowerment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agility and building a diverse and inclusive workplace. These efforts resulted in our being named in several best workplace lists globally in 2023 and 2024. Additionally, we have been making further strides in advancing our environmental, social and governance (“ESG”) agenda to drive sustainability across the organization and recently published our third annual ESG report in the third quarter of 2024. For more information on our ESG strategy, goals, performance, and achievements, please visit “Our Company—ESG Report” at https://www.integralife.com/esg-report. Information on our website is not incorporated by reference herein and is not part of this Quarterly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Product Introductions and Research and Development Updates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invest in collecting clinical evidence to support our existing products and new product launches, and to ensure that we obtain market access for broader and more cost-effective solutions.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Neurosurgical Solutions and Surgical Instruments. </w:t>
      </w:r>
      <w:r>
        <w:rPr>
          <w:rFonts w:ascii="Times New Roman" w:cs="Times New Roman" w:eastAsia="Times New Roman" w:hAnsi="Times New Roman"/>
          <w:sz w:val="18"/>
          <w:szCs w:val="18"/>
          <w:color w:val="auto"/>
        </w:rPr>
        <w:t>The CSS business consists of a broad portfolio of market-leading brands, such as Codman®,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DuraGen®, DuraSeal®, CUSA®, Mayfield®, Bactiseal®, and Certas® Plus,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Because our electromechanical products and instruments address significant needs in surgical procedures and limit uncertainty for surgeons, we continue to invest in registrations, clearances, and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cerebrospinal fluid (“CSF”) management, neuro-critical care monitoring, minimally invasive instruments and electrosurgery and ultrasonic medical technologies, as well as our ambition to transform the standard of care in neurosurgery with product advancements in minimally invasive surgery (“MIS”) and the surgical management of intracerebral hemorrhage (“ICH”). Our lighting franchise is among the most dynamic in the industry.</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focused on the development of core clinical applications in our electromechanical technologies portfolio. We continue to update our CUSA® Clarity platform by incorporating new ultrasonic handpiece and integrated electrosurgical capabilities. We have made several enhancements to our CUSA® Clarity Tissue Ablation System. The extended laparoscopic tip was launched in the U.S. to enhance laparoscopic liver procedures. In addition, a single-sided bone tip received 510(k) clearance from the FDA. Commercial launch was completed successfully in early 2023. In August 2023, we launched a modified 23 kHz CUSA® Electrosurgery Module (“CEM”) for Clarity handpieces that can be used with additional electrosurgery generators. We continue to work with several instrument partners to bring new surgical instrument platforms to the market.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continued to advance the early-stage technology platforms we acquired in 2019. Through the acquisition of Arkis Biosciences, Inc. (“Arkis”) we added a platform technology, CerebroFlo® external ventricular drainage (“EVD”), a catheter with Endexo® technology, a permanent additive designed to reduce the potential for catheter obstruction due to thrombus formation. The CerebroFlo EVD catheter has demonstrated an average of 99% less thrombus accumulation onto its surface, in vitro, compared to a market leading EVD catheter. Our work to combine our Bactiseal® antimicrobial technology with the Endexo anti-occlusive technology continues to progress for both a silicone-based hydrocephalus and EVD project.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continued to advance our innovation from the Rebound Therapeutics Corporation (“Rebound Therapeutics”), which was acquired in 2019. Rebound Therapeutics specializes in a single-use medical device, known as the Aurora Surgiscope, which is the only tubular retractor system designed for cranial surgery with an integrated access channel, camera and lighting. The 9mm Surgiscope received 510(k) clearance from the FDA in the fourth quarter of 2023.</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Regenerative Technologies. </w:t>
      </w:r>
      <w:r>
        <w:rPr>
          <w:rFonts w:ascii="Times New Roman" w:cs="Times New Roman" w:eastAsia="Times New Roman" w:hAnsi="Times New Roman"/>
          <w:sz w:val="18"/>
          <w:szCs w:val="18"/>
          <w:color w:val="auto"/>
        </w:rPr>
        <w:t>We were the first company to receive an FDA claim for regeneration of dermal tissue and are a world leader in regenerative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Our regenerative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 are used for neurosurgical and reconstructive surgical applications, as well as dermal regeneration, including the healing of chronic and acute wounds, tendon and nerve repair. Our regenerative technology platform includes our legacy Integra® Dermal Regeneration Template (“IDRT”) products and complementary technologies that we have acquired. Our collagen manufacturing capability, combined with our history of innovation, including our launch of NeuraGen 3D, provides us with strong platform technologies for multiple indications.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third quarter of 2021, we filed a PMA application for a specific indication for Surgimend® in the use of post-mastectomy breast reconstruction and in July 2024 received approvable pending GMP status from FDA, which approved and closed out the clinical portion of this PMA application. In 2022, we acquired SIA, which has also submitted a PMA application for DuraSorb with IBBR, and in June 2023 we completed enrollment in the DuraSorb U.S. investigational device exemption clinical study for two-stage breast reconstruction; the primary follow-up period is one year after device implantation. By offering two distinct product solutions, we believe we have the opportunity to build a leading position in the IBBR market. We hope to secure approval for DuraSorb in 2025. For SurgiMend®, we cannot predict an approval date because of the timeline of restarting manufacturing at the Braintree facility.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2022, we launched NeuraGen 3D Nerve Guide Matrix, a resorbable implant for repair of peripheral nerve discontinuities and engineered to create an optimized environment for nerve regeneration. Following the completion of design control activities in 2022, we launched both Cytal and MicroMatrix in Europe in 2023. In 2023, the Company received 510(k) clearance from the FDA for MicroMatrix® Flex, which is now commercially available in the U.S. as of March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 Medical Device Regulation Updates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ongoing efforts to remain compliant, the Company continues to work towards European Union Medical Device Regulation (“EU MDR”) certifications. In 2023, the Company received EU MDR certification in the CSS segment for Hakim Programmable Valves, Certas Plus without Bactiseal catheters, and DuraSeal Dural, as well as IDRT and BioPatch for the TT segment. In 2024, the Company also received EU MDR certification for DuraGen Suturable for the CSS segment and MicroMatrix, as well as Cytal for the TT segment.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Matters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7, 2019, TEI Biosciences, Inc. (“TEI”), one of our wholly-owned subsidiaries, received a Warning Letter (the “2019 Warning Letter”), dated March 6, 2019, from the FDA. The 2019 Warning Letter related to quality systems issues at TEI’s manufacturing facility located in Boston, Massachusetts (the “Boston facility”). The Boston facility manufactures extracellular bovine matrix products in our TT segment that are sold both in wound reconstruction and care and in private label channels. The letter resulted from an inspection held at that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its corrective actions. On October 28, 2021, the FDA initiated an inspection of the facility and at the conclusion of the inspection, issued an FDA Form 483 on November 12, 2021 (the “2021 Form 483”). We provided an initial response to the inspection observations. On March 1, 2023, the FDA commenced an inspection of the Boston facility and issued an FDA Form 483 at the conclusion of this inspection (the “2023 Form 483”). In May 2023, after consultation with the FDA, The Company initiated a voluntary global recall of all products manufactured at the Boston facility, including PriMatrix®, SurgiMend®, Revize™, and TissueMend™, distributed between March 1, 2018 and May 22, 2023. On July 19, 2023, TEI received a Warning Letter, dated July 17, 2023, from the FDA related to quality system issues at the Boston facility (the “2023 Warning Letter”). The 2023 Warning Letter did not identify any new observations that had not already been provided in the 2023 Form 483. The Company has submitted periodic responses to the FDA for both the 2023 Form 483 and the 2023 Warning Letter. We are committed to resolving the matters identified in the Warning Letters and Form 483s and are continuing our significant efforts to remediate the observations.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Warning Letters do not restrict the Company’s ability to seek FDA 510(k) clearance of products, PMAs for Class III devices to which the quality system regulation violations are reasonably related will not be approved until the violations have been addressed. We cannot give any assurances that the FDA will be satisfied with our response to the issues identified by the FDA or as to the expected date of the resolution of such issues. Until the issues cited by the FDA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required by the 2023 Warning Letter, we retained an outside expert consultant to perform an audit of the Boston facility in March 2024. Since receiving the third-party audit findings for the Boston facility in March, the Company has reassessed its plans and timeline to resume the manufacture of PriMatrix® and SurgiMend®. In parallel, the Company has been furthering its plans to complete the construction and operationalization of its new tissue manufacturing facility in Braintree, Massachusetts. The Company announced in the second quarter of 2024 that it no longer plans to restart the manufacture of PriMatrix® and SurgiMend® at its Boston facility and will, instead, restart manufacturing of these products at the Braintree facility. The Company expects to operationalize the Braintree facility in the first half of 2026. As a result of these decisions, in the second quarter of 2024, the Company recorded a $4.6 million impairment charge, comprised of a $1.7 million impairment of an operating lease right-of-use asset and a $2.9 million write-off of fixed assets, which was recorded as a component of cost of goods sold in the condensed consolidated statements of operations. For further detail on the impairment, see </w:t>
      </w:r>
      <w:r>
        <w:rPr>
          <w:rFonts w:ascii="Times New Roman" w:cs="Times New Roman" w:eastAsia="Times New Roman" w:hAnsi="Times New Roman"/>
          <w:sz w:val="18"/>
          <w:szCs w:val="18"/>
          <w:i w:val="1"/>
          <w:iCs w:val="1"/>
          <w:color w:val="auto"/>
        </w:rPr>
        <w:t>Note 10. Leases and Related Party Leases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 elected to perform impairment testing on certain definite-lived intangibles and goodwill in the first quarter of 2024, which resulted in an intangible impairment of $7.1 million. For further detail on the impairment testing, see </w:t>
      </w:r>
      <w:r>
        <w:rPr>
          <w:rFonts w:ascii="Times New Roman" w:cs="Times New Roman" w:eastAsia="Times New Roman" w:hAnsi="Times New Roman"/>
          <w:sz w:val="18"/>
          <w:szCs w:val="18"/>
          <w:i w:val="1"/>
          <w:iCs w:val="1"/>
          <w:color w:val="auto"/>
        </w:rPr>
        <w:t>Note 5. Goodwill and Other Intangible Assets</w:t>
      </w:r>
      <w:r>
        <w:rPr>
          <w:rFonts w:ascii="Times New Roman" w:cs="Times New Roman" w:eastAsia="Times New Roman" w:hAnsi="Times New Roman"/>
          <w:sz w:val="18"/>
          <w:szCs w:val="18"/>
          <w:color w:val="auto"/>
        </w:rPr>
        <w:t>.</w:t>
      </w:r>
    </w:p>
    <w:p>
      <w:pPr>
        <w:spacing w:after="0" w:line="40" w:lineRule="exact"/>
        <w:rPr>
          <w:sz w:val="20"/>
          <w:szCs w:val="20"/>
          <w:color w:val="auto"/>
        </w:rPr>
      </w:pPr>
    </w:p>
    <w:p>
      <w:pPr>
        <w:ind w:right="500"/>
        <w:spacing w:after="0" w:line="375" w:lineRule="auto"/>
        <w:rPr>
          <w:sz w:val="20"/>
          <w:szCs w:val="20"/>
          <w:color w:val="auto"/>
        </w:rPr>
      </w:pPr>
      <w:r>
        <w:rPr>
          <w:rFonts w:ascii="Times New Roman" w:cs="Times New Roman" w:eastAsia="Times New Roman" w:hAnsi="Times New Roman"/>
          <w:sz w:val="18"/>
          <w:szCs w:val="18"/>
          <w:color w:val="auto"/>
        </w:rPr>
        <w:t xml:space="preserve">Revenues of products manufactured in the Boston facility for the year ended December 31, 2022 were approximately 5.3% of consolidated revenues. </w:t>
      </w:r>
      <w:r>
        <w:rPr>
          <w:rFonts w:ascii="Times New Roman" w:cs="Times New Roman" w:eastAsia="Times New Roman" w:hAnsi="Times New Roman"/>
          <w:sz w:val="18"/>
          <w:szCs w:val="18"/>
          <w:b w:val="1"/>
          <w:bCs w:val="1"/>
          <w:color w:val="auto"/>
        </w:rPr>
        <w:t>Optimization and Integration Activities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ongoing acquisition strategy and significant growth in recent years, we have undertaken cost-saving initiatives to consolidate manufacturing operations, distribution facilities and transfer activities,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both audits by regulatory agencies as well as our own reviews of the company’s quality management system, we are in the process of implementing a Compliance Master Plan (the “CMP”), a systematic and holistic approach to improving our quality management system across our manufacturing and supply network. The primary objectives of the CMP are to remediate quality system gaps, harmonize the quality management system across the company, and enhance the quality culture at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loss for the three and nine months ended September 30, 2024 was $(10.7) million and $(26.4) million, or $(0.14) and $(0.34) per diluted share, as compared to net income of $19.5 million and $47.9 million or $0.24 and $0.59 per diluted share for the three and nine months ended September 30, 2023. The decrease in net income for the three and nine months ended September 30, 2024, was driven by impacts from quality and operational issues, along with costs related to the Acclarent acquisition.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Charges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 includes the following special charges</w:t>
      </w:r>
      <w:r>
        <w:rPr>
          <w:rFonts w:ascii="Times New Roman" w:cs="Times New Roman" w:eastAsia="Times New Roman" w:hAnsi="Times New Roman"/>
          <w:sz w:val="18"/>
          <w:szCs w:val="18"/>
          <w:b w:val="1"/>
          <w:bCs w:val="1"/>
          <w:color w:val="auto"/>
        </w:rPr>
        <w: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divestiture and integration-related charges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31,361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18,056</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Structural optimization charges</w:t>
            </w:r>
          </w:p>
        </w:tc>
        <w:tc>
          <w:tcPr>
            <w:tcW w:w="2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15,112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9,868</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 medical device regulation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35,109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34,172</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Boston recall / Braintree transition</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9,933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33,676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38,841</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34,060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115,258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100,937</w:t>
            </w:r>
          </w:p>
        </w:tc>
        <w:tc>
          <w:tcPr>
            <w:tcW w:w="0" w:type="dxa"/>
            <w:vAlign w:val="bottom"/>
          </w:tcPr>
          <w:p>
            <w:pPr>
              <w:spacing w:after="0"/>
              <w:rPr>
                <w:sz w:val="1"/>
                <w:szCs w:val="1"/>
                <w:color w:val="auto"/>
              </w:rPr>
            </w:pPr>
          </w:p>
        </w:tc>
      </w:tr>
    </w:tbl>
    <w:p>
      <w:pPr>
        <w:ind w:left="280" w:hanging="146"/>
        <w:spacing w:after="0" w:line="216" w:lineRule="auto"/>
        <w:tabs>
          <w:tab w:leader="none" w:pos="28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This primarily includes idle capacity charges, inventory write offs, site transfer costs, quality remediation costs, right of use and fixed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-109220</wp:posOffset>
            </wp:positionV>
            <wp:extent cx="37973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reported above are reflected in the condensed consolidated statements of operations as follows:</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50,437</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32"/>
        </w:trPr>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34,060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30,851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115,258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100,937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and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the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and gross margin on product revenues were as follows: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31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Net Sales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Codman Specialty Surgical</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270,782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268,205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828,977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787,371</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Tissue Technologies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110,052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114,216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338,904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357,163</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380,834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382,421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1,167,881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1,144,534</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180,596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164,076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534,892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486,292</w:t>
            </w:r>
          </w:p>
        </w:tc>
        <w:tc>
          <w:tcPr>
            <w:tcW w:w="0" w:type="dxa"/>
            <w:vAlign w:val="bottom"/>
          </w:tcPr>
          <w:p>
            <w:pPr>
              <w:spacing w:after="0"/>
              <w:rPr>
                <w:sz w:val="1"/>
                <w:szCs w:val="1"/>
                <w:color w:val="auto"/>
              </w:rPr>
            </w:pPr>
          </w:p>
        </w:tc>
      </w:tr>
      <w:tr>
        <w:trPr>
          <w:trHeight w:val="234"/>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margin on total revenues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200,238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218,345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632,989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658,242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margin as a percentage of total revenues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57.1 %</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560"/>
        <w:spacing w:after="0" w:line="377" w:lineRule="auto"/>
        <w:rPr>
          <w:sz w:val="20"/>
          <w:szCs w:val="20"/>
          <w:color w:val="auto"/>
        </w:rPr>
      </w:pPr>
      <w:r>
        <w:rPr>
          <w:rFonts w:ascii="Times New Roman" w:cs="Times New Roman" w:eastAsia="Times New Roman" w:hAnsi="Times New Roman"/>
          <w:sz w:val="18"/>
          <w:szCs w:val="18"/>
          <w:b w:val="1"/>
          <w:bCs w:val="1"/>
          <w:color w:val="auto"/>
        </w:rPr>
        <w:t>Three Months Ended September 30, 2024 as Compared to Three Months Ended September 30, 2023 Revenues and Gross Margin</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total revenues decreased by $1.6 million to $380.8 million from $382.4 million for the same period in 2023. Excluding the impacts of the Acclarent acquisition, the Boston recall and foreign currency impact, revenues declined low double digits compared to the same period in the previous year, driven by impacts from quality and operational issues.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CSS segment, revenues were $270.8 million which was an increase of $2.6 million, or 1.0% as compared to the prior-year period, inclusive of $31.0 million related to the Acclarent acquisition. Excluding the impact of the Acclarent acquisition, the Neurosurgery portfolio declined low double digits, primarily driven by lower sales due to temporary shipping holds in CSF Management and Dural Access &amp; Repair.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TT segment, revenues were $110.1 million which was an decrease of $4.2 million, or 3.6% from the prior-year period. Excluding the impact of the Boston recall, the TT segment decreased high single-digits as compared to the same period in the prior year. This is primarily attributable to a decline in Integra Skin due to production challenges, partially offset by growth in our private label business, MicroMatrix® &amp; Cytal, and Durasorb.</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was $200.2 million for the three months ended September 30, 2024, a decrease of $18.1 million from $218.3 million for the same period in 2023. Gross margin as a percentage of revenues was 52.6% for the three months ended September 30, 2024 and 57.1% for the same period in 2023. For the three months ended September 30, 2024, gross margins were impacted by expenses associated with quality and operational issues. For the three months ended September 30, 2023, gross margins were impacted by expenses associated with the Boston recall.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pacing w:after="0" w:line="25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1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42.3 %</w:t>
            </w: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7"/>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1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50.1 %</w:t>
            </w:r>
          </w:p>
        </w:tc>
      </w:tr>
      <w:tr>
        <w:trPr>
          <w:trHeight w:val="23"/>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which consist of research and development, selling, general and administrative, and amortization expenses, increased by $16.6 million, or 8.7%, to $208.4 million in the three months ended September 30, 2024, compared to $191.8 million in the same period in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2024 increased by $0.8 million as compared to the same period in the prior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for the three months ended September 30, 2024 increased by $15.2 million as compared to the same period in the prior year due to higher spending in commercial selling activities for both legacy and Acclarent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(excluding amounts reported in cost of product revenues for technology-based intangible assets) for the three months ended September 30, 2024 was $3.8 million compared to $3.2 million for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80" w:type="dxa"/>
            <w:vAlign w:val="bottom"/>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07"/>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non-operating income and expense</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(7,984)</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for the three months ended September 30, 2024 increased by $0.4 million as compared to the same period in the prior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2024 increased by $6.3 million as compared to the same period in the prior year primarily due to incremental borrowing to fund the Acclarent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September 30, 2024 increased by $1.6 million compared to the same period in the prior year, primarily driven by favorable foreign exchange impact.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4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(20,362)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18,609</w:t>
            </w: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460" w:type="dxa"/>
            <w:vAlign w:val="bottom"/>
          </w:tcPr>
          <w:p>
            <w:pPr>
              <w:spacing w:after="0"/>
              <w:rPr>
                <w:sz w:val="18"/>
                <w:szCs w:val="18"/>
                <w:color w:val="auto"/>
              </w:rPr>
            </w:pPr>
          </w:p>
        </w:tc>
        <w:tc>
          <w:tcPr>
            <w:tcW w:w="1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(9,667)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(888)</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September 30, 2024 and 2023 were 47.5% and (4.8)%, respectively. For the three months ended September 30, 2024, the higher tax rate is primarily due to the limitation of foreign tax credits in the U.S. and the limitation of federal tax credits in Switzerland, caused by lower three month book income, as compared to the previous year. For the three months ended September 30, 2023,the primary drivers of the lower tax rate relate to a reduction to book income in higher-taxed jurisdictions and a $3.3 million benefit related to the filing of prior year tax returns.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changes to income tax laws and regulations, in any of the tax jurisdictions in which the Company operates, could impact the effective tax rate. Various governments, both U.S. and non-U.S., are increasingly focused on tax reform and revenue-raising legislation. The current U.S. administration has proposed tax reform which, if enacted, may increase the Company’s U.S. federal income tax liability. Further, legislation in foreign jurisdictions may be enacted, in response to the base erosion and profit-shifting project begun by the Organization for Economic Cooperation and Development (“OECD”). Such changes in the U.S. and non-U.S. jurisdictions could have an adverse effect on the Company's effective tax rate.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OECD released model rules related to a new 15% global minimum tax regime (“Pillar 2”). Several of the jurisdictions in which we operate have already adopted some form of the model rules, which could impact the amount of taxes that the Company pays during 2024 and future taxable periods. The rules are complex and provide for delays for implementing the tax during the early transition years, if certain conditions are met. At this time, the Company is projecting an immaterial expense related to Pillar 2 tax liability for the 2024 year. The Company will continue to analyze the new Pillar 2 laws and any related guidance to determine potential impacts. Such changes in U.S. and non-U.S. jurisdictions could have an adverse effect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that we expect to pay in the coming year, which would be classified as current income taxes payable.</w:t>
      </w:r>
    </w:p>
    <w:p>
      <w:pPr>
        <w:spacing w:after="0" w:line="179" w:lineRule="exact"/>
        <w:rPr>
          <w:sz w:val="20"/>
          <w:szCs w:val="20"/>
          <w:color w:val="auto"/>
        </w:rPr>
      </w:pPr>
    </w:p>
    <w:p>
      <w:pPr>
        <w:ind w:right="3740"/>
        <w:spacing w:after="0" w:line="378" w:lineRule="auto"/>
        <w:rPr>
          <w:sz w:val="20"/>
          <w:szCs w:val="20"/>
          <w:color w:val="auto"/>
        </w:rPr>
      </w:pPr>
      <w:r>
        <w:rPr>
          <w:rFonts w:ascii="Times New Roman" w:cs="Times New Roman" w:eastAsia="Times New Roman" w:hAnsi="Times New Roman"/>
          <w:sz w:val="18"/>
          <w:szCs w:val="18"/>
          <w:b w:val="1"/>
          <w:bCs w:val="1"/>
          <w:color w:val="auto"/>
        </w:rPr>
        <w:t>Nine Months Ended September 30, 2024 as Compared to Nine Months Ended September 30, 2023 Revenues and Gross Margin</w:t>
      </w: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total revenues increased by $23.3 million to $1,167.9 million from $1,144.5 million for the same period in 2023. Excluding the impacts of the Acclarent acquisition, the Boston recall and foreign currency impact, revenues declined low single digits compared to the same period in the prior year, primarily driven by impacts from quality and operational issues.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CSS segment, revenues were $829.0 million, an increase of $41.6 million, or 5.3% from the prior period, inclusive of $62.3 million related to the Acclarent acquisition, and $5.2 million unfavorable foreign currency impact on revenue. Excluding these impacts, the Neurosurgery portfolio revenues declined low single digits, primarily driven by lower sales due to temporary shipping holds in CSF Management and Dural Access &amp; Repair.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TT segment, revenues were $338.9 million, a decrease of $18.3 million, or 5.1% from the prior-year period. Excluding the impact of the Boston recall, the TT segment decreased mid single digits as compared to the same period in the prior year. This is primarily attributable to a decline in Integra Skin due to production challenges, partially offset by growth in our private label business, MicroMatrix® &amp; Cytal, and Durasorb.</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was $633.0 million for the nine months ended September 30, 2024, a decrease of $25.3 million from $658.2 million for the same period in 2023. Gross margin as a percentage of total revenue decreased to 54.2% for the nine months ended September 30, 2024 from 57.5% in the same period in</w:t>
      </w:r>
    </w:p>
    <w:p>
      <w:pPr>
        <w:jc w:val="both"/>
        <w:spacing w:after="0" w:line="255" w:lineRule="auto"/>
        <w:rPr>
          <w:sz w:val="20"/>
          <w:szCs w:val="20"/>
          <w:color w:val="auto"/>
        </w:rPr>
      </w:pPr>
      <w:r>
        <w:rPr>
          <w:rFonts w:ascii="Times New Roman" w:cs="Times New Roman" w:eastAsia="Times New Roman" w:hAnsi="Times New Roman"/>
          <w:sz w:val="18"/>
          <w:szCs w:val="18"/>
          <w:color w:val="auto"/>
        </w:rPr>
        <w:t>2023. For the nine months ended September 30, 2024, gross margins were impacted by impairment charges associated with the Boston recall, Acclarent inventory step up, and expenses associated with quality and operational issues. For the nine months ended September 30, 2023 gross margins were impacted by expenses associated with the Boston recall.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pacing w:after="0" w:line="25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1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43.1 %</w:t>
            </w: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7"/>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54.8 %</w:t>
            </w:r>
          </w:p>
        </w:tc>
        <w:tc>
          <w:tcPr>
            <w:tcW w:w="1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50.9 %</w:t>
            </w:r>
          </w:p>
        </w:tc>
      </w:tr>
      <w:tr>
        <w:trPr>
          <w:trHeight w:val="23"/>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which consist of selling, general and administrative expenses, research and development expenses, and amortization expenses, increased by $57.4 million, or 9.8% to $640.2 million in the nine months ended September 30, 2024, compared to $582.8 million in the same period in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2024 increased by $4.3 million as compared to the same period in the prior year primarily due to the Acclarent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increased by $45.0 million as compared to the same period in the prior year driven primarily by Acclarent acquisition costs and related commercial activities, as well as higher spending in commercial selling activities for legacy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(excluding amounts reported in cost of product revenues for technology-based intangible assets) for the nine months ended September 30, 2024 was $17.6 million compared to $9.3 million for the same period in the prior year. The increase is driven by the impairment of customer relationship intangible related to our Boston facility of $7.1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total annual amortization expense to be approximately $25.6 million for the remainder of 2024, $102.4 million in 2025, $102.2 million in 2026, $101.2 million in 2027, $97.6 million in 2028, $92.4 million in 2029 and $511.8 million thereafter.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60" w:type="dxa"/>
            <w:vAlign w:val="bottom"/>
          </w:tcPr>
          <w:p>
            <w:pPr>
              <w:spacing w:after="0"/>
              <w:rPr>
                <w:sz w:val="18"/>
                <w:szCs w:val="18"/>
                <w:color w:val="auto"/>
              </w:rPr>
            </w:pPr>
          </w:p>
        </w:tc>
        <w:tc>
          <w:tcPr>
            <w:tcW w:w="142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12,653</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(37,626)</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r>
      <w:tr>
        <w:trPr>
          <w:trHeight w:val="207"/>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non-operating income and expense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(23,268)</w:t>
            </w:r>
          </w:p>
        </w:tc>
      </w:tr>
      <w:tr>
        <w:trPr>
          <w:trHeight w:val="23"/>
        </w:trPr>
        <w:tc>
          <w:tcPr>
            <w:tcW w:w="7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for the nine months ended September 30, 2024 increased by $2.5 million as compared to the same period in the prior year due to higher interest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2024 increased by $14.0 million as compared to the same period in the prior year mainly due to incremental borrowing for the Acclarent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for the nine months ended September 30, 2024, increased by $1.2 million as compared to the same period in the prior year, primarily driven by favorable foreign exchange impact.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40" w:type="dxa"/>
            <w:vAlign w:val="bottom"/>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(40,778)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52,211</w:t>
            </w: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460" w:type="dxa"/>
            <w:vAlign w:val="bottom"/>
          </w:tcPr>
          <w:p>
            <w:pPr>
              <w:spacing w:after="0"/>
              <w:rPr>
                <w:sz w:val="18"/>
                <w:szCs w:val="18"/>
                <w:color w:val="auto"/>
              </w:rPr>
            </w:pPr>
          </w:p>
        </w:tc>
        <w:tc>
          <w:tcPr>
            <w:tcW w:w="1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(14,399)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4,304</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effective income tax rates for the nine months ended September 30, 2024 and 2023 were 35.3% and 8.2%, respectively. For the nine months ended September 30, 2024, the higher tax rate is primarily due to the limitation of foreign tax credits in the U.S. and the limitation of federal tax credits in Switzerland, caused by lower book income and a $1.9 million shortfall from stock-based compensation, as compared to the prior year. For the nine months ended September 30, 2023, the primary drivers of the lower tax rate relate to a reduction to book income in higher-taxed jurisdictions and a $3.8 million benefit related to the filing of prior year tax returns.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PRODUCT REVENUES AND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revenues to geographic areas based on the location of the customer. Total revenue by major geographic area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269,838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856,646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817,622</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41,524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120,040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48,777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146,956</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22,282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62,034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59,916</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380,834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382,421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1,167,881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1,144,534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Domestic revenues increased by $20.4 million for the three months ended September 30, 2024 compared to the same period in the prior year. European sales decreased by $7.2 million for the three months ended September 30, 2024 compared to the same period in the prior year. Sales to customers in Asia Pacific decreased by $11.7 million for the three months ended September 30, 2024. Sales to customers in the the Rest of World for the three months ended September 30, 2024 decreased by $3.1 million compared to the same period in the prior year. The increase in domestic revenues for the three months ended September 30, 2024 is primarily the result of the Acclarent acquisition, offset by a decline in sales of Integra Skin, Dural Access &amp; Repair, and CSF Management. The decrease in international revenues for the three months ended September 30, 2024 was also the result of a decline in sales of Integra Skin, Dural Access &amp; Repair, and CSF Management.</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Domestic revenues increased by $39.0 million for the nine months ended September 30, 2024 compared to the same period in the prior year. European sales decreased by $3.4 million for the nine months ended September 30, 2024 compared to the same period in the prior year. Sales to customers in Asia Pacific decreased by $14.4 million for the nine months ended September 30, 2024. Sales to customers in the Rest of World for the nine months ended September 30, 2024 increased by $2.1 million compared to the same period in the prior year. The increase in domestic revenues for the nine months ended September 30, 2024 is primarily the result of the Acclarent acquisition, offset by a decline in sales of Integra Skin, Dural Access &amp; Repair, and CSF Management. The decrease in international revenues for the nine months ended September 30, 2024 was also the result of a decline in sales of Integra Skin, Dural Access &amp; Repair, and CSF Management. The international revenues were impacted by $5.2 million of unfavorable foreign exchange impact.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Working capital consists of total current assets less total current liabilities as presented in the consolidated balance sheets. The Company’s working capital as of September 30, 2024 and December 31, 2023 was $187.0 million and $751.1 million, respectively. The decrease in working capital as compared to the prior year is primarily driven by $572.4 million of convertible notes, which became current during the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cash and cash equivalents totaling approximately $215.2 million and $276.4 million at September 30, 2024 and December 31, 2023 respectively, which are valued based on Level 1 measurements in the fair value hierarchy. Level 1 inputs represent quoted prices in active markets for identical assets or liabilities. At September 30, 2024, our non-U.S. subsidiaries held approximately $183.5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Investments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short term investments, primarily consisting of time deposits, which are valued based on Level 1 measurements in the fair value hierarchy, totaling approximately $62.4 million at September 30, 2024 compared to $32.7 million at December 31,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4"/>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81,205</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(36,949)</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(223,035)</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fluctuations on cash</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cash flows for the nine months ended September 30, 2024 decreased by $2.6 million compared to the same period in 2023. Within operating cash flows, net income less non-cash adjustments decreased for the nine months ended September 30, 2024 by approximately $75.2 million as compared to the same period in 2023 primarily driven by costs related to the Acclarent acquisition, as well as costs associated with quality and operational issues.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assets and liabilities for the nine months ended September 30, 2024, net of business acquisitions, decreased cash flows by $19.0 million, mainly attributable to increases in prepaid and other current assets, and inventory, offset by decreases in accounts receivable.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assets and liabilities for the nine months ended September 30, 2023, net of business acquisitions, decreased cash flows by $91.7 million, mainly attributable to increases in inventory, other current assets, and decreases in accrued expenses and other current liabilities due to reduced payments processed during the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of cash from investing activities for the nine months ended September 30, 2024 were $74.8 million paid for capital expenditures to support the investment in the new Braintree facility, as well as improvement initiatives at a number of our manufacturing facilities, and other technology investments, $282.0 million related to the Acclarent acquisition, and $49.0 million related to short term investments.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of cash from investing activities for the nine months ended September 30, 2024 were $19.3 million for short term investments converted to cash.</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Uses of cash from investing activities for the nine months ended September 30, 2023 related to $42.3 million paid for capital expenditures to support operations improvement initiatives at a number of our manufacturing facilities and other information technology investments.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Sources of cash from investing activities for the nine months ended September 30, 2023 were $5.4 million in proceeds from settlement of our net investment hedges.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or Used in 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of cash from financing activities in the nine months ended September 30, 2024 related to the repayments of $147.2 million under our Senior Credit Facility and Securitization Facility, $50.0 million related to the repurchase of treasury stock of under the share repurchase agreements, and $11.9 million related to payment of a contingent consideration. In addition, the Company had $3.4 million in cash taxes paid for net equity settlements.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Sources of cash from financing activities for the nine months ended September 30, 2024 were $451.1 million proceeds from borrowings of long-term indebtedness and $6.4 million proceeds from the exercise of stock options.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of cash from financing activities in the nine months ended September 30, 2023 related to the repurchase of treasury stock of $275.0 million under the share repurchase agreements, repayments of $85.9 million under our Senior Credit Facility and Securitization Facility. In addition, there was $7.6 million attributable to debt issuance costs, as well as $5.5 million in cash taxes paid for net equity settlements.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Sources of cash from financing activities for the nine months ended September 30, 2023 were $146.9 million borrowing under our Senior Credit Facility and Securitization Facility and $4.1 million proceeds from the exercise of stock options.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Convertible Senior Notes, Securitization and Related Hedging Activities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to the Notes to Unaudited Condensed Consolidated Financial Statements (Part I, Item 1 of this Quarterly Report) for a discussion of our Credit Agreement, the 2025 Notes and Securitization Facility and </w:t>
      </w:r>
      <w:r>
        <w:rPr>
          <w:rFonts w:ascii="Times New Roman" w:cs="Times New Roman" w:eastAsia="Times New Roman" w:hAnsi="Times New Roman"/>
          <w:sz w:val="18"/>
          <w:szCs w:val="18"/>
          <w:i w:val="1"/>
          <w:iCs w:val="1"/>
          <w:color w:val="auto"/>
        </w:rPr>
        <w:t>Note 7. Derivative Instruments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to the Notes to Unaudited Condensed Consolidated Financial Statements (Part I, Item 1 of this Quarterly Report) for discussion of our hedging activities.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is subject to various financial and negative covenants and, at September 30, 2024, the Company was in compliance with all such covenants. Our Consolidated Total Leverage Ratio was 3.99, with the covenant requirement at 4.5 at the end of September 30, 2024. Based on our current forecast for the next twelve months we expect to remain in compliance with the financial and negative covenants.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 Treasury Stock</w:t>
      </w:r>
      <w:r>
        <w:rPr>
          <w:rFonts w:ascii="Times New Roman" w:cs="Times New Roman" w:eastAsia="Times New Roman" w:hAnsi="Times New Roman"/>
          <w:sz w:val="18"/>
          <w:szCs w:val="18"/>
          <w:color w:val="auto"/>
        </w:rPr>
        <w:t>, to the Notes to Unaudited Condensed Consolidated Financial Statements (Part I, Item 1 of this Quarterly Report) for further details of our share repurchase programs.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the Board of Directors and will depend upon our financial condition, results of operations, cash flows and other factors deemed relevant by the Board of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and available borrowings under the Senior Credit Facility are sufficient to finance our operations and capital expenditures for the next 12 months and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financing arrangements during the nine months ended September 30, 2024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spacing w:after="0" w:line="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Our primary obligations include principal and interest payments on the revolving credit facility and term loan component of the Senior Credit Facility, Securitization Facility and 2025 Notes. See </w:t>
      </w:r>
      <w:r>
        <w:rPr>
          <w:rFonts w:ascii="Times New Roman" w:cs="Times New Roman" w:eastAsia="Times New Roman" w:hAnsi="Times New Roman"/>
          <w:sz w:val="17"/>
          <w:szCs w:val="17"/>
          <w:i w:val="1"/>
          <w:iCs w:val="1"/>
          <w:color w:val="auto"/>
        </w:rPr>
        <w:t>Note 6. Debt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7"/>
          <w:szCs w:val="17"/>
          <w:color w:val="auto"/>
        </w:rPr>
        <w:t xml:space="preserve"> to the Notes to Unaudited Condensed Consolidated Financial Statements (Part I, Item 1 of this Quarterly Report) for details. We also lease some of our manufacturing facilities and office buildings which have future minimum lease payments. See </w:t>
      </w:r>
      <w:r>
        <w:rPr>
          <w:rFonts w:ascii="Times New Roman" w:cs="Times New Roman" w:eastAsia="Times New Roman" w:hAnsi="Times New Roman"/>
          <w:sz w:val="17"/>
          <w:szCs w:val="17"/>
          <w:i w:val="1"/>
          <w:iCs w:val="1"/>
          <w:color w:val="auto"/>
        </w:rPr>
        <w:t>Note</w:t>
      </w:r>
    </w:p>
    <w:p>
      <w:pPr>
        <w:spacing w:after="0" w:line="2" w:lineRule="exact"/>
        <w:rPr>
          <w:sz w:val="20"/>
          <w:szCs w:val="20"/>
          <w:color w:val="auto"/>
        </w:rPr>
      </w:pPr>
    </w:p>
    <w:p>
      <w:pPr>
        <w:jc w:val="both"/>
        <w:ind w:right="20" w:firstLine="8"/>
        <w:spacing w:after="0" w:line="255" w:lineRule="auto"/>
        <w:tabs>
          <w:tab w:leader="none" w:pos="273"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Leases and Related Party Leases</w:t>
      </w:r>
      <w:r>
        <w:rPr>
          <w:rFonts w:ascii="Times New Roman" w:cs="Times New Roman" w:eastAsia="Times New Roman" w:hAnsi="Times New Roman"/>
          <w:sz w:val="18"/>
          <w:szCs w:val="18"/>
          <w:color w:val="auto"/>
        </w:rPr>
        <w:t>, to the Notes to Unaudited Condensed Consolidated Financial Statements (Part I, Item 1 of this Quarterly Report)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schedule of our future minimum lease payments. Amounts related to our other obligations, including employment agreements and purchase obligations were not material.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contingent consideration obligations related to prior and current year acquisitions and future pension contribution obligations. See </w:t>
      </w:r>
      <w:r>
        <w:rPr>
          <w:rFonts w:ascii="Times New Roman" w:cs="Times New Roman" w:eastAsia="Times New Roman" w:hAnsi="Times New Roman"/>
          <w:sz w:val="18"/>
          <w:szCs w:val="18"/>
          <w:i w:val="1"/>
          <w:iCs w:val="1"/>
          <w:color w:val="auto"/>
        </w:rPr>
        <w:t>Note</w:t>
      </w:r>
    </w:p>
    <w:p>
      <w:pPr>
        <w:spacing w:after="0" w:line="29" w:lineRule="exact"/>
        <w:rPr>
          <w:sz w:val="20"/>
          <w:szCs w:val="20"/>
          <w:color w:val="auto"/>
        </w:rPr>
      </w:pPr>
    </w:p>
    <w:p>
      <w:pPr>
        <w:jc w:val="both"/>
        <w:ind w:firstLine="8"/>
        <w:spacing w:after="0" w:line="255" w:lineRule="auto"/>
        <w:tabs>
          <w:tab w:leader="none" w:pos="1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Retirement Plans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Note 16. Commitments and Contingencies</w:t>
      </w:r>
      <w:r>
        <w:rPr>
          <w:rFonts w:ascii="Times New Roman" w:cs="Times New Roman" w:eastAsia="Times New Roman" w:hAnsi="Times New Roman"/>
          <w:sz w:val="18"/>
          <w:szCs w:val="18"/>
          <w:color w:val="auto"/>
        </w:rPr>
        <w:t>, to the Notes to Unaudited Condensed Consolidated Financial Statements (Part I, Item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Quarterly Report) for details. The associated obligations are not fixed. We also have a liability for uncertain tax benefits including interest and penalties. We cannot make a reliable estimate of the period in which the uncertain tax benefits may be realized.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based the discussion and analysis of our financial condition and results of operations upon our consolidated financial statements, which have been prepared in conformity with GAAP. The preparation of these financial statements requires us to make estimates and assumptions that affect the reported amount of assets and liabilities, the disclosure of contingent liabilities, and the reported amounts of revenues and expenses. The critical accounting estimates discussed in our Annual Report on Form 10-K for the fiscal year ended December 31, 2023 did not materially change in the nine months ended September 30,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 xml:space="preserve">Information regarding new accounting pronouncements is included in </w:t>
      </w:r>
      <w:r>
        <w:rPr>
          <w:rFonts w:ascii="Times New Roman" w:cs="Times New Roman" w:eastAsia="Times New Roman" w:hAnsi="Times New Roman"/>
          <w:sz w:val="18"/>
          <w:szCs w:val="18"/>
          <w:i w:val="1"/>
          <w:iCs w:val="1"/>
          <w:color w:val="auto"/>
        </w:rPr>
        <w:t>Note 1. Basis of Presentation</w:t>
      </w:r>
      <w:r>
        <w:rPr>
          <w:rFonts w:ascii="Times New Roman" w:cs="Times New Roman" w:eastAsia="Times New Roman" w:hAnsi="Times New Roman"/>
          <w:sz w:val="18"/>
          <w:szCs w:val="18"/>
          <w:color w:val="auto"/>
        </w:rPr>
        <w:t>, to the Notes to Unaudited Condensed Consolidated Financial Statements (Part I, Item 1 of this Quarterly Report), and is applicable to the current period’s unaudited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Times New Roman" w:cs="Times New Roman" w:eastAsia="Times New Roman" w:hAnsi="Times New Roman"/>
          <w:sz w:val="18"/>
          <w:szCs w:val="18"/>
          <w:i w:val="1"/>
          <w:iCs w:val="1"/>
          <w:color w:val="auto"/>
        </w:rPr>
        <w:t>Note 7. Derivative Instruments</w:t>
      </w:r>
      <w:r>
        <w:rPr>
          <w:rFonts w:ascii="Times New Roman" w:cs="Times New Roman" w:eastAsia="Times New Roman" w:hAnsi="Times New Roman"/>
          <w:sz w:val="18"/>
          <w:szCs w:val="18"/>
          <w:color w:val="auto"/>
        </w:rPr>
        <w:t>, to the Notes to Unaudited Condensed Consolidated Financial Statements (Part I, Item 1 of this Quarterly Report) for further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discussed herein have not been materially affected by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are exposed to the risk of interest rate fluctuations on the interest income earned on our cash and cash equivalents.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hypothetical 100 basis points movement in interest rates applicable to our cash and cash equivalents outstanding at September 30, 2024 would impact interest income by approximately $2.2 million on an annual basis. We are subject to foreign currency exchange risk with respect to cash balances maintained in foreign currencies.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interest rate risk relates primarily to U.S. dollar SOFR-indexed borrowings. We use interest rate swap derivative instruments to manage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earnings and cash flow exposure to changes in interest rates. These interest rate swaps fix the interest rate on a portion of our expected SOFR-indexed floating-rate borrowings. These interest rate swaps were designated as cash flow hedges as of September 30, 2024. The total notional amounts related to the Company's interest rate swaps were $1.3 billion with $625.0 million effective as of September 30, 2024. Based on our outstanding borrowings at September 30, 2024, a 100 basis points change in interest rates would have impacted interest expense on the unhedged portion of the debt by $6.4 million on an annualized basis. See </w:t>
      </w:r>
      <w:r>
        <w:rPr>
          <w:rFonts w:ascii="Times New Roman" w:cs="Times New Roman" w:eastAsia="Times New Roman" w:hAnsi="Times New Roman"/>
          <w:sz w:val="18"/>
          <w:szCs w:val="18"/>
          <w:i w:val="1"/>
          <w:iCs w:val="1"/>
          <w:color w:val="auto"/>
        </w:rPr>
        <w:t>Note 7. Derivative Instruments</w:t>
      </w:r>
      <w:r>
        <w:rPr>
          <w:rFonts w:ascii="Times New Roman" w:cs="Times New Roman" w:eastAsia="Times New Roman" w:hAnsi="Times New Roman"/>
          <w:sz w:val="18"/>
          <w:szCs w:val="18"/>
          <w:color w:val="auto"/>
        </w:rPr>
        <w:t>, to the Notes to Unaudited Condensed Consolidated Financial Statements (Part I, Item 1 of this Quarterly Report) for further information regarding interest rate swaps.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2024. Based upon this evaluation, our principal executive officer and principal financial officer concluded that our disclosure controls and procedures were effective as of September 30, 2024 to provide such reasonable assurance.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under the Exchange Act) that occurred during the quarter ended September 30, 2024 that have materially affected, or are reasonably likely to materially affect, our internal control over financial reporting.</w:t>
      </w:r>
    </w:p>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response to business integration activities, we have and will continue to further align and streamline the design and operation of the financial control environment to be responsive to the changing business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16. Commitments and Contingencies,</w:t>
      </w:r>
      <w:r>
        <w:rPr>
          <w:rFonts w:ascii="Times New Roman" w:cs="Times New Roman" w:eastAsia="Times New Roman" w:hAnsi="Times New Roman"/>
          <w:sz w:val="18"/>
          <w:szCs w:val="18"/>
          <w:color w:val="auto"/>
        </w:rPr>
        <w:t xml:space="preserve"> to the Notes to Unaudited Condensed Consolidated Financial Statements (Part I, Item 1 of this Quarterly Report) for further details on current legal proceedings.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12529"/>
        </w:rPr>
        <w:t xml:space="preserve">There have been no material changes in our risk factors included in our Annual Report on Form 10-K for the fiscal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12529"/>
        </w:rPr>
        <w:t xml:space="preserve"> and subsequent periodic reports filed with the SEC pursuant to the Exchange Act.</w:t>
      </w:r>
    </w:p>
    <w:p>
      <w:pPr>
        <w:spacing w:after="0" w:line="158" w:lineRule="exact"/>
        <w:rPr>
          <w:sz w:val="20"/>
          <w:szCs w:val="20"/>
          <w:color w:val="auto"/>
        </w:rPr>
      </w:pPr>
    </w:p>
    <w:p>
      <w:pPr>
        <w:ind w:right="4140"/>
        <w:spacing w:after="0" w:line="378"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 of Unregistered Securities:</w:t>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the Company during the quarter ended September 30, 2024 of equity securities that are registered by us pursuant to Section 12 of the Exchange Act. Subject to applicable law, share repurchases may be made from time to time in open market transactions, privately negotiated transactions including accelerated share repurchase agreements, or pursuant to instruments and plans complying with Rule 10b5-1 under the Exchange Act, among other types of transactions and arrangements.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 purchased as part of</w:t>
            </w:r>
          </w:p>
        </w:tc>
        <w:tc>
          <w:tcPr>
            <w:tcW w:w="80" w:type="dxa"/>
            <w:vAlign w:val="bottom"/>
          </w:tcPr>
          <w:p>
            <w:pPr>
              <w:spacing w:after="0"/>
              <w:rPr>
                <w:sz w:val="13"/>
                <w:szCs w:val="13"/>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81"/>
        </w:trPr>
        <w:tc>
          <w:tcPr>
            <w:tcW w:w="2320" w:type="dxa"/>
            <w:vAlign w:val="bottom"/>
            <w:gridSpan w:val="2"/>
            <w:vMerge w:val="restart"/>
          </w:tcPr>
          <w:p>
            <w:pPr>
              <w:ind w:left="920"/>
              <w:spacing w:after="0" w:line="146" w:lineRule="exact"/>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76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may yet be purchased under the plans or</w:t>
            </w:r>
          </w:p>
        </w:tc>
        <w:tc>
          <w:tcPr>
            <w:tcW w:w="0" w:type="dxa"/>
            <w:vAlign w:val="bottom"/>
          </w:tcPr>
          <w:p>
            <w:pPr>
              <w:spacing w:after="0"/>
              <w:rPr>
                <w:sz w:val="1"/>
                <w:szCs w:val="1"/>
                <w:color w:val="auto"/>
              </w:rPr>
            </w:pPr>
          </w:p>
        </w:tc>
      </w:tr>
      <w:tr>
        <w:trPr>
          <w:trHeight w:val="65"/>
        </w:trPr>
        <w:tc>
          <w:tcPr>
            <w:tcW w:w="2320" w:type="dxa"/>
            <w:vAlign w:val="bottom"/>
            <w:gridSpan w:val="2"/>
            <w:vMerge w:val="continue"/>
          </w:tcPr>
          <w:p>
            <w:pPr>
              <w:spacing w:after="0"/>
              <w:rPr>
                <w:sz w:val="5"/>
                <w:szCs w:val="5"/>
                <w:color w:val="auto"/>
              </w:rPr>
            </w:pPr>
          </w:p>
        </w:tc>
        <w:tc>
          <w:tcPr>
            <w:tcW w:w="184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76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publicly announced plans or programs</w:t>
            </w:r>
            <w:r>
              <w:rPr>
                <w:rFonts w:ascii="Times New Roman" w:cs="Times New Roman" w:eastAsia="Times New Roman" w:hAnsi="Times New Roman"/>
                <w:sz w:val="10"/>
                <w:szCs w:val="10"/>
                <w:b w:val="1"/>
                <w:bCs w:val="1"/>
                <w:color w:val="auto"/>
              </w:rPr>
              <w:t>(1)</w:t>
            </w:r>
          </w:p>
        </w:tc>
        <w:tc>
          <w:tcPr>
            <w:tcW w:w="8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65"/>
        </w:trPr>
        <w:tc>
          <w:tcPr>
            <w:tcW w:w="2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07/01/2024 - 07/31/2024</w:t>
            </w: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00" w:type="dxa"/>
            <w:vAlign w:val="bottom"/>
            <w:shd w:val="clear" w:color="auto" w:fill="CCEEFF"/>
          </w:tcPr>
          <w:p>
            <w:pPr>
              <w:spacing w:after="0"/>
              <w:rPr>
                <w:sz w:val="18"/>
                <w:szCs w:val="18"/>
                <w:color w:val="auto"/>
              </w:rPr>
            </w:pPr>
          </w:p>
        </w:tc>
        <w:tc>
          <w:tcPr>
            <w:tcW w:w="2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446,075</w:t>
            </w: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08/01/2024 - 08/31/2024</w:t>
            </w:r>
          </w:p>
        </w:tc>
        <w:tc>
          <w:tcPr>
            <w:tcW w:w="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76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09/01/2024 - 09/30/2024</w:t>
            </w: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ind w:left="2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446,075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446,075</w:t>
            </w:r>
          </w:p>
        </w:tc>
        <w:tc>
          <w:tcPr>
            <w:tcW w:w="80" w:type="dxa"/>
            <w:vAlign w:val="bottom"/>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8"/>
        <w:spacing w:after="0" w:line="282" w:lineRule="auto"/>
        <w:tabs>
          <w:tab w:leader="none" w:pos="153"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On May 16, 2024, the Company entered into a $50 million accelerated share repurchase (“May 2024 ASR”) and received 1.3 million shares of common stock at the inception of the May 2024 ASR, which represented approximately 70% of the expected total shares under the May 2024 ASR.</w:t>
      </w:r>
    </w:p>
    <w:p>
      <w:pPr>
        <w:spacing w:after="0" w:line="53" w:lineRule="exact"/>
        <w:rPr>
          <w:rFonts w:ascii="Times New Roman" w:cs="Times New Roman" w:eastAsia="Times New Roman" w:hAnsi="Times New Roman"/>
          <w:sz w:val="11"/>
          <w:szCs w:val="11"/>
          <w:color w:val="auto"/>
        </w:rPr>
      </w:pPr>
    </w:p>
    <w:p>
      <w:pPr>
        <w:ind w:firstLine="8"/>
        <w:spacing w:after="0" w:line="282" w:lineRule="auto"/>
        <w:tabs>
          <w:tab w:leader="none" w:pos="153"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On July 30, 2024, the early exercise provision was exercised by the May 2024 ASR counterparty. The Company received an additional 0.4 million shares determined using the volume-weighted average price of the Company’s common stock during the term of the May 2024 ASR.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8"/>
        <w:spacing w:after="0" w:line="254" w:lineRule="auto"/>
        <w:tabs>
          <w:tab w:leader="none" w:pos="1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On July 18, 2023, the Board of Directors authorized a new $225 million share repurchase program, replacing the existing $225 million program authorized in April 2022, under which $75 million remained authorized at the time of its replacement. The program authorized in July 2023, which expires on December 31, 2025, allows the Company to repurchase its shares opportunistically from time to time. They May 2024 ASR was effected under this authorization. As of September 30, 2024, $50 million remained authorized under the July 2023 share repurchase authorization.The Company may utilize various methods to effect any repurchases, including open market transactions, privately negotiated transactions, transactions structured through investment banking institutions, including accelerated share repurchases, or a combination of the foregoing, some of which may be effected through Rule 10b5-1 plans.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pacing w:after="0" w:line="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According to the terms of our Senior Credit Facility, our ability to declare or make any dividend payments is limited. 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to the Notes to Unaudited Condensed Consolidated Financial Statements (Part I, Item 1 of this Quarterly Report) for a description of working capital restrictions and limitation on the payment of dividends.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3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During the quarter ended September 30, 2024, none of the Company’s directors or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9600" w:type="dxa"/>
            <w:vAlign w:val="bottom"/>
            <w:gridSpan w:val="16"/>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Amended and Restated Certificate of Incorporation of the Company dated February 16, 1993 (Incorporated by reference to Exhibit</w:t>
              </w:r>
            </w:hyperlink>
          </w:p>
        </w:tc>
      </w:tr>
      <w:tr>
        <w:trPr>
          <w:trHeight w:val="155"/>
        </w:trPr>
        <w:tc>
          <w:tcPr>
            <w:tcW w:w="150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1(a)</w:t>
              </w:r>
              <w:r>
                <w:rPr>
                  <w:rFonts w:ascii="Times New Roman" w:cs="Times New Roman" w:eastAsia="Times New Roman" w:hAnsi="Times New Roman"/>
                  <w:sz w:val="18"/>
                  <w:szCs w:val="18"/>
                  <w:color w:val="0000FF"/>
                  <w:w w:val="99"/>
                </w:rPr>
                <w:t xml:space="preserve"> to the Company’s Annual Report on Form 10-K for the fiscal year ended December 31, 2005)</w:t>
              </w:r>
            </w:hyperlink>
          </w:p>
        </w:tc>
        <w:tc>
          <w:tcPr>
            <w:tcW w:w="220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9600" w:type="dxa"/>
            <w:vAlign w:val="bottom"/>
            <w:gridSpan w:val="16"/>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Certificate of Amendment to Amended and Restated Certificate of Incorporation of the Company dated May 22, 1998 (Incorporated</w:t>
              </w:r>
            </w:hyperlink>
          </w:p>
        </w:tc>
      </w:tr>
      <w:tr>
        <w:trPr>
          <w:trHeight w:val="156"/>
        </w:trPr>
        <w:tc>
          <w:tcPr>
            <w:tcW w:w="150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by reference to Exhibit 3.1(b) to the Company’s Annual Report on Form 10-K for the fiscal year ended December 31, 1998)</w:t>
              </w:r>
            </w:hyperlink>
          </w:p>
        </w:tc>
        <w:tc>
          <w:tcPr>
            <w:tcW w:w="5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3.1(c)</w:t>
            </w:r>
          </w:p>
        </w:tc>
        <w:tc>
          <w:tcPr>
            <w:tcW w:w="9600" w:type="dxa"/>
            <w:vAlign w:val="bottom"/>
            <w:gridSpan w:val="16"/>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Certificate of Amendment to Amended and Restated Certificate of Incorporation of the Company dated May 17, 1999 (Incorporated</w:t>
              </w:r>
            </w:hyperlink>
          </w:p>
        </w:tc>
      </w:tr>
      <w:tr>
        <w:trPr>
          <w:trHeight w:val="156"/>
        </w:trPr>
        <w:tc>
          <w:tcPr>
            <w:tcW w:w="150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by reference to Exhibit 3.1(c) to the Company’s Annual Report on Form 10-K for the fiscal year ended December 31, 2004)</w:t>
              </w:r>
            </w:hyperlink>
          </w:p>
        </w:tc>
        <w:tc>
          <w:tcPr>
            <w:tcW w:w="6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3.1(d)</w:t>
            </w:r>
          </w:p>
        </w:tc>
        <w:tc>
          <w:tcPr>
            <w:tcW w:w="9600" w:type="dxa"/>
            <w:vAlign w:val="bottom"/>
            <w:gridSpan w:val="16"/>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Certificate of Amendment to Amended and Restated Certificate of Incorporation of the Company dated December 21, 2016</w:t>
              </w:r>
            </w:hyperlink>
          </w:p>
        </w:tc>
      </w:tr>
      <w:tr>
        <w:trPr>
          <w:trHeight w:val="155"/>
        </w:trPr>
        <w:tc>
          <w:tcPr>
            <w:tcW w:w="1500" w:type="dxa"/>
            <w:vAlign w:val="bottom"/>
          </w:tcPr>
          <w:p>
            <w:pPr>
              <w:spacing w:after="0"/>
              <w:rPr>
                <w:sz w:val="13"/>
                <w:szCs w:val="13"/>
                <w:color w:val="auto"/>
              </w:rPr>
            </w:pPr>
          </w:p>
        </w:tc>
        <w:tc>
          <w:tcPr>
            <w:tcW w:w="89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(Incorporated by reference to Exhibit 3.1 to the Company’s Current Report on Form 8-K filed on December 22, 2016)</w:t>
              </w:r>
            </w:hyperlink>
          </w:p>
        </w:tc>
        <w:tc>
          <w:tcPr>
            <w:tcW w:w="360" w:type="dxa"/>
            <w:vAlign w:val="bottom"/>
            <w:gridSpan w:val="3"/>
          </w:tcPr>
          <w:p>
            <w:pPr>
              <w:spacing w:after="0"/>
              <w:rPr>
                <w:sz w:val="13"/>
                <w:szCs w:val="13"/>
                <w:color w:val="auto"/>
              </w:rPr>
            </w:pPr>
          </w:p>
        </w:tc>
        <w:tc>
          <w:tcPr>
            <w:tcW w:w="2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 (e)+</w:t>
            </w: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Certificate of Amendment to the Amended and Restated Certificate of Incorporation of the Company dated May 9, 2024</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600" w:type="dxa"/>
            <w:vAlign w:val="bottom"/>
            <w:gridSpan w:val="16"/>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Third Amended and Restated Bylaws of Integra LifeSciences Holdings Corporation, effective as of February 21, 2023 (Incorporated</w:t>
              </w:r>
            </w:hyperlink>
          </w:p>
        </w:tc>
      </w:tr>
      <w:tr>
        <w:trPr>
          <w:trHeight w:val="156"/>
        </w:trPr>
        <w:tc>
          <w:tcPr>
            <w:tcW w:w="1500" w:type="dxa"/>
            <w:vAlign w:val="bottom"/>
          </w:tcPr>
          <w:p>
            <w:pPr>
              <w:spacing w:after="0"/>
              <w:rPr>
                <w:sz w:val="13"/>
                <w:szCs w:val="13"/>
                <w:color w:val="auto"/>
              </w:rPr>
            </w:pPr>
          </w:p>
        </w:tc>
        <w:tc>
          <w:tcPr>
            <w:tcW w:w="95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by reference to Exhibit 3.3 to the Company’s Annual Report on Form 10-K for the fiscal year ended December 31, 2022 filed 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90">
              <w:r>
                <w:rPr>
                  <w:rFonts w:ascii="Times New Roman" w:cs="Times New Roman" w:eastAsia="Times New Roman" w:hAnsi="Times New Roman"/>
                  <w:sz w:val="18"/>
                  <w:szCs w:val="18"/>
                  <w:color w:val="0000FF"/>
                  <w:w w:val="98"/>
                </w:rPr>
                <w:t>February 22, 2023)</w:t>
              </w:r>
            </w:hyperlink>
          </w:p>
        </w:tc>
        <w:tc>
          <w:tcPr>
            <w:tcW w:w="7880" w:type="dxa"/>
            <w:vAlign w:val="bottom"/>
            <w:tcBorders>
              <w:top w:val="single" w:sz="8" w:color="0000FF"/>
            </w:tcBorders>
            <w:gridSpan w:val="9"/>
          </w:tcPr>
          <w:p>
            <w:pPr>
              <w:spacing w:after="0"/>
              <w:rPr>
                <w:sz w:val="14"/>
                <w:szCs w:val="14"/>
                <w:color w:val="auto"/>
              </w:rPr>
            </w:pPr>
          </w:p>
        </w:tc>
        <w:tc>
          <w:tcPr>
            <w:tcW w:w="3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Form of Integra LifeSciences Holdings Corporation Fifth Amended and Restated 2003 Equity Incentive Plan Restricted Stock Unit</w:t>
            </w:r>
          </w:p>
        </w:tc>
      </w:tr>
      <w:tr>
        <w:trPr>
          <w:trHeight w:val="156"/>
        </w:trPr>
        <w:tc>
          <w:tcPr>
            <w:tcW w:w="1500" w:type="dxa"/>
            <w:vAlign w:val="bottom"/>
          </w:tcPr>
          <w:p>
            <w:pPr>
              <w:spacing w:after="0"/>
              <w:rPr>
                <w:sz w:val="13"/>
                <w:szCs w:val="13"/>
                <w:color w:val="auto"/>
              </w:rPr>
            </w:pPr>
          </w:p>
        </w:tc>
        <w:tc>
          <w:tcPr>
            <w:tcW w:w="958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Award Agreement</w:t>
            </w: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r>
      <w:tr>
        <w:trPr>
          <w:trHeight w:val="33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 Sarbanes-Oxley Act of 2002</w:t>
            </w:r>
          </w:p>
        </w:tc>
        <w:tc>
          <w:tcPr>
            <w:tcW w:w="2160" w:type="dxa"/>
            <w:vAlign w:val="bottom"/>
            <w:gridSpan w:val="11"/>
          </w:tcPr>
          <w:p>
            <w:pPr>
              <w:spacing w:after="0"/>
              <w:rPr>
                <w:sz w:val="24"/>
                <w:szCs w:val="24"/>
                <w:color w:val="auto"/>
              </w:rPr>
            </w:pPr>
          </w:p>
        </w:tc>
      </w:tr>
      <w:tr>
        <w:trPr>
          <w:trHeight w:val="3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r>
      <w:tr>
        <w:trPr>
          <w:trHeight w:val="20"/>
        </w:trPr>
        <w:tc>
          <w:tcPr>
            <w:tcW w:w="1500" w:type="dxa"/>
            <w:vAlign w:val="bottom"/>
          </w:tcPr>
          <w:p>
            <w:pPr>
              <w:spacing w:after="0" w:line="20" w:lineRule="exact"/>
              <w:rPr>
                <w:sz w:val="1"/>
                <w:szCs w:val="1"/>
                <w:color w:val="auto"/>
              </w:rPr>
            </w:pPr>
          </w:p>
        </w:tc>
        <w:tc>
          <w:tcPr>
            <w:tcW w:w="7380" w:type="dxa"/>
            <w:vAlign w:val="bottom"/>
            <w:gridSpan w:val="4"/>
            <w:shd w:val="clear" w:color="auto" w:fill="0000FF"/>
          </w:tcPr>
          <w:p>
            <w:pPr>
              <w:spacing w:after="0" w:line="20" w:lineRule="exact"/>
              <w:rPr>
                <w:sz w:val="1"/>
                <w:szCs w:val="1"/>
                <w:color w:val="auto"/>
              </w:rPr>
            </w:pPr>
          </w:p>
        </w:tc>
        <w:tc>
          <w:tcPr>
            <w:tcW w:w="2220" w:type="dxa"/>
            <w:vAlign w:val="bottom"/>
            <w:gridSpan w:val="12"/>
          </w:tcPr>
          <w:p>
            <w:pPr>
              <w:spacing w:after="0" w:line="20" w:lineRule="exact"/>
              <w:rPr>
                <w:sz w:val="1"/>
                <w:szCs w:val="1"/>
                <w:color w:val="auto"/>
              </w:rPr>
            </w:pPr>
          </w:p>
        </w:tc>
      </w:tr>
      <w:tr>
        <w:trPr>
          <w:trHeight w:val="3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906 of the Sarbanes-Oxley Act of 2002</w:t>
            </w:r>
          </w:p>
        </w:tc>
        <w:tc>
          <w:tcPr>
            <w:tcW w:w="2160" w:type="dxa"/>
            <w:vAlign w:val="bottom"/>
            <w:gridSpan w:val="11"/>
          </w:tcPr>
          <w:p>
            <w:pPr>
              <w:spacing w:after="0"/>
              <w:rPr>
                <w:sz w:val="24"/>
                <w:szCs w:val="24"/>
                <w:color w:val="auto"/>
              </w:rPr>
            </w:pPr>
          </w:p>
        </w:tc>
      </w:tr>
      <w:tr>
        <w:trPr>
          <w:trHeight w:val="31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w:t>
            </w:r>
          </w:p>
        </w:tc>
      </w:tr>
      <w:tr>
        <w:trPr>
          <w:trHeight w:val="20"/>
        </w:trPr>
        <w:tc>
          <w:tcPr>
            <w:tcW w:w="1500" w:type="dxa"/>
            <w:vAlign w:val="bottom"/>
          </w:tcPr>
          <w:p>
            <w:pPr>
              <w:spacing w:after="0" w:line="20" w:lineRule="exact"/>
              <w:rPr>
                <w:sz w:val="1"/>
                <w:szCs w:val="1"/>
                <w:color w:val="auto"/>
              </w:rPr>
            </w:pPr>
          </w:p>
        </w:tc>
        <w:tc>
          <w:tcPr>
            <w:tcW w:w="7380" w:type="dxa"/>
            <w:vAlign w:val="bottom"/>
            <w:gridSpan w:val="4"/>
            <w:shd w:val="clear" w:color="auto" w:fill="0000FF"/>
          </w:tcPr>
          <w:p>
            <w:pPr>
              <w:spacing w:after="0" w:line="20" w:lineRule="exact"/>
              <w:rPr>
                <w:sz w:val="1"/>
                <w:szCs w:val="1"/>
                <w:color w:val="auto"/>
              </w:rPr>
            </w:pPr>
          </w:p>
        </w:tc>
        <w:tc>
          <w:tcPr>
            <w:tcW w:w="2220" w:type="dxa"/>
            <w:vAlign w:val="bottom"/>
            <w:gridSpan w:val="12"/>
          </w:tcPr>
          <w:p>
            <w:pPr>
              <w:spacing w:after="0" w:line="20" w:lineRule="exact"/>
              <w:rPr>
                <w:sz w:val="1"/>
                <w:szCs w:val="1"/>
                <w:color w:val="auto"/>
              </w:rPr>
            </w:pPr>
          </w:p>
        </w:tc>
      </w:tr>
      <w:tr>
        <w:trPr>
          <w:trHeight w:val="30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500" w:type="dxa"/>
            <w:vAlign w:val="bottom"/>
          </w:tcPr>
          <w:p>
            <w:pPr>
              <w:spacing w:after="0"/>
              <w:rPr>
                <w:sz w:val="20"/>
                <w:szCs w:val="20"/>
                <w:color w:val="auto"/>
              </w:rPr>
            </w:pP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4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03" w:lineRule="exact"/>
        <w:rPr>
          <w:sz w:val="20"/>
          <w:szCs w:val="20"/>
          <w:color w:val="auto"/>
        </w:rPr>
      </w:pPr>
    </w:p>
    <w:p>
      <w:pPr>
        <w:ind w:left="1580" w:hanging="1507"/>
        <w:spacing w:after="0"/>
        <w:tabs>
          <w:tab w:leader="none" w:pos="15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60"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7" w:lineRule="exact"/>
        <w:rPr>
          <w:sz w:val="20"/>
          <w:szCs w:val="20"/>
          <w:color w:val="auto"/>
        </w:rPr>
      </w:pPr>
    </w:p>
    <w:p>
      <w:pPr>
        <w:ind w:left="700" w:hanging="634"/>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this document is filed as an exhibit herewith.</w:t>
      </w:r>
    </w:p>
    <w:p>
      <w:pPr>
        <w:spacing w:after="0" w:line="23" w:lineRule="exact"/>
        <w:rPr>
          <w:sz w:val="20"/>
          <w:szCs w:val="20"/>
          <w:color w:val="auto"/>
        </w:rPr>
      </w:pPr>
    </w:p>
    <w:p>
      <w:pPr>
        <w:ind w:left="700" w:right="40" w:hanging="634"/>
        <w:spacing w:after="0" w:line="219"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Quarterly Report on Form 10-Q for the quarter ended September 30, 2024 filed on November 4, 2024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4, 2024</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De Witte</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Jan De Witte</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4, 2024</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Lea Knight</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30"/>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4, 2024</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A. Mosebrook</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Jeffrey A. Mosebrook</w:t>
            </w:r>
          </w:p>
        </w:tc>
      </w:tr>
      <w:tr>
        <w:trPr>
          <w:trHeight w:val="230"/>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3.1(e)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THE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 OF 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LifeSciences Holdings Corporation, a corporation organized and existing under and by virtue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“Corporation”), DOES HEREBY CERTIFY:</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FIRST: That the Board of Directors of the Corporation, acting in accordance with Sections 141 and 242 of the General Corporation Law of the State of Delaware adopted a resolution to amend Article SEVENTH of the Company’s Restated Certificate of Incorporation (the “Amendment”) so that, as amended, it shall be read in its entirety as follows:</w:t>
      </w:r>
    </w:p>
    <w:p>
      <w:pPr>
        <w:spacing w:after="0" w:line="176" w:lineRule="exact"/>
        <w:rPr>
          <w:sz w:val="20"/>
          <w:szCs w:val="20"/>
          <w:color w:val="auto"/>
        </w:rPr>
      </w:pPr>
    </w:p>
    <w:p>
      <w:pPr>
        <w:ind w:left="340" w:right="280"/>
        <w:spacing w:after="0" w:line="266" w:lineRule="auto"/>
        <w:rPr>
          <w:sz w:val="20"/>
          <w:szCs w:val="20"/>
          <w:color w:val="auto"/>
        </w:rPr>
      </w:pPr>
      <w:r>
        <w:rPr>
          <w:rFonts w:ascii="Times New Roman" w:cs="Times New Roman" w:eastAsia="Times New Roman" w:hAnsi="Times New Roman"/>
          <w:sz w:val="18"/>
          <w:szCs w:val="18"/>
          <w:color w:val="auto"/>
        </w:rPr>
        <w:t>SEVENTH: A director or officer of the Corporation shall have no personal liability to the Corporation or its stockholders for monetary damages for breach of fiduciary duty as a director or officer except to the extent that Section 102(b)(7) (or any successor provision) of the Delaware General Corporation Law, as amended from time to time, expressly provides that the liability of a director or officer may not be eliminated or limited.</w:t>
      </w:r>
    </w:p>
    <w:p>
      <w:pPr>
        <w:spacing w:after="0" w:line="20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SECOND: That said Amendment was duly adopted in accordance with the provisions of Section 242 of the General Corporation Law of the State of Delaware.</w:t>
      </w:r>
    </w:p>
    <w:p>
      <w:pPr>
        <w:spacing w:after="0" w:line="200" w:lineRule="exact"/>
        <w:rPr>
          <w:sz w:val="20"/>
          <w:szCs w:val="20"/>
          <w:color w:val="auto"/>
        </w:rPr>
      </w:pP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to be signed by Stuart M. Essig, Ph.D. its Chairman of the Board of Directors this 9th day of May, 2024.</w:t>
      </w: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00" w:lineRule="exact"/>
        <w:rPr>
          <w:sz w:val="20"/>
          <w:szCs w:val="20"/>
          <w:color w:val="auto"/>
        </w:rPr>
      </w:pPr>
    </w:p>
    <w:p>
      <w:pPr>
        <w:spacing w:after="0" w:line="282"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Stuart M. Essig,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Stuart M. Essig, Ph.D.</w:t>
      </w:r>
    </w:p>
    <w:p>
      <w:pPr>
        <w:spacing w:after="0" w:line="2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ectPr>
          <w:pgSz w:w="11900" w:h="16838" w:orient="portrait"/>
          <w:cols w:equalWidth="0" w:num="1">
            <w:col w:w="11240"/>
          </w:cols>
          <w:pgMar w:left="320" w:top="121" w:right="339" w:bottom="1440" w:gutter="0" w:footer="0" w:header="0"/>
        </w:sectPr>
      </w:pPr>
    </w:p>
    <w:bookmarkStart w:id="53" w:name="page54"/>
    <w:bookmarkEnd w:id="53"/>
    <w:p>
      <w:pPr>
        <w:ind w:left="1012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20" w:type="dxa"/>
            <w:vAlign w:val="bottom"/>
            <w:tcBorders>
              <w:top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Notice of Grant of Award</w:t>
            </w:r>
          </w:p>
        </w:tc>
        <w:tc>
          <w:tcPr>
            <w:tcW w:w="56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Integra LifeSciences Holdings Corporation</w:t>
            </w:r>
          </w:p>
        </w:tc>
        <w:tc>
          <w:tcPr>
            <w:tcW w:w="0" w:type="dxa"/>
            <w:vAlign w:val="bottom"/>
          </w:tcPr>
          <w:p>
            <w:pPr>
              <w:spacing w:after="0"/>
              <w:rPr>
                <w:sz w:val="1"/>
                <w:szCs w:val="1"/>
                <w:color w:val="auto"/>
              </w:rPr>
            </w:pPr>
          </w:p>
        </w:tc>
      </w:tr>
      <w:tr>
        <w:trPr>
          <w:trHeight w:val="175"/>
        </w:trPr>
        <w:tc>
          <w:tcPr>
            <w:tcW w:w="56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and Award Agreement</w:t>
            </w:r>
          </w:p>
        </w:tc>
        <w:tc>
          <w:tcPr>
            <w:tcW w:w="5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5620" w:type="dxa"/>
            <w:vAlign w:val="bottom"/>
            <w:vMerge w:val="continue"/>
          </w:tcPr>
          <w:p>
            <w:pPr>
              <w:spacing w:after="0"/>
              <w:rPr>
                <w:sz w:val="9"/>
                <w:szCs w:val="9"/>
                <w:color w:val="auto"/>
              </w:rPr>
            </w:pPr>
          </w:p>
        </w:tc>
        <w:tc>
          <w:tcPr>
            <w:tcW w:w="56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ID: 51-0317849</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5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5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1100 Campus Road</w:t>
            </w:r>
          </w:p>
        </w:tc>
        <w:tc>
          <w:tcPr>
            <w:tcW w:w="0" w:type="dxa"/>
            <w:vAlign w:val="bottom"/>
          </w:tcPr>
          <w:p>
            <w:pPr>
              <w:spacing w:after="0"/>
              <w:rPr>
                <w:sz w:val="1"/>
                <w:szCs w:val="1"/>
                <w:color w:val="auto"/>
              </w:rPr>
            </w:pPr>
          </w:p>
        </w:tc>
      </w:tr>
      <w:tr>
        <w:trPr>
          <w:trHeight w:val="282"/>
        </w:trPr>
        <w:tc>
          <w:tcPr>
            <w:tcW w:w="5620" w:type="dxa"/>
            <w:vAlign w:val="bottom"/>
          </w:tcPr>
          <w:p>
            <w:pPr>
              <w:spacing w:after="0"/>
              <w:rPr>
                <w:sz w:val="24"/>
                <w:szCs w:val="24"/>
                <w:color w:val="auto"/>
              </w:rPr>
            </w:pPr>
          </w:p>
        </w:tc>
        <w:tc>
          <w:tcPr>
            <w:tcW w:w="5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Princeton, New Jersey 08540</w:t>
            </w:r>
          </w:p>
        </w:tc>
        <w:tc>
          <w:tcPr>
            <w:tcW w:w="0" w:type="dxa"/>
            <w:vAlign w:val="bottom"/>
          </w:tcPr>
          <w:p>
            <w:pPr>
              <w:spacing w:after="0"/>
              <w:rPr>
                <w:sz w:val="1"/>
                <w:szCs w:val="1"/>
                <w:color w:val="auto"/>
              </w:rPr>
            </w:pPr>
          </w:p>
        </w:tc>
      </w:tr>
      <w:tr>
        <w:trPr>
          <w:trHeight w:val="123"/>
        </w:trPr>
        <w:tc>
          <w:tcPr>
            <w:tcW w:w="5620" w:type="dxa"/>
            <w:vAlign w:val="bottom"/>
            <w:tcBorders>
              <w:bottom w:val="single" w:sz="8" w:color="auto"/>
            </w:tcBorders>
          </w:tcPr>
          <w:p>
            <w:pPr>
              <w:spacing w:after="0"/>
              <w:rPr>
                <w:sz w:val="10"/>
                <w:szCs w:val="10"/>
                <w:color w:val="auto"/>
              </w:rPr>
            </w:pPr>
          </w:p>
        </w:tc>
        <w:tc>
          <w:tcPr>
            <w:tcW w:w="5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6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564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Award Number: [ ]</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vMerge w:val="continue"/>
          </w:tcPr>
          <w:p>
            <w:pPr>
              <w:spacing w:after="0"/>
              <w:rPr>
                <w:sz w:val="18"/>
                <w:szCs w:val="18"/>
                <w:color w:val="auto"/>
              </w:rPr>
            </w:pPr>
          </w:p>
        </w:tc>
        <w:tc>
          <w:tcPr>
            <w:tcW w:w="564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Plan: [ ]</w:t>
            </w:r>
          </w:p>
        </w:tc>
        <w:tc>
          <w:tcPr>
            <w:tcW w:w="0" w:type="dxa"/>
            <w:vAlign w:val="bottom"/>
          </w:tcPr>
          <w:p>
            <w:pPr>
              <w:spacing w:after="0"/>
              <w:rPr>
                <w:sz w:val="1"/>
                <w:szCs w:val="1"/>
                <w:color w:val="auto"/>
              </w:rPr>
            </w:pPr>
          </w:p>
        </w:tc>
      </w:tr>
      <w:tr>
        <w:trPr>
          <w:trHeight w:val="349"/>
        </w:trPr>
        <w:tc>
          <w:tcPr>
            <w:tcW w:w="5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5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ID: [ ]</w:t>
            </w:r>
          </w:p>
        </w:tc>
        <w:tc>
          <w:tcPr>
            <w:tcW w:w="0" w:type="dxa"/>
            <w:vAlign w:val="bottom"/>
          </w:tcPr>
          <w:p>
            <w:pPr>
              <w:spacing w:after="0"/>
              <w:rPr>
                <w:sz w:val="1"/>
                <w:szCs w:val="1"/>
                <w:color w:val="auto"/>
              </w:rPr>
            </w:pPr>
          </w:p>
        </w:tc>
      </w:tr>
      <w:tr>
        <w:trPr>
          <w:trHeight w:val="364"/>
        </w:trPr>
        <w:tc>
          <w:tcPr>
            <w:tcW w:w="5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5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620" w:type="dxa"/>
            <w:vAlign w:val="bottom"/>
            <w:tcBorders>
              <w:left w:val="single" w:sz="8" w:color="auto"/>
              <w:bottom w:val="single" w:sz="8" w:color="auto"/>
              <w:right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80" w:right="100"/>
        <w:spacing w:after="0" w:line="259" w:lineRule="auto"/>
        <w:rPr>
          <w:sz w:val="20"/>
          <w:szCs w:val="20"/>
          <w:color w:val="auto"/>
        </w:rPr>
      </w:pPr>
      <w:r>
        <w:rPr>
          <w:rFonts w:ascii="Times New Roman" w:cs="Times New Roman" w:eastAsia="Times New Roman" w:hAnsi="Times New Roman"/>
          <w:sz w:val="22"/>
          <w:szCs w:val="22"/>
          <w:color w:val="auto"/>
        </w:rPr>
        <w:t xml:space="preserve">Effective [ ], you have been granted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xml:space="preserve"> Restricted Stock Units (RSUs) based on a closing price of US$[ ]. These units are restricted until the vest dates shown below, at which time you will receive shares of Integra LifeSciences Holdings Corporation (the Company) common stock.</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award will vest in increments in the dates shown:</w:t>
      </w:r>
    </w:p>
    <w:p>
      <w:pPr>
        <w:spacing w:after="0" w:line="112" w:lineRule="exact"/>
        <w:rPr>
          <w:sz w:val="20"/>
          <w:szCs w:val="20"/>
          <w:color w:val="auto"/>
        </w:rPr>
      </w:pPr>
    </w:p>
    <w:p>
      <w:pPr>
        <w:ind w:left="2020"/>
        <w:spacing w:after="0"/>
        <w:tabs>
          <w:tab w:leader="none" w:pos="2800" w:val="left"/>
        </w:tabs>
        <w:rPr>
          <w:sz w:val="20"/>
          <w:szCs w:val="20"/>
          <w:color w:val="auto"/>
        </w:rPr>
      </w:pPr>
      <w:r>
        <w:rPr>
          <w:rFonts w:ascii="Times New Roman" w:cs="Times New Roman" w:eastAsia="Times New Roman" w:hAnsi="Times New Roman"/>
          <w:sz w:val="22"/>
          <w:szCs w:val="22"/>
          <w:u w:val="single" w:color="auto"/>
          <w:color w:val="auto"/>
        </w:rPr>
        <w:t>Shares</w:t>
      </w:r>
      <w:r>
        <w:rPr>
          <w:sz w:val="20"/>
          <w:szCs w:val="20"/>
          <w:color w:val="auto"/>
        </w:rPr>
        <w:tab/>
      </w:r>
      <w:r>
        <w:rPr>
          <w:rFonts w:ascii="Times New Roman" w:cs="Times New Roman" w:eastAsia="Times New Roman" w:hAnsi="Times New Roman"/>
          <w:sz w:val="19"/>
          <w:szCs w:val="19"/>
          <w:u w:val="single" w:color="auto"/>
          <w:color w:val="auto"/>
        </w:rPr>
        <w:t>Full Vest Date</w:t>
      </w:r>
    </w:p>
    <w:p>
      <w:pPr>
        <w:sectPr>
          <w:pgSz w:w="11900" w:h="16838" w:orient="portrait"/>
          <w:cols w:equalWidth="0" w:num="1">
            <w:col w:w="11260"/>
          </w:cols>
          <w:pgMar w:left="320" w:top="122" w:right="319" w:bottom="1440" w:gutter="0" w:footer="0" w:header="0"/>
        </w:sectPr>
      </w:pPr>
    </w:p>
    <w:p>
      <w:pPr>
        <w:spacing w:after="0" w:line="11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123" w:lineRule="exact"/>
        <w:rPr>
          <w:sz w:val="20"/>
          <w:szCs w:val="20"/>
          <w:color w:val="auto"/>
        </w:rPr>
      </w:pPr>
    </w:p>
    <w:p>
      <w:pPr>
        <w:sectPr>
          <w:pgSz w:w="11900" w:h="16838" w:orient="portrait"/>
          <w:cols w:equalWidth="0" w:num="2">
            <w:col w:w="2220" w:space="220"/>
            <w:col w:w="8820"/>
          </w:cols>
          <w:pgMar w:left="320" w:top="122" w:right="31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w:t>
      </w:r>
    </w:p>
    <w:p>
      <w:pPr>
        <w:spacing w:after="0" w:line="123" w:lineRule="exact"/>
        <w:rPr>
          <w:sz w:val="20"/>
          <w:szCs w:val="20"/>
          <w:color w:val="auto"/>
        </w:rPr>
      </w:pPr>
    </w:p>
    <w:p>
      <w:pPr>
        <w:sectPr>
          <w:pgSz w:w="11900" w:h="16838" w:orient="portrait"/>
          <w:cols w:equalWidth="0" w:num="2">
            <w:col w:w="2220" w:space="220"/>
            <w:col w:w="8820"/>
          </w:cols>
          <w:pgMar w:left="320" w:top="122" w:right="31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w:t>
      </w:r>
    </w:p>
    <w:p>
      <w:pPr>
        <w:spacing w:after="0" w:line="69" w:lineRule="exact"/>
        <w:rPr>
          <w:sz w:val="20"/>
          <w:szCs w:val="20"/>
          <w:color w:val="auto"/>
        </w:rPr>
      </w:pPr>
    </w:p>
    <w:p>
      <w:pPr>
        <w:sectPr>
          <w:pgSz w:w="11900" w:h="16838" w:orient="portrait"/>
          <w:cols w:equalWidth="0" w:num="2">
            <w:col w:w="2220" w:space="220"/>
            <w:col w:w="8820"/>
          </w:cols>
          <w:pgMar w:left="320" w:top="122" w:right="319" w:bottom="1440" w:gutter="0" w:footer="0" w:header="0"/>
          <w:type w:val="continuous"/>
        </w:sectPr>
      </w:pPr>
    </w:p>
    <w:p>
      <w:pPr>
        <w:jc w:val="both"/>
        <w:ind w:left="20" w:right="40"/>
        <w:spacing w:after="0" w:line="225" w:lineRule="auto"/>
        <w:rPr>
          <w:sz w:val="20"/>
          <w:szCs w:val="20"/>
          <w:color w:val="auto"/>
        </w:rPr>
      </w:pPr>
      <w:r>
        <w:rPr>
          <w:rFonts w:ascii="Times New Roman" w:cs="Times New Roman" w:eastAsia="Times New Roman" w:hAnsi="Times New Roman"/>
          <w:sz w:val="22"/>
          <w:szCs w:val="22"/>
          <w:color w:val="auto"/>
        </w:rPr>
        <w:t>By your signature and the Company’s signature below, you and the Company agree that this Award is granted under and governed by the terms and conditions of the Company’s Award Plan as amended and the Award Agreement, all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tabs>
          <w:tab w:leader="none" w:pos="6640" w:val="left"/>
        </w:tabs>
        <w:rPr>
          <w:sz w:val="20"/>
          <w:szCs w:val="20"/>
          <w:color w:val="auto"/>
        </w:rPr>
      </w:pPr>
      <w:r>
        <w:rPr>
          <w:rFonts w:ascii="Times New Roman" w:cs="Times New Roman" w:eastAsia="Times New Roman" w:hAnsi="Times New Roman"/>
          <w:sz w:val="22"/>
          <w:szCs w:val="22"/>
          <w:color w:val="auto"/>
        </w:rPr>
        <w:t>Integra LifeSciences Holdings Corporation</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22"/>
          <w:szCs w:val="22"/>
          <w:b w:val="1"/>
          <w:bCs w:val="1"/>
          <w:color w:val="auto"/>
        </w:rPr>
        <w:t>INTEGRA LIFESCIENCES HOLDINGS CORPORATION CONTRACT STOCK / RESTRICTED UNITS AGREEMENT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2003 EQUITY INCENTIVE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540" w:firstLine="648"/>
        <w:spacing w:after="0" w:line="275" w:lineRule="auto"/>
        <w:rPr>
          <w:sz w:val="20"/>
          <w:szCs w:val="20"/>
          <w:color w:val="auto"/>
        </w:rPr>
      </w:pPr>
      <w:r>
        <w:rPr>
          <w:rFonts w:ascii="Times New Roman" w:cs="Times New Roman" w:eastAsia="Times New Roman" w:hAnsi="Times New Roman"/>
          <w:sz w:val="22"/>
          <w:szCs w:val="22"/>
          <w:color w:val="auto"/>
        </w:rPr>
        <w:t xml:space="preserve">CONTRACT STOCK / RESTRICTED UNITS AGREEMENT, dated as of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by and between Integra LifeSciences Holdings Corporation,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right="260" w:firstLine="648"/>
        <w:spacing w:after="0" w:line="295" w:lineRule="auto"/>
        <w:rPr>
          <w:sz w:val="20"/>
          <w:szCs w:val="20"/>
          <w:color w:val="auto"/>
        </w:rPr>
      </w:pPr>
      <w:r>
        <w:rPr>
          <w:rFonts w:ascii="Times New Roman" w:cs="Times New Roman" w:eastAsia="Times New Roman" w:hAnsi="Times New Roman"/>
          <w:sz w:val="21"/>
          <w:szCs w:val="21"/>
          <w:color w:val="auto"/>
        </w:rPr>
        <w:t>WHEREAS, the Company maintains the Integra LifeSciences Holdings Corporation Fifth Amended and Restated 2003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terms of which are hereby incorporated by reference and made part of this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Plan provides for the award of Contract Stock on the terms and conditions set forth therein; and</w:t>
      </w:r>
    </w:p>
    <w:p>
      <w:pPr>
        <w:spacing w:after="0" w:line="220"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WHEREAS, the Committee has determined that, as an inducement to the Executive to enter into or remain in the service of the Company, it would be to the advantage and in the best interest of the Company and its stockholders to grant to Executive an aggregate of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xml:space="preserve"> shares of Contract Stock under the Plan in the form of restricted units (the “</w:t>
      </w:r>
      <w:r>
        <w:rPr>
          <w:rFonts w:ascii="Times New Roman" w:cs="Times New Roman" w:eastAsia="Times New Roman" w:hAnsi="Times New Roman"/>
          <w:sz w:val="22"/>
          <w:szCs w:val="22"/>
          <w:u w:val="single" w:color="auto"/>
          <w:color w:val="auto"/>
        </w:rPr>
        <w:t>Units</w:t>
      </w:r>
      <w:r>
        <w:rPr>
          <w:rFonts w:ascii="Times New Roman" w:cs="Times New Roman" w:eastAsia="Times New Roman" w:hAnsi="Times New Roman"/>
          <w:sz w:val="22"/>
          <w:szCs w:val="22"/>
          <w:color w:val="auto"/>
        </w:rPr>
        <w:t>”), representing the right to receive an equal number of shares of common stock of the Company, par value $.01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on the terms and conditions set forth herein.</w:t>
      </w:r>
    </w:p>
    <w:p>
      <w:pPr>
        <w:spacing w:after="0" w:line="194" w:lineRule="exact"/>
        <w:rPr>
          <w:sz w:val="20"/>
          <w:szCs w:val="20"/>
          <w:color w:val="auto"/>
        </w:rPr>
      </w:pPr>
    </w:p>
    <w:p>
      <w:pPr>
        <w:ind w:right="400"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mutual covenants hereinafter set forth and for other good and valuable consideration the legal sufficiency of which is hereby acknowledged, the parties hereto, intending to be legally bound hereby, agree as follows:</w:t>
      </w:r>
    </w:p>
    <w:p>
      <w:pPr>
        <w:spacing w:after="0" w:line="173" w:lineRule="exact"/>
        <w:rPr>
          <w:sz w:val="20"/>
          <w:szCs w:val="20"/>
          <w:color w:val="auto"/>
        </w:rPr>
      </w:pPr>
    </w:p>
    <w:p>
      <w:pPr>
        <w:ind w:right="740" w:firstLine="656"/>
        <w:spacing w:after="0" w:line="271" w:lineRule="auto"/>
        <w:tabs>
          <w:tab w:leader="none" w:pos="86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not otherwise defined herein shall have the meanings set forth in the Plan, unless otherwise indicated.</w:t>
      </w:r>
    </w:p>
    <w:p>
      <w:pPr>
        <w:spacing w:after="0" w:line="167" w:lineRule="exact"/>
        <w:rPr>
          <w:rFonts w:ascii="Times New Roman" w:cs="Times New Roman" w:eastAsia="Times New Roman" w:hAnsi="Times New Roman"/>
          <w:sz w:val="22"/>
          <w:szCs w:val="22"/>
          <w:color w:val="auto"/>
        </w:rPr>
      </w:pPr>
    </w:p>
    <w:p>
      <w:pPr>
        <w:ind w:right="80" w:firstLine="656"/>
        <w:spacing w:after="0" w:line="259" w:lineRule="auto"/>
        <w:tabs>
          <w:tab w:leader="none" w:pos="86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Units</w:t>
      </w:r>
      <w:r>
        <w:rPr>
          <w:rFonts w:ascii="Times New Roman" w:cs="Times New Roman" w:eastAsia="Times New Roman" w:hAnsi="Times New Roman"/>
          <w:sz w:val="22"/>
          <w:szCs w:val="22"/>
          <w:color w:val="auto"/>
        </w:rPr>
        <w:t xml:space="preserve">. Executive is hereby granted, as of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xml:space="preserve">”), deferred compensation in the form of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xml:space="preserve"> Units pursuant to the terms of this Agreement and the Plan. The Executive’s right to receive the shares of Common Stock underlying the Units shall be subject to forfeiture as provided in Section 4 of this Agreement.</w:t>
      </w:r>
    </w:p>
    <w:p>
      <w:pPr>
        <w:spacing w:after="0" w:line="170"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20" w:hanging="448"/>
        <w:spacing w:after="0"/>
        <w:tabs>
          <w:tab w:leader="none" w:pos="132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paragraph (b) and Section 4 below, the Units shall vest in cumulative installments as follows:</w:t>
      </w:r>
    </w:p>
    <w:p>
      <w:pPr>
        <w:spacing w:after="0" w:line="22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of the Units shall vest on the</w:t>
      </w:r>
      <w:r>
        <w:rPr>
          <w:rFonts w:ascii="Times New Roman" w:cs="Times New Roman" w:eastAsia="Times New Roman" w:hAnsi="Times New Roman"/>
          <w:sz w:val="22"/>
          <w:szCs w:val="22"/>
          <w:b w:val="1"/>
          <w:bCs w:val="1"/>
          <w:color w:val="auto"/>
        </w:rPr>
        <w:t xml:space="preserve"> [ ] </w:t>
      </w:r>
      <w:r>
        <w:rPr>
          <w:rFonts w:ascii="Times New Roman" w:cs="Times New Roman" w:eastAsia="Times New Roman" w:hAnsi="Times New Roman"/>
          <w:sz w:val="22"/>
          <w:szCs w:val="22"/>
          <w:color w:val="auto"/>
        </w:rPr>
        <w:t>anniversary of the Grant Date;</w:t>
      </w:r>
    </w:p>
    <w:p>
      <w:pPr>
        <w:spacing w:after="0" w:line="21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of the Units shall vest on the</w:t>
      </w:r>
      <w:r>
        <w:rPr>
          <w:rFonts w:ascii="Times New Roman" w:cs="Times New Roman" w:eastAsia="Times New Roman" w:hAnsi="Times New Roman"/>
          <w:sz w:val="22"/>
          <w:szCs w:val="22"/>
          <w:b w:val="1"/>
          <w:bCs w:val="1"/>
          <w:color w:val="auto"/>
        </w:rPr>
        <w:t xml:space="preserve"> [ ] </w:t>
      </w:r>
      <w:r>
        <w:rPr>
          <w:rFonts w:ascii="Times New Roman" w:cs="Times New Roman" w:eastAsia="Times New Roman" w:hAnsi="Times New Roman"/>
          <w:sz w:val="22"/>
          <w:szCs w:val="22"/>
          <w:color w:val="auto"/>
        </w:rPr>
        <w:t>anniversary of the Grant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500" w:hanging="548"/>
        <w:spacing w:after="0"/>
        <w:tabs>
          <w:tab w:leader="none" w:pos="2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of the Units shall vest on the</w:t>
      </w:r>
      <w:r>
        <w:rPr>
          <w:rFonts w:ascii="Times New Roman" w:cs="Times New Roman" w:eastAsia="Times New Roman" w:hAnsi="Times New Roman"/>
          <w:sz w:val="22"/>
          <w:szCs w:val="22"/>
          <w:b w:val="1"/>
          <w:bCs w:val="1"/>
          <w:color w:val="auto"/>
        </w:rPr>
        <w:t xml:space="preserve"> [ ] </w:t>
      </w:r>
      <w:r>
        <w:rPr>
          <w:rFonts w:ascii="Times New Roman" w:cs="Times New Roman" w:eastAsia="Times New Roman" w:hAnsi="Times New Roman"/>
          <w:sz w:val="22"/>
          <w:szCs w:val="22"/>
          <w:color w:val="auto"/>
        </w:rPr>
        <w:t>anniversary of the Grant Date;</w:t>
      </w:r>
    </w:p>
    <w:p>
      <w:pPr>
        <w:spacing w:after="0" w:line="223"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hundred percent (100%) of the then outstanding Units shall vest in the event that:</w:t>
      </w:r>
    </w:p>
    <w:p>
      <w:pPr>
        <w:spacing w:after="0" w:line="219" w:lineRule="exact"/>
        <w:rPr>
          <w:rFonts w:ascii="Times New Roman" w:cs="Times New Roman" w:eastAsia="Times New Roman" w:hAnsi="Times New Roman"/>
          <w:sz w:val="22"/>
          <w:szCs w:val="22"/>
          <w:color w:val="auto"/>
        </w:rPr>
      </w:pPr>
    </w:p>
    <w:p>
      <w:pPr>
        <w:ind w:left="1300" w:right="760" w:firstLine="652"/>
        <w:spacing w:after="0" w:line="284" w:lineRule="auto"/>
        <w:tabs>
          <w:tab w:leader="none" w:pos="2368"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incurs a Termination of Service (as defined below) (1) by reason of the Executive’s “Disability” (as defined in the Plan), or (2) by reason of the Executive’s death;</w:t>
      </w:r>
    </w:p>
    <w:p>
      <w:pPr>
        <w:spacing w:after="0" w:line="144" w:lineRule="exact"/>
        <w:rPr>
          <w:sz w:val="20"/>
          <w:szCs w:val="20"/>
          <w:color w:val="auto"/>
        </w:rPr>
      </w:pPr>
    </w:p>
    <w:p>
      <w:pPr>
        <w:ind w:left="1300" w:right="140" w:firstLine="652"/>
        <w:spacing w:after="0" w:line="271" w:lineRule="auto"/>
        <w:tabs>
          <w:tab w:leader="none" w:pos="2428"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occurs, and the Executive incurs a Qualifying Termination on or within twenty-four (24) months following the date of such Change in Control.</w:t>
      </w:r>
    </w:p>
    <w:p>
      <w:pPr>
        <w:spacing w:after="0" w:line="157" w:lineRule="exact"/>
        <w:rPr>
          <w:rFonts w:ascii="Times New Roman" w:cs="Times New Roman" w:eastAsia="Times New Roman" w:hAnsi="Times New Roman"/>
          <w:sz w:val="22"/>
          <w:szCs w:val="22"/>
          <w:color w:val="auto"/>
        </w:rPr>
      </w:pPr>
    </w:p>
    <w:p>
      <w:pPr>
        <w:ind w:right="560" w:firstLine="872"/>
        <w:spacing w:after="0" w:line="271" w:lineRule="auto"/>
        <w:tabs>
          <w:tab w:leader="none" w:pos="132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Termination of Service by the Company without Cause or by the Executive for Good Reason.</w:t>
      </w:r>
    </w:p>
    <w:p>
      <w:pPr>
        <w:spacing w:after="0" w:line="171" w:lineRule="exact"/>
        <w:rPr>
          <w:rFonts w:ascii="Times New Roman" w:cs="Times New Roman" w:eastAsia="Times New Roman" w:hAnsi="Times New Roman"/>
          <w:sz w:val="22"/>
          <w:szCs w:val="22"/>
          <w:color w:val="auto"/>
        </w:rPr>
      </w:pPr>
    </w:p>
    <w:p>
      <w:pPr>
        <w:ind w:right="80" w:firstLine="872"/>
        <w:spacing w:after="0" w:line="248" w:lineRule="auto"/>
        <w:tabs>
          <w:tab w:leader="none" w:pos="133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shall mean the time when the Executive ceases to 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Executive is simultaneously reemployed by, or remains employed by, or continues to provide services to, the Company and/or one or more of its Related Corporations and Affiliates or a successor entity thereto.</w:t>
      </w:r>
    </w:p>
    <w:p>
      <w:pPr>
        <w:spacing w:after="0" w:line="200" w:lineRule="exact"/>
        <w:rPr>
          <w:rFonts w:ascii="Times New Roman" w:cs="Times New Roman" w:eastAsia="Times New Roman" w:hAnsi="Times New Roman"/>
          <w:sz w:val="22"/>
          <w:szCs w:val="22"/>
          <w:color w:val="auto"/>
        </w:rPr>
      </w:pPr>
    </w:p>
    <w:p>
      <w:pPr>
        <w:ind w:right="20" w:firstLine="656"/>
        <w:spacing w:after="0" w:line="251" w:lineRule="auto"/>
        <w:tabs>
          <w:tab w:leader="none" w:pos="86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Units</w:t>
      </w:r>
      <w:r>
        <w:rPr>
          <w:rFonts w:ascii="Times New Roman" w:cs="Times New Roman" w:eastAsia="Times New Roman" w:hAnsi="Times New Roman"/>
          <w:sz w:val="22"/>
          <w:szCs w:val="22"/>
          <w:color w:val="auto"/>
        </w:rPr>
        <w:t>. Immediately upon (i) if prior to a Change in Control or more than 24 months following a Change in Control, in either case, a Termination of Service for any reason other than the Executive’s death or Disability or (ii) if on or within 24 months following a Change in Control, a Termination of Service for any reason other than the Executive’s death, Disability or Qualifying Termination, the Executive shall forfeit any and all Units which have not vested or do not vest on or prior to such termination, and the Executive’s rights in any such Units which are not so vested shall terminate, lapse and expire (including the Executive’s right to receive the shares underlying such Units).</w:t>
      </w:r>
    </w:p>
    <w:p>
      <w:pPr>
        <w:spacing w:after="0" w:line="181" w:lineRule="exact"/>
        <w:rPr>
          <w:rFonts w:ascii="Times New Roman" w:cs="Times New Roman" w:eastAsia="Times New Roman" w:hAnsi="Times New Roman"/>
          <w:sz w:val="22"/>
          <w:szCs w:val="22"/>
          <w:color w:val="auto"/>
        </w:rPr>
      </w:pPr>
    </w:p>
    <w:p>
      <w:pPr>
        <w:ind w:right="20" w:firstLine="656"/>
        <w:spacing w:after="0" w:line="261" w:lineRule="auto"/>
        <w:tabs>
          <w:tab w:leader="none" w:pos="86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Executive shall be entitled to receive, with respect to all outstanding vested Units (as such Units may be adjusted under Section 9), dividend equivalent amounts equal to the regular quarterly cash dividend payable to holders of Common Stock (to the extent regular quarterly cash dividends are paid) as if Executive were an actual shareholder with respect to the number of shares of Common Stock equal to his outstanding vested Units. Such dividend equivalent amounts shall be aggregated on a quarterly basis while the Units are outstanding and paid to Executive within thirty (30) days following the first business day that occurs immediately following the 6-month period after the date of Executive’s “separation from service” from the Company (within the meaning of Section 409A(a)(2)(A)(i)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and its corresponding regulations) (a “</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For the avoidance of doubt, such dividend equivalent amounts shall only be paid with respect to Units that are vested as of the applicable dividend payment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8"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Executive shall not be entitled to receive any dividend equivalent amounts with respect to Units that are not vested as of such dividend payment date. The dividend equivalents and any amounts that may become payable in respect thereof shall be treated separately from the Units and the rights arising in connection therewith for purposes of the designation of time and form of payments required by Code Section 409A.</w:t>
      </w:r>
    </w:p>
    <w:p>
      <w:pPr>
        <w:spacing w:after="0" w:line="176" w:lineRule="exact"/>
        <w:rPr>
          <w:sz w:val="20"/>
          <w:szCs w:val="20"/>
          <w:color w:val="auto"/>
        </w:rPr>
      </w:pPr>
    </w:p>
    <w:p>
      <w:pPr>
        <w:ind w:left="880" w:hanging="224"/>
        <w:spacing w:after="0"/>
        <w:tabs>
          <w:tab w:leader="none" w:pos="8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100" w:firstLine="872"/>
        <w:spacing w:after="0" w:line="257" w:lineRule="auto"/>
        <w:tabs>
          <w:tab w:leader="none" w:pos="131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Common Stock underlying Units which are then vested under Section 3 shall be paid out to Executive within thirty (30) days following the first business day that occurs immediately following the 6-month period after the date of Executive’s Separation from Service.</w:t>
      </w:r>
    </w:p>
    <w:p>
      <w:pPr>
        <w:spacing w:after="0" w:line="186" w:lineRule="exact"/>
        <w:rPr>
          <w:rFonts w:ascii="Times New Roman" w:cs="Times New Roman" w:eastAsia="Times New Roman" w:hAnsi="Times New Roman"/>
          <w:sz w:val="22"/>
          <w:szCs w:val="22"/>
          <w:color w:val="auto"/>
        </w:rPr>
      </w:pPr>
    </w:p>
    <w:p>
      <w:pPr>
        <w:ind w:right="40" w:firstLine="1304"/>
        <w:spacing w:after="0" w:line="252" w:lineRule="auto"/>
        <w:tabs>
          <w:tab w:leader="none" w:pos="1752"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of shares of Common Stock underlying Units (“</w:t>
      </w:r>
      <w:r>
        <w:rPr>
          <w:rFonts w:ascii="Times New Roman" w:cs="Times New Roman" w:eastAsia="Times New Roman" w:hAnsi="Times New Roman"/>
          <w:sz w:val="22"/>
          <w:szCs w:val="22"/>
          <w:u w:val="single" w:color="auto"/>
          <w:color w:val="auto"/>
        </w:rPr>
        <w:t>Unit Shares</w:t>
      </w:r>
      <w:r>
        <w:rPr>
          <w:rFonts w:ascii="Times New Roman" w:cs="Times New Roman" w:eastAsia="Times New Roman" w:hAnsi="Times New Roman"/>
          <w:sz w:val="22"/>
          <w:szCs w:val="22"/>
          <w:color w:val="auto"/>
        </w:rPr>
        <w:t>”) shall be made by the Company in the form of whole shares of Common Stock, and any fractional share shall be distributed in cash in an amount equal to the value of such fractional share determined based on the Fair Market Value (as defined in the Plan) as of the date immediately prior to such distribution.</w:t>
      </w:r>
    </w:p>
    <w:p>
      <w:pPr>
        <w:spacing w:after="0" w:line="179" w:lineRule="exact"/>
        <w:rPr>
          <w:sz w:val="20"/>
          <w:szCs w:val="20"/>
          <w:color w:val="auto"/>
        </w:rPr>
      </w:pPr>
    </w:p>
    <w:p>
      <w:pPr>
        <w:ind w:right="100" w:firstLine="872"/>
        <w:spacing w:after="0" w:line="253" w:lineRule="auto"/>
        <w:tabs>
          <w:tab w:leader="none" w:pos="133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Executive shall not be deemed to be a holder of any Common Stock pursuant to a Unit until the date of the issuance of a certificate to him for such shares and, except as otherwise provided in this Agreement, Executive shall not have any rights to dividends or any other rights of a shareholder with respect to the shares of Common Stock covered by a Unit until such shares of Common Stock have been issued to him, which issuance shall not be unreasonably delayed.</w:t>
      </w:r>
    </w:p>
    <w:p>
      <w:pPr>
        <w:spacing w:after="0" w:line="178" w:lineRule="exact"/>
        <w:rPr>
          <w:rFonts w:ascii="Times New Roman" w:cs="Times New Roman" w:eastAsia="Times New Roman" w:hAnsi="Times New Roman"/>
          <w:sz w:val="22"/>
          <w:szCs w:val="22"/>
          <w:color w:val="auto"/>
        </w:rPr>
      </w:pPr>
    </w:p>
    <w:p>
      <w:pPr>
        <w:ind w:right="160" w:firstLine="872"/>
        <w:spacing w:after="0" w:line="250" w:lineRule="auto"/>
        <w:tabs>
          <w:tab w:leader="none" w:pos="131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entitled to withhold in cash, shares or deduction from other compensation payable to the Executive any sums required by federal, state or local tax law to be withheld with respect to the grant, vesting, distribution or payment of the Units or the Unit Shares. In satisfaction of the foregoing requirement with respect to the grant, vesting, distribution or payment of the Units or Unit Shares, to the extent permitted by Section 409A of the Code, including Treas. Reg. Section 1.409A-3(j)(4)(vi), the Company shall withhold shares of Common Stock otherwise issuable upon payment of the Units having a Fair Market Value equal to the sums required to be withheld. In the event that the number of shares of Common Stock having a Fair Market Value equal to the sums required to be withheld is not a whole number of shares, the number of shares so withheld shall be rounded up to the nearest whole share.</w:t>
      </w:r>
    </w:p>
    <w:p>
      <w:pPr>
        <w:spacing w:after="0" w:line="186" w:lineRule="exact"/>
        <w:rPr>
          <w:rFonts w:ascii="Times New Roman" w:cs="Times New Roman" w:eastAsia="Times New Roman" w:hAnsi="Times New Roman"/>
          <w:sz w:val="22"/>
          <w:szCs w:val="22"/>
          <w:color w:val="auto"/>
        </w:rPr>
      </w:pPr>
    </w:p>
    <w:p>
      <w:pPr>
        <w:ind w:right="220" w:firstLine="872"/>
        <w:spacing w:after="0" w:line="271"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right to receive payment of any amounts under this Agreement shall be an unfunded entitlement and shall be an unsecured claim against the general assets of the Company.</w:t>
      </w:r>
    </w:p>
    <w:p>
      <w:pPr>
        <w:spacing w:after="0" w:line="157" w:lineRule="exact"/>
        <w:rPr>
          <w:rFonts w:ascii="Times New Roman" w:cs="Times New Roman" w:eastAsia="Times New Roman" w:hAnsi="Times New Roman"/>
          <w:sz w:val="22"/>
          <w:szCs w:val="22"/>
          <w:color w:val="auto"/>
        </w:rPr>
      </w:pPr>
    </w:p>
    <w:p>
      <w:pPr>
        <w:ind w:right="120" w:firstLine="872"/>
        <w:spacing w:after="0" w:line="275" w:lineRule="auto"/>
        <w:tabs>
          <w:tab w:leader="none" w:pos="13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payment in accordance with this Section 6, the Unit Shares may not be sold, transferred or otherwise disposed of by Executive for a period of five days after receipt of such shares by Executive, except that no such restrictions shall apply in the case of a Change in Control or in the event that Unit Shares are sold or withheld in order to satisfy any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08"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Executive may have with respect to any applicable tax withholding requirements on vesting or receipt of Unit Shares (including, without limitation, pursuant to Section 6(e) above).</w:t>
      </w:r>
    </w:p>
    <w:p>
      <w:pPr>
        <w:spacing w:after="0" w:line="158" w:lineRule="exact"/>
        <w:rPr>
          <w:sz w:val="20"/>
          <w:szCs w:val="20"/>
          <w:color w:val="auto"/>
        </w:rPr>
      </w:pPr>
    </w:p>
    <w:p>
      <w:pPr>
        <w:ind w:right="20" w:firstLine="656"/>
        <w:spacing w:after="0" w:line="251" w:lineRule="auto"/>
        <w:tabs>
          <w:tab w:leader="none" w:pos="86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Notwithstanding anything contained in the Plan or this Agreement to the contrary, the Units and shares of Common Stock represented by the Units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Units and shares of Common Stock under the Plan.</w:t>
      </w:r>
    </w:p>
    <w:p>
      <w:pPr>
        <w:spacing w:after="0" w:line="194" w:lineRule="exact"/>
        <w:rPr>
          <w:rFonts w:ascii="Times New Roman" w:cs="Times New Roman" w:eastAsia="Times New Roman" w:hAnsi="Times New Roman"/>
          <w:sz w:val="22"/>
          <w:szCs w:val="22"/>
          <w:color w:val="auto"/>
        </w:rPr>
      </w:pPr>
    </w:p>
    <w:p>
      <w:pPr>
        <w:ind w:right="20" w:firstLine="656"/>
        <w:spacing w:after="0" w:line="250" w:lineRule="auto"/>
        <w:tabs>
          <w:tab w:leader="none" w:pos="86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The Company represents and warrants that this Agreement has been authorized by all necessary action of the Company, has been approved by the Board and is a valid and binding agreement of the Company enforceable against it in accordance with its terms and that the Unit Shares will be issued pursuant to and in accordance with the Plan, will be listed with NASDAQ or the principal United States securities exchange on which the Common Stock is admitted to trading, and will be validly issued, fully paid and non-assessable shares. The Company further represents and warrants that the grant of Units under this Agreement has been approved by the Company’s Compensation Committee, that the Plan has and will have sufficient shares available to effect the distribution of the Unit Shares.</w:t>
      </w:r>
    </w:p>
    <w:p>
      <w:pPr>
        <w:spacing w:after="0" w:line="180" w:lineRule="exact"/>
        <w:rPr>
          <w:rFonts w:ascii="Times New Roman" w:cs="Times New Roman" w:eastAsia="Times New Roman" w:hAnsi="Times New Roman"/>
          <w:sz w:val="22"/>
          <w:szCs w:val="22"/>
          <w:color w:val="auto"/>
        </w:rPr>
      </w:pPr>
    </w:p>
    <w:p>
      <w:pPr>
        <w:ind w:right="160" w:firstLine="656"/>
        <w:spacing w:after="0" w:line="271" w:lineRule="auto"/>
        <w:tabs>
          <w:tab w:leader="none" w:pos="86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Employment</w:t>
      </w:r>
      <w:r>
        <w:rPr>
          <w:rFonts w:ascii="Times New Roman" w:cs="Times New Roman" w:eastAsia="Times New Roman" w:hAnsi="Times New Roman"/>
          <w:sz w:val="22"/>
          <w:szCs w:val="22"/>
          <w:color w:val="auto"/>
        </w:rPr>
        <w:t>. Nothing in this Agreement shall confer upon Executive the right to remain in employ of the Company or any subsidiary of the Company.</w:t>
      </w:r>
    </w:p>
    <w:p>
      <w:pPr>
        <w:spacing w:after="0" w:line="157" w:lineRule="exact"/>
        <w:rPr>
          <w:rFonts w:ascii="Times New Roman" w:cs="Times New Roman" w:eastAsia="Times New Roman" w:hAnsi="Times New Roman"/>
          <w:sz w:val="22"/>
          <w:szCs w:val="22"/>
          <w:color w:val="auto"/>
        </w:rPr>
      </w:pPr>
    </w:p>
    <w:p>
      <w:pPr>
        <w:ind w:firstLine="656"/>
        <w:spacing w:after="0" w:line="250" w:lineRule="auto"/>
        <w:tabs>
          <w:tab w:leader="none" w:pos="97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This Agreement shall not be assignable or transferable by the Company (other than to successors of the Company) and this Agreement and the Units shall not be assignable or transferable by the Executive otherwise than by will or by the laws of descent and distribution, and the Units may be paid out during the lifetime of the Executive only to him. More particularly, but without limiting the generality of the foregoing, the Units may not be assigned, transferred (except as provided in the preceding sentence), pledged, or hypothecated in any way (whether by operation of law or otherwise), and shall not be subject to execution, attachment or similar process. Any attempted assignment, transfer, pledge, hypothecation or other disposition of the Units contrary to the provisions of this Agreement, and any levy of any attachment or similar process upon the Units, shall be null and void and without effect.</w:t>
      </w:r>
    </w:p>
    <w:p>
      <w:pPr>
        <w:spacing w:after="0" w:line="186" w:lineRule="exact"/>
        <w:rPr>
          <w:rFonts w:ascii="Times New Roman" w:cs="Times New Roman" w:eastAsia="Times New Roman" w:hAnsi="Times New Roman"/>
          <w:sz w:val="22"/>
          <w:szCs w:val="22"/>
          <w:color w:val="auto"/>
        </w:rPr>
      </w:pPr>
    </w:p>
    <w:p>
      <w:pPr>
        <w:ind w:right="20" w:firstLine="656"/>
        <w:spacing w:after="0" w:line="250" w:lineRule="auto"/>
        <w:tabs>
          <w:tab w:leader="none" w:pos="96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all the understandings between the parties hereto pertaining to the matters referred to herein, and supersedes all undertakings and agreements, whether oral or in writing, previously entered into by them with respect thereto. The Executive represents that, in executing this Agreement, he does not rely and has not relied upon any representation or statement not set forth herein made by the Company with regard to the subject matter, basis or effect of this Agreement or otherwise.</w:t>
      </w:r>
    </w:p>
    <w:p>
      <w:pPr>
        <w:spacing w:after="0" w:line="194" w:lineRule="exact"/>
        <w:rPr>
          <w:rFonts w:ascii="Times New Roman" w:cs="Times New Roman" w:eastAsia="Times New Roman" w:hAnsi="Times New Roman"/>
          <w:sz w:val="22"/>
          <w:szCs w:val="22"/>
          <w:color w:val="auto"/>
        </w:rPr>
      </w:pPr>
    </w:p>
    <w:p>
      <w:pPr>
        <w:ind w:right="280" w:firstLine="656"/>
        <w:spacing w:after="0" w:line="257" w:lineRule="auto"/>
        <w:tabs>
          <w:tab w:leader="none" w:pos="97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Modification; Waiver</w:t>
      </w:r>
      <w:r>
        <w:rPr>
          <w:rFonts w:ascii="Times New Roman" w:cs="Times New Roman" w:eastAsia="Times New Roman" w:hAnsi="Times New Roman"/>
          <w:sz w:val="22"/>
          <w:szCs w:val="22"/>
          <w:color w:val="auto"/>
        </w:rPr>
        <w:t>. No provision of this Agreement may be amended, modified or waived unless such amendment or modification is agreed to in writing, signed by the Executive and by a duly authorized officer of the Company, and such waiver is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08"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22"/>
          <w:szCs w:val="22"/>
          <w:color w:val="auto"/>
        </w:rPr>
        <w:t>forth in writing and signed by the party to be charged.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186" w:lineRule="exact"/>
        <w:rPr>
          <w:sz w:val="20"/>
          <w:szCs w:val="20"/>
          <w:color w:val="auto"/>
        </w:rPr>
      </w:pPr>
    </w:p>
    <w:p>
      <w:pPr>
        <w:ind w:right="260" w:firstLine="656"/>
        <w:spacing w:after="0" w:line="252" w:lineRule="auto"/>
        <w:tabs>
          <w:tab w:leader="none" w:pos="97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to be given hereunder shall be in writing and shall be deemed given when delivered personally, sent by courier or telecopy or registered or certified mail, postage prepaid, return receipt requested, addressed to the party concerned at the address indicated below or to such other address as such party may subsequently give notice of hereunder in writing:</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To the Executive</w:t>
      </w:r>
      <w:r>
        <w:rPr>
          <w:rFonts w:ascii="Times New Roman" w:cs="Times New Roman" w:eastAsia="Times New Roman" w:hAnsi="Times New Roman"/>
          <w:sz w:val="22"/>
          <w:szCs w:val="22"/>
          <w:color w:val="auto"/>
        </w:rPr>
        <w:t>: at Executive’s most recent address on the records of the Company</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To the Company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Integra LifeSciences Holdings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1100 Campus Road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Princeton NJ 08540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Chairman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Facsimile: 609-275-9006</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 the Company’s General Counsel)</w:t>
      </w:r>
    </w:p>
    <w:p>
      <w:pPr>
        <w:spacing w:after="0" w:line="20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Any notice delivered personally or by courier under this Section 13 shall be deemed given on the date delivered and any notice sent by telecopy or registered or certified mail, postage prepaid, return receipt requested, shall be deemed given on the date telecopied or mailed.</w:t>
      </w:r>
    </w:p>
    <w:p>
      <w:pPr>
        <w:spacing w:after="0" w:line="173" w:lineRule="exact"/>
        <w:rPr>
          <w:sz w:val="20"/>
          <w:szCs w:val="20"/>
          <w:color w:val="auto"/>
        </w:rPr>
      </w:pPr>
    </w:p>
    <w:p>
      <w:pPr>
        <w:ind w:right="40" w:firstLine="656"/>
        <w:spacing w:after="0" w:line="253" w:lineRule="auto"/>
        <w:tabs>
          <w:tab w:leader="none" w:pos="97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178" w:lineRule="exact"/>
        <w:rPr>
          <w:rFonts w:ascii="Times New Roman" w:cs="Times New Roman" w:eastAsia="Times New Roman" w:hAnsi="Times New Roman"/>
          <w:sz w:val="22"/>
          <w:szCs w:val="22"/>
          <w:color w:val="auto"/>
        </w:rPr>
      </w:pPr>
    </w:p>
    <w:p>
      <w:pPr>
        <w:ind w:right="40" w:firstLine="656"/>
        <w:spacing w:after="0" w:line="263" w:lineRule="auto"/>
        <w:tabs>
          <w:tab w:leader="none" w:pos="97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Noncontravention</w:t>
      </w:r>
      <w:r>
        <w:rPr>
          <w:rFonts w:ascii="Times New Roman" w:cs="Times New Roman" w:eastAsia="Times New Roman" w:hAnsi="Times New Roman"/>
          <w:sz w:val="22"/>
          <w:szCs w:val="22"/>
          <w:color w:val="auto"/>
        </w:rPr>
        <w:t>. The Company represents that the Company is not prevented from entering into, or performing, this Agreement by the terms of any law, order, rule or regulation, its certificate of incorporation or by-laws, or any agreement to which it is a party.</w:t>
      </w:r>
    </w:p>
    <w:p>
      <w:pPr>
        <w:spacing w:after="0" w:line="167" w:lineRule="exact"/>
        <w:rPr>
          <w:rFonts w:ascii="Times New Roman" w:cs="Times New Roman" w:eastAsia="Times New Roman" w:hAnsi="Times New Roman"/>
          <w:sz w:val="22"/>
          <w:szCs w:val="22"/>
          <w:color w:val="auto"/>
        </w:rPr>
      </w:pPr>
    </w:p>
    <w:p>
      <w:pPr>
        <w:jc w:val="both"/>
        <w:ind w:right="580" w:firstLine="656"/>
        <w:spacing w:after="0" w:line="295" w:lineRule="auto"/>
        <w:tabs>
          <w:tab w:leader="none" w:pos="97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Survivorship</w:t>
      </w:r>
      <w:r>
        <w:rPr>
          <w:rFonts w:ascii="Times New Roman" w:cs="Times New Roman" w:eastAsia="Times New Roman" w:hAnsi="Times New Roman"/>
          <w:sz w:val="21"/>
          <w:szCs w:val="21"/>
          <w:color w:val="auto"/>
        </w:rPr>
        <w:t>. The respective rights and obligations of the parties hereunder shall survive any termination of this Agreement or Executive’s employment to the extent necessary for the intended preservation of such rights and obligations.</w:t>
      </w:r>
    </w:p>
    <w:p>
      <w:pPr>
        <w:spacing w:after="0" w:line="135" w:lineRule="exact"/>
        <w:rPr>
          <w:rFonts w:ascii="Times New Roman" w:cs="Times New Roman" w:eastAsia="Times New Roman" w:hAnsi="Times New Roman"/>
          <w:sz w:val="21"/>
          <w:szCs w:val="21"/>
          <w:color w:val="auto"/>
        </w:rPr>
      </w:pPr>
    </w:p>
    <w:p>
      <w:pPr>
        <w:ind w:right="420" w:firstLine="656"/>
        <w:spacing w:after="0" w:line="271" w:lineRule="auto"/>
        <w:tabs>
          <w:tab w:leader="none" w:pos="97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shall inure to the benefit of and be binding upon each successor of the Company, and upon the Executive’s beneficiaries, legal representatives or estate,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08"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firstLine="656"/>
        <w:spacing w:after="0" w:line="256" w:lineRule="auto"/>
        <w:tabs>
          <w:tab w:leader="none" w:pos="97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Except as would be in conflict with any specific provision herein, this Agreement is made under and subject to the provisions of the Plan as in effect on the Grant Date and, except as would conflict with the provisions of this Agreement, all of the provisions of the Plan as in effect on the Grant Date are hereby incorporated herein as provisions of this Agreement. In the event of any such conflict, the terms of this Agreement shall govern.</w:t>
      </w:r>
    </w:p>
    <w:p>
      <w:pPr>
        <w:spacing w:after="0" w:line="176" w:lineRule="exact"/>
        <w:rPr>
          <w:rFonts w:ascii="Times New Roman" w:cs="Times New Roman" w:eastAsia="Times New Roman" w:hAnsi="Times New Roman"/>
          <w:sz w:val="22"/>
          <w:szCs w:val="22"/>
          <w:color w:val="auto"/>
        </w:rPr>
      </w:pPr>
    </w:p>
    <w:p>
      <w:pPr>
        <w:ind w:right="700" w:firstLine="656"/>
        <w:spacing w:after="0" w:line="271" w:lineRule="auto"/>
        <w:tabs>
          <w:tab w:leader="none" w:pos="97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and construed in accordance with the laws of the State of Delaware, without regard to its conflicts of laws principles.</w:t>
      </w:r>
    </w:p>
    <w:p>
      <w:pPr>
        <w:spacing w:after="0" w:line="157" w:lineRule="exact"/>
        <w:rPr>
          <w:rFonts w:ascii="Times New Roman" w:cs="Times New Roman" w:eastAsia="Times New Roman" w:hAnsi="Times New Roman"/>
          <w:sz w:val="22"/>
          <w:szCs w:val="22"/>
          <w:color w:val="auto"/>
        </w:rPr>
      </w:pPr>
    </w:p>
    <w:p>
      <w:pPr>
        <w:ind w:right="440" w:firstLine="656"/>
        <w:spacing w:after="0" w:line="271" w:lineRule="auto"/>
        <w:tabs>
          <w:tab w:leader="none" w:pos="97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All descriptive headings of sections and paragraphs in this Agreement are for convenience of reference only, and they form no part of this Agreement and shall not affect its interpretation.</w:t>
      </w:r>
    </w:p>
    <w:p>
      <w:pPr>
        <w:spacing w:after="0" w:line="171" w:lineRule="exact"/>
        <w:rPr>
          <w:rFonts w:ascii="Times New Roman" w:cs="Times New Roman" w:eastAsia="Times New Roman" w:hAnsi="Times New Roman"/>
          <w:sz w:val="22"/>
          <w:szCs w:val="22"/>
          <w:color w:val="auto"/>
        </w:rPr>
      </w:pPr>
    </w:p>
    <w:p>
      <w:pPr>
        <w:ind w:right="160" w:firstLine="656"/>
        <w:spacing w:after="0" w:line="271" w:lineRule="auto"/>
        <w:tabs>
          <w:tab w:leader="none" w:pos="97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shall constitute one and the same instrument.</w:t>
      </w:r>
    </w:p>
    <w:p>
      <w:pPr>
        <w:spacing w:after="0" w:line="157" w:lineRule="exact"/>
        <w:rPr>
          <w:rFonts w:ascii="Times New Roman" w:cs="Times New Roman" w:eastAsia="Times New Roman" w:hAnsi="Times New Roman"/>
          <w:sz w:val="22"/>
          <w:szCs w:val="22"/>
          <w:color w:val="auto"/>
        </w:rPr>
      </w:pPr>
    </w:p>
    <w:p>
      <w:pPr>
        <w:ind w:right="40" w:firstLine="656"/>
        <w:spacing w:after="0" w:line="248" w:lineRule="auto"/>
        <w:tabs>
          <w:tab w:leader="none" w:pos="97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This Agreement is intended to comply with the requirements of Section 409A of the Code and shall in all respects be administered and interpreted in accordance with Section 409A. Notwithstanding anything in the Agreement to the contrary, payment may only be made under the Agreement upon an event and in a manner permitted by Section 409A of the Code. If a payment is not made by the designated payment date under the Agreement, the payment shall be made by December 31 of the calendar year in which the designated date occurs. Any payment to be made upon a termination of employment under this Agreement may only be made upon a Separation from Service. To the extent that any provision of the Agreement would cause a conflict with the requirements of Section 409A of the Code or would cause the administration of the Agreement to fail to satisfy the requirements of Section 409A, such provision shall be deemed null and void to the extent permitted by applicable law.</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08"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Contract Stock / Restricted Units Agreement as of the date first above written.</w:t>
      </w:r>
    </w:p>
    <w:p>
      <w:pPr>
        <w:spacing w:after="0" w:line="39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By: ___________________________________</w:t>
      </w:r>
    </w:p>
    <w:p>
      <w:pPr>
        <w:spacing w:after="0" w:line="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580"/>
        <w:spacing w:after="0"/>
        <w:tabs>
          <w:tab w:leader="none" w:pos="4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708025</wp:posOffset>
            </wp:positionV>
            <wp:extent cx="2802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2802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Contract Stock / Restricted Units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8"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De Witte, certify that:</w:t>
      </w:r>
    </w:p>
    <w:p>
      <w:pPr>
        <w:spacing w:after="0" w:line="11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November 4, 2024</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 De Witte</w:t>
            </w:r>
          </w:p>
        </w:tc>
      </w:tr>
      <w:tr>
        <w:trPr>
          <w:trHeight w:val="216"/>
        </w:trPr>
        <w:tc>
          <w:tcPr>
            <w:tcW w:w="6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De Witte</w:t>
            </w:r>
          </w:p>
        </w:tc>
      </w:tr>
      <w:tr>
        <w:trPr>
          <w:trHeight w:val="236"/>
        </w:trPr>
        <w:tc>
          <w:tcPr>
            <w:tcW w:w="6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Lea Knight, certify that:</w:t>
      </w:r>
    </w:p>
    <w:p>
      <w:pPr>
        <w:spacing w:after="0" w:line="11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4, 2024</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Lea Knight</w:t>
            </w:r>
          </w:p>
        </w:tc>
      </w:tr>
      <w:tr>
        <w:trPr>
          <w:trHeight w:val="216"/>
        </w:trPr>
        <w:tc>
          <w:tcPr>
            <w:tcW w:w="6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 Knight</w:t>
            </w:r>
          </w:p>
        </w:tc>
      </w:tr>
      <w:tr>
        <w:trPr>
          <w:trHeight w:val="236"/>
        </w:trPr>
        <w:tc>
          <w:tcPr>
            <w:tcW w:w="6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Integra LifeSciences Holdings Corporation (the “Company”) on Form 10-Q for the quarter ended September 30, 2024 as filed with the Securities Exchange Commission on the date hereof (the “Report”), I, Jan De Witte, President and Chief Executive Officer of the Company, hereby certify, pursuant to 18 U.S.C. §1350, as adopted pursuant to §906 of the Sarbanes-Oxley Act of 2002, that to the best of my knowledge:</w:t>
      </w:r>
    </w:p>
    <w:p>
      <w:pPr>
        <w:spacing w:after="0" w:line="203"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4, 2024</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 De Witte</w:t>
            </w:r>
          </w:p>
        </w:tc>
      </w:tr>
      <w:tr>
        <w:trPr>
          <w:trHeight w:val="216"/>
        </w:trPr>
        <w:tc>
          <w:tcPr>
            <w:tcW w:w="5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De Witte</w:t>
            </w:r>
          </w:p>
        </w:tc>
      </w:tr>
      <w:tr>
        <w:trPr>
          <w:trHeight w:val="236"/>
        </w:trPr>
        <w:tc>
          <w:tcPr>
            <w:tcW w:w="5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Integra LifeSciences Holdings Corporation (the “Company”) on Form 10-Q for the quarter ended September 30, 2024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w:t>
      </w:r>
    </w:p>
    <w:p>
      <w:pPr>
        <w:spacing w:after="0" w:line="207" w:lineRule="exact"/>
        <w:rPr>
          <w:sz w:val="20"/>
          <w:szCs w:val="20"/>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4, 2024</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Lea Knight</w:t>
            </w:r>
          </w:p>
        </w:tc>
      </w:tr>
      <w:tr>
        <w:trPr>
          <w:trHeight w:val="216"/>
        </w:trPr>
        <w:tc>
          <w:tcPr>
            <w:tcW w:w="5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 Knight</w:t>
            </w:r>
          </w:p>
        </w:tc>
      </w:tr>
      <w:tr>
        <w:trPr>
          <w:trHeight w:val="236"/>
        </w:trPr>
        <w:tc>
          <w:tcPr>
            <w:tcW w:w="5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lowerRoman"/>
      <w:start w:val="1"/>
    </w:lvl>
    <w:lvl w:ilvl="1">
      <w:lvlJc w:val="left"/>
      <w:lvlText w:val="%2."/>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0"/>
    </w:lvl>
  </w:abstractNum>
  <w:abstractNum w:abstractNumId="9">
    <w:nsid w:val="436C6125"/>
    <w:multiLevelType w:val="hybridMultilevel"/>
    <w:lvl w:ilvl="0">
      <w:lvlJc w:val="left"/>
      <w:lvlText w:val="%1."/>
      <w:numFmt w:val="decimal"/>
      <w:start w:val="9"/>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
      <w:numFmt w:val="bullet"/>
      <w:start w:val="1"/>
    </w:lvl>
    <w:lvl w:ilvl="1">
      <w:lvlJc w:val="left"/>
      <w:lvlText w:val="%2"/>
      <w:numFmt w:val="decimal"/>
      <w:start w:val="104"/>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
    <w:nsid w:val="75A2A8D4"/>
    <w:multiLevelType w:val="hybridMultilevel"/>
    <w:lvl w:ilvl="0">
      <w:lvlJc w:val="left"/>
      <w:lvlText w:val="%1"/>
      <w:numFmt w:val="lowerLetter"/>
      <w:start w:val="1"/>
    </w:lvl>
    <w:lvl w:ilvl="1">
      <w:lvlJc w:val="left"/>
      <w:lvlText w:val="(%2)"/>
      <w:numFmt w:val="lowerLetter"/>
      <w:start w:val="61"/>
    </w:lvl>
  </w:abstractNum>
  <w:abstractNum w:abstractNumId="17">
    <w:nsid w:val="8EDBDAB"/>
    <w:multiLevelType w:val="hybridMultilevel"/>
    <w:lvl w:ilvl="0">
      <w:lvlJc w:val="left"/>
      <w:lvlText w:val="(%1)"/>
      <w:numFmt w:val="lowerLetter"/>
      <w:start w:val="2"/>
    </w:lvl>
    <w:lvl w:ilvl="1">
      <w:lvlJc w:val="left"/>
      <w:lvlText w:val="(%2)"/>
      <w:numFmt w:val="lowerLetter"/>
      <w:start w:val="9"/>
    </w:lvl>
  </w:abstractNum>
  <w:abstractNum w:abstractNumId="18">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9">
    <w:nsid w:val="4353D0C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0">
    <w:nsid w:val="B03E0C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1">
    <w:nsid w:val="189A769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abstractNum>
  <w:abstractNum w:abstractNumId="22">
    <w:nsid w:val="54E49EB4"/>
    <w:multiLevelType w:val="hybridMultilevel"/>
    <w:lvl w:ilvl="0">
      <w:lvlJc w:val="left"/>
      <w:lvlText w:val="(%1)"/>
      <w:numFmt w:val="lowerLetter"/>
      <w:start w:val="4"/>
    </w:lvl>
  </w:abstractNum>
  <w:abstractNum w:abstractNumId="23">
    <w:nsid w:val="71F32454"/>
    <w:multiLevelType w:val="hybridMultilevel"/>
    <w:lvl w:ilvl="0">
      <w:lvlJc w:val="left"/>
      <w:lvlText w:val="%1."/>
      <w:numFmt w:val="decimal"/>
      <w:start w:val="7"/>
    </w:lvl>
  </w:abstractNum>
  <w:abstractNum w:abstractNumId="24">
    <w:nsid w:val="2CA88611"/>
    <w:multiLevelType w:val="hybridMultilevel"/>
    <w:lvl w:ilvl="0">
      <w:lvlJc w:val="left"/>
      <w:lvlText w:val="%1."/>
      <w:numFmt w:val="decimal"/>
      <w:start w:val="13"/>
    </w:lvl>
  </w:abstractNum>
  <w:abstractNum w:abstractNumId="25">
    <w:nsid w:val="836C40E"/>
    <w:multiLevelType w:val="hybridMultilevel"/>
    <w:lvl w:ilvl="0">
      <w:lvlJc w:val="left"/>
      <w:lvlText w:val="%1."/>
      <w:numFmt w:val="decimal"/>
      <w:start w:val="14"/>
    </w:lvl>
  </w:abstractNum>
  <w:abstractNum w:abstractNumId="26">
    <w:nsid w:val="2901D82"/>
    <w:multiLevelType w:val="hybridMultilevel"/>
    <w:lvl w:ilvl="0">
      <w:lvlJc w:val="left"/>
      <w:lvlText w:val="%1."/>
      <w:numFmt w:val="decimal"/>
      <w:start w:val="18"/>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86" Type="http://schemas.openxmlformats.org/officeDocument/2006/relationships/hyperlink" Target="https://www.sec.gov/Archives/edgar/data/917520/000091752006000066/ex3-1aform10k031406.txt" TargetMode="External"/><Relationship Id="rId87" Type="http://schemas.openxmlformats.org/officeDocument/2006/relationships/hyperlink" Target="https://www.sec.gov/Archives/edgar/data/917520/0000889812-99-001063.txt" TargetMode="External"/><Relationship Id="rId88" Type="http://schemas.openxmlformats.org/officeDocument/2006/relationships/hyperlink" Target="https://www.sec.gov/Archives/edgar/data/917520/000095012305003217/y06769exv3w1wc.txt" TargetMode="External"/><Relationship Id="rId89" Type="http://schemas.openxmlformats.org/officeDocument/2006/relationships/hyperlink" Target="https://www.sec.gov/Archives/edgar/data/917520/000091752016000107/ex_3x1xfileddecember22x2016.htm" TargetMode="External"/><Relationship Id="rId90" Type="http://schemas.openxmlformats.org/officeDocument/2006/relationships/hyperlink" Target="https://www.sec.gov/Archives/edgar/data/917520/000091752023000015/iart-20221231xex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2024-11-04T15:31:17Z</dcterms:created>
  <dcterms:modified xsi:type="dcterms:W3CDTF">2024-11-04T15:31:17Z</dcterms:modified>
</cp:coreProperties>
</file>