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28, 2024</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28, 2024, Integra LifeSciences Holdings Corporation (the “Company”) issued a press release announcing financial results for the quarter and full year ended December 31, 2023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and organic revenues excluding Boston, respectively, for the quarters and years ended December 31, 2023 and 2022, GAAP net income to adjusted earnings before interest, taxes, depreciation and amortization (“EBITDA”) for the quarters and years ended December 31, 2023 and 2022, GAAP net income to adjusted net income for the quarters and years ended December 31, 2023 and 2022, GAAP earnings per diluted share to adjusted earnings per diluted share for the quarters and years ended December 31, 2023 and 2022, GAAP total debt to net debt for the quarters and years ended December 31, 2023 and 2022 and GAAP operating cash flow to free cash flow and adjusted free cash flow conversion used by management for the quarters and years ended December 31, 2023 and 2022. 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organic revenues excluding Boston, adjusted EBITDA, adjusted net income, adjusted earnings per diluted share, net debt, free cash flow and adjusted free cash flow conversion. 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Boston-produced products including sales reported prior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recall; (v) intangible asset amortization expense; and (vi) income tax impact from adjustments.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,organic revenues excluding Boston and the various adjusted EBITDA, adjusted net income,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organic revenues excluding Boston, adjusted EBITDA, adjusted net income,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earnings per diluted share, net debt, free cash flow and adjusted free cash flow conversion are significant measures used by management for purposes of:</w:t>
      </w:r>
    </w:p>
    <w:p>
      <w:pPr>
        <w:spacing w:after="0" w:line="175" w:lineRule="exact"/>
        <w:rPr>
          <w:sz w:val="20"/>
          <w:szCs w:val="20"/>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5" w:lineRule="exact"/>
        <w:rPr>
          <w:rFonts w:ascii="Times New Roman" w:cs="Times New Roman" w:eastAsia="Times New Roman" w:hAnsi="Times New Roman"/>
          <w:sz w:val="18"/>
          <w:szCs w:val="18"/>
          <w:color w:val="auto"/>
        </w:rPr>
      </w:pPr>
    </w:p>
    <w:p>
      <w:pPr>
        <w:ind w:left="760" w:hanging="104"/>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ind w:left="760" w:hanging="104"/>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ind w:left="760" w:hanging="104"/>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ind w:left="760" w:hanging="104"/>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ind w:left="760" w:hanging="104"/>
        <w:spacing w:after="0" w:line="234"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decrease in total revenues for the quarter and full year ended December 31, 2023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 of organic revenues excluding Boston that we report reflects our total revenues for the quarter and full year ended December 31, 2023 adjusted (i) for the effects of currency exchange rates, revenues from acquisitions, and revenues from divested products on current period revenues and (ii) revenues associated with Boston-produced products including sales reported prior to the recall and the impact of sales return provisions recorded. Management believes that this measure provides useful information when evaluating the Company’s revenues because of the infrequent and/or large scale nature of the recall which can distort our current period revenues when compared to prior periods.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 of adjusted net income reflects GAAP net income adjusted for one or more of the following items, as applicable:</w:t>
      </w:r>
    </w:p>
    <w:p>
      <w:pPr>
        <w:spacing w:after="0" w:line="252" w:lineRule="exact"/>
        <w:rPr>
          <w:sz w:val="20"/>
          <w:szCs w:val="20"/>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 timing and magnitude of our acquisition and divestiture transactions as well as the level of inventory on hand at the time of acquisition.</w:t>
      </w:r>
    </w:p>
    <w:p>
      <w:pPr>
        <w:spacing w:after="0" w:line="72"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 charges.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These charges represent costs, including inventory write-offs and idle capacity charges, incurred in connection with the</w:t>
      </w:r>
      <w:r>
        <w:rPr>
          <w:rFonts w:ascii="Times New Roman" w:cs="Times New Roman" w:eastAsia="Times New Roman" w:hAnsi="Times New Roman"/>
          <w:sz w:val="18"/>
          <w:szCs w:val="18"/>
          <w:color w:val="auto"/>
        </w:rPr>
        <w:t xml:space="preserve"> recall. Management excludes this item when evaluating the Company’s operating performance because of the infrequent and/or large scale nature of these activities.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organic revenues excluding Boston, adjusted EBITDA, adjusted net income,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a reconciliation of GAAP reported revenues to organic revenues for the quarters and years ended December 31, 2023 and 2022, GAAP reported revenues to organic revenues excluding Boston for the quarters and years ended December 31, 2023 and 2022 and GAAP net income to adjusted EBITDA, GAAP net income to adjusted net income, GAAP earnings per diluted share to adjusted earnings per diluted share, GAAP total debt to net debt, and GAAP operating cash flow to free cash flow and adjusted free cash flow conversion used by management for the quarters and twelve months ended December 31,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February 28, 2024,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86" w:right="1440"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60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INTEGRA LIFESCIENCES HOLDINGS CORPORATION</w:t>
            </w:r>
          </w:p>
        </w:tc>
      </w:tr>
      <w:tr>
        <w:trPr>
          <w:trHeight w:val="459"/>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28, 2024</w:t>
            </w: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Lea Knight</w:t>
            </w:r>
          </w:p>
        </w:tc>
      </w:tr>
      <w:tr>
        <w:trPr>
          <w:trHeight w:val="245"/>
        </w:trPr>
        <w:tc>
          <w:tcPr>
            <w:tcW w:w="3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Lea Knight</w:t>
            </w:r>
          </w:p>
        </w:tc>
        <w:tc>
          <w:tcPr>
            <w:tcW w:w="2820" w:type="dxa"/>
            <w:vAlign w:val="bottom"/>
          </w:tcPr>
          <w:p>
            <w:pPr>
              <w:spacing w:after="0"/>
              <w:rPr>
                <w:sz w:val="21"/>
                <w:szCs w:val="21"/>
                <w:color w:val="auto"/>
              </w:rPr>
            </w:pPr>
          </w:p>
        </w:tc>
      </w:tr>
      <w:tr>
        <w:trPr>
          <w:trHeight w:val="234"/>
        </w:trPr>
        <w:tc>
          <w:tcPr>
            <w:tcW w:w="3260" w:type="dxa"/>
            <w:vAlign w:val="bottom"/>
          </w:tcPr>
          <w:p>
            <w:pPr>
              <w:spacing w:after="0"/>
              <w:rPr>
                <w:sz w:val="20"/>
                <w:szCs w:val="20"/>
                <w:color w:val="auto"/>
              </w:rPr>
            </w:pPr>
          </w:p>
        </w:tc>
        <w:tc>
          <w:tcPr>
            <w:tcW w:w="22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61" w:lineRule="exact"/>
        <w:rPr>
          <w:sz w:val="20"/>
          <w:szCs w:val="20"/>
          <w:color w:val="auto"/>
        </w:rPr>
      </w:pPr>
    </w:p>
    <w:p>
      <w:pPr>
        <w:ind w:right="440"/>
        <w:spacing w:after="0" w:line="287" w:lineRule="auto"/>
        <w:rPr>
          <w:sz w:val="20"/>
          <w:szCs w:val="20"/>
          <w:color w:val="auto"/>
        </w:rPr>
      </w:pPr>
      <w:r>
        <w:rPr>
          <w:rFonts w:ascii="Times New Roman" w:cs="Times New Roman" w:eastAsia="Times New Roman" w:hAnsi="Times New Roman"/>
          <w:sz w:val="29"/>
          <w:szCs w:val="29"/>
          <w:b w:val="1"/>
          <w:bCs w:val="1"/>
          <w:color w:val="auto"/>
        </w:rPr>
        <w:t>Integra LifeSciences Reports Fourth Quarter and Full-Year 2023 Financial Results and Provides 2024 Financial Guidance</w:t>
      </w:r>
    </w:p>
    <w:p>
      <w:pPr>
        <w:spacing w:after="0" w:line="14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 xml:space="preserve">Princeton, New Jersey, February 28, 2024 -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today reported financial results for the fourth quarter and full year ended December 31, 2023.</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2023</w:t>
      </w:r>
    </w:p>
    <w:p>
      <w:pPr>
        <w:spacing w:after="0" w:line="247" w:lineRule="exact"/>
        <w:rPr>
          <w:sz w:val="20"/>
          <w:szCs w:val="20"/>
          <w:color w:val="auto"/>
        </w:rPr>
      </w:pPr>
    </w:p>
    <w:p>
      <w:pPr>
        <w:ind w:left="340" w:right="100" w:hanging="332"/>
        <w:spacing w:after="0" w:line="282" w:lineRule="auto"/>
        <w:tabs>
          <w:tab w:leader="none" w:pos="32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Reported revenues were $397.0 million, representing a decrease of 0.2% on a reported basis and a decrease of 1.2% on an organic basis compared to the fourth quarter 2022. Revenue increased 3.6% on an organic basis excluding Boston.</w:t>
      </w:r>
    </w:p>
    <w:p>
      <w:pPr>
        <w:spacing w:after="0" w:line="187" w:lineRule="exact"/>
        <w:rPr>
          <w:rFonts w:ascii="Arial" w:cs="Arial" w:eastAsia="Arial" w:hAnsi="Arial"/>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were $0.25, compared to $0.63 in the fourth quarter 2022.</w:t>
      </w:r>
    </w:p>
    <w:p>
      <w:pPr>
        <w:spacing w:after="0" w:line="269"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$0.89, compared to $0.94 in the fourth quarter of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2023</w:t>
      </w:r>
    </w:p>
    <w:p>
      <w:pPr>
        <w:spacing w:after="0" w:line="274" w:lineRule="exact"/>
        <w:rPr>
          <w:sz w:val="20"/>
          <w:szCs w:val="20"/>
          <w:color w:val="auto"/>
        </w:rPr>
      </w:pPr>
    </w:p>
    <w:p>
      <w:pPr>
        <w:ind w:left="340" w:right="200" w:hanging="332"/>
        <w:spacing w:after="0" w:line="259" w:lineRule="auto"/>
        <w:tabs>
          <w:tab w:leader="none" w:pos="335"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Reported revenues were $1,541.6 million representing a decrease of 1.0% on a reported basis and flat on an organic basis compared to full-year 2022. Revenue increased 5.5% on an organic basis excluding Boston.</w:t>
      </w:r>
    </w:p>
    <w:p>
      <w:pPr>
        <w:spacing w:after="0" w:line="203" w:lineRule="exact"/>
        <w:rPr>
          <w:rFonts w:ascii="Arial" w:cs="Arial" w:eastAsia="Arial" w:hAnsi="Arial"/>
          <w:sz w:val="22"/>
          <w:szCs w:val="22"/>
          <w:color w:val="auto"/>
        </w:rPr>
      </w:pPr>
    </w:p>
    <w:p>
      <w:pPr>
        <w:ind w:left="320" w:hanging="312"/>
        <w:spacing w:after="0"/>
        <w:tabs>
          <w:tab w:leader="none" w:pos="3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earnings per diluted share wer</w:t>
      </w:r>
      <w:r>
        <w:rPr>
          <w:rFonts w:ascii="Times New Roman" w:cs="Times New Roman" w:eastAsia="Times New Roman" w:hAnsi="Times New Roman"/>
          <w:sz w:val="21"/>
          <w:szCs w:val="21"/>
          <w:color w:val="auto"/>
        </w:rPr>
        <w:t>e</w:t>
      </w:r>
      <w:r>
        <w:rPr>
          <w:rFonts w:ascii="Times New Roman" w:cs="Times New Roman" w:eastAsia="Times New Roman" w:hAnsi="Times New Roman"/>
          <w:sz w:val="20"/>
          <w:szCs w:val="20"/>
          <w:color w:val="auto"/>
        </w:rPr>
        <w:t xml:space="preserve"> $0.84, compared to $2.16 in 2022.</w:t>
      </w:r>
    </w:p>
    <w:p>
      <w:pPr>
        <w:spacing w:after="0" w:line="235"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earnings per diluted share were $3.10, compared to $3.36 in 2022.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Highlights</w:t>
      </w:r>
    </w:p>
    <w:p>
      <w:pPr>
        <w:spacing w:after="0" w:line="25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20"/>
          <w:szCs w:val="20"/>
          <w:color w:val="auto"/>
        </w:rPr>
        <w:t>Boston relaunch remains on track for mid-to-late Q2 2024</w:t>
      </w:r>
    </w:p>
    <w:p>
      <w:pPr>
        <w:ind w:left="640" w:hanging="308"/>
        <w:spacing w:after="0" w:line="238"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Completed global CereLink® relaunch with 510k clearance and US relaunch in Q1 2024</w:t>
      </w:r>
    </w:p>
    <w:p>
      <w:pPr>
        <w:ind w:left="640" w:hanging="308"/>
        <w:spacing w:after="0" w:line="238" w:lineRule="auto"/>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integration of the SIA acquisition</w:t>
      </w: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Advanced PMA clinical strategy for SurgiMend® and DuraSorb®</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International portfolio expansion of DuraGen®, CUSA®, and 100+ product registrations</w:t>
      </w:r>
    </w:p>
    <w:p>
      <w:pPr>
        <w:spacing w:after="0" w:line="12"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Building-out in-China-for-China manufacturing capability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Obtained 510(k) for next generation Aurora® Surgiscope</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Signed definitive agreement to acquire the Acclarent® ENT business by Q2 2024</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Executed $275M in share repurchases</w:t>
      </w:r>
    </w:p>
    <w:p>
      <w:pPr>
        <w:spacing w:after="0" w:line="9"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Upgraded Quality Management System with investments in talent and process capabilities</w:t>
      </w:r>
    </w:p>
    <w:p>
      <w:pPr>
        <w:spacing w:after="0" w:line="222"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9"/>
          <w:szCs w:val="19"/>
          <w:color w:val="auto"/>
        </w:rPr>
        <w:t>"In 2023, we saw stability in our markets and resilience of our product portfolio, which demonstrates the impact of our products and technologies on restoring patients’ lives," said Jan De Witte, president and chief executive officer "Despite the operational challenges last</w:t>
      </w:r>
    </w:p>
    <w:p>
      <w:pPr>
        <w:spacing w:after="0" w:line="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0"/>
          <w:szCs w:val="20"/>
          <w:color w:val="auto"/>
        </w:rPr>
        <w:t>year, I am extremely proud of our colleagues around the world for remaining focused on advancing our key pillars of growth and operational excellence, and for their unwavering commitment to our customers and patients.”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2023 Financial Summary</w:t>
      </w:r>
    </w:p>
    <w:p>
      <w:pPr>
        <w:sectPr>
          <w:pgSz w:w="11900" w:h="16838" w:orient="portrait"/>
          <w:cols w:equalWidth="0" w:num="1">
            <w:col w:w="11160"/>
          </w:cols>
          <w:pgMar w:left="320" w:top="1289" w:right="419" w:bottom="1440" w:gutter="0" w:footer="0" w:header="0"/>
        </w:sectPr>
      </w:pPr>
    </w:p>
    <w:bookmarkStart w:id="7" w:name="page8"/>
    <w:bookmarkEnd w:id="7"/>
    <w:p>
      <w:pPr>
        <w:ind w:right="60"/>
        <w:spacing w:after="0" w:line="283" w:lineRule="auto"/>
        <w:rPr>
          <w:sz w:val="20"/>
          <w:szCs w:val="20"/>
          <w:color w:val="auto"/>
        </w:rPr>
      </w:pPr>
      <w:r>
        <w:rPr>
          <w:rFonts w:ascii="Times New Roman" w:cs="Times New Roman" w:eastAsia="Times New Roman" w:hAnsi="Times New Roman"/>
          <w:sz w:val="20"/>
          <w:szCs w:val="20"/>
          <w:color w:val="auto"/>
        </w:rPr>
        <w:t>Total reported revenues for the fourth quarter were 397.0 million, a decrease of 0.2% from the fourth quarter of 2022. Fourth quarter organic revenues were down 1.2% compared to the prior year. Revenue increased 3.6% on an organic basis excluding Boston.</w:t>
      </w:r>
    </w:p>
    <w:p>
      <w:pPr>
        <w:spacing w:after="0" w:line="17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color w:val="auto"/>
        </w:rPr>
        <w:t>The Company reported GAAP net income of $19.8 million, or $0.25 per diluted share, in the fourth quarter of 2023, compared to GAAP net income of $52.9 million, or $0.63 per diluted share, in the prior year.</w:t>
      </w:r>
    </w:p>
    <w:p>
      <w:pPr>
        <w:spacing w:after="0" w:line="18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Adjusted EBITDA for the fourth quarter of 2023 was $100.5 million, compared to $109.7 million in the fourth quarter of the prior year. As a percentage of revenue, adjusted EBITDA was 25.3%, a decrease of 230 basis points from the prior year period.</w:t>
      </w:r>
    </w:p>
    <w:p>
      <w:pPr>
        <w:spacing w:after="0" w:line="18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Adjusted net income for the fourth quarter of 2023 was $69.1 million, or $0.89 per diluted share, compared to adjusted net income of $78.8 million, or $0.94 per diluted share, in the fourth quarter of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flows from operations totaled $58.7M million in the fourth quarter and capital expenditures were $24.6M million.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Fourth Quarter 2023 Segment Performance</w:t>
      </w:r>
    </w:p>
    <w:p>
      <w:pPr>
        <w:spacing w:after="0" w:line="229"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Codman Specialty Surgical (69% of Revenues)</w:t>
      </w:r>
    </w:p>
    <w:p>
      <w:pPr>
        <w:spacing w:after="0" w:line="21" w:lineRule="exact"/>
        <w:rPr>
          <w:rFonts w:ascii="Times New Roman" w:cs="Times New Roman" w:eastAsia="Times New Roman" w:hAnsi="Times New Roman"/>
          <w:sz w:val="20"/>
          <w:szCs w:val="20"/>
          <w:color w:val="auto"/>
        </w:rPr>
      </w:pPr>
    </w:p>
    <w:p>
      <w:pPr>
        <w:ind w:left="880" w:hanging="224"/>
        <w:spacing w:after="0"/>
        <w:tabs>
          <w:tab w:leader="none" w:pos="880" w:val="left"/>
        </w:tabs>
        <w:numPr>
          <w:ilvl w:val="1"/>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revenues were $271.6 million, representing reported an increase of 2.7% and organic growth of 2.3% compared to the fourth</w:t>
      </w:r>
    </w:p>
    <w:p>
      <w:pPr>
        <w:ind w:left="900"/>
        <w:spacing w:after="0" w:line="236" w:lineRule="auto"/>
        <w:rPr>
          <w:sz w:val="20"/>
          <w:szCs w:val="20"/>
          <w:color w:val="auto"/>
        </w:rPr>
      </w:pPr>
      <w:r>
        <w:rPr>
          <w:rFonts w:ascii="Times New Roman" w:cs="Times New Roman" w:eastAsia="Times New Roman" w:hAnsi="Times New Roman"/>
          <w:sz w:val="20"/>
          <w:szCs w:val="20"/>
          <w:color w:val="auto"/>
        </w:rPr>
        <w:t>quarter of 2022.</w:t>
      </w:r>
    </w:p>
    <w:p>
      <w:pPr>
        <w:ind w:left="340"/>
        <w:spacing w:after="0" w:line="226" w:lineRule="auto"/>
        <w:rPr>
          <w:sz w:val="20"/>
          <w:szCs w:val="20"/>
          <w:color w:val="auto"/>
        </w:rPr>
      </w:pPr>
      <w:r>
        <w:rPr>
          <w:rFonts w:ascii="Times New Roman" w:cs="Times New Roman" w:eastAsia="Times New Roman" w:hAnsi="Times New Roman"/>
          <w:sz w:val="20"/>
          <w:szCs w:val="20"/>
          <w:color w:val="auto"/>
        </w:rPr>
        <w:t>Sales in Neurosurgery grew 2.0% on an organic basis.</w:t>
      </w:r>
    </w:p>
    <w:p>
      <w:pPr>
        <w:ind w:left="1540" w:hanging="236"/>
        <w:spacing w:after="0"/>
        <w:tabs>
          <w:tab w:leader="none" w:pos="154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CSF management had mid-single digit growth driven by Certas® Plus valves.</w:t>
      </w:r>
    </w:p>
    <w:p>
      <w:pPr>
        <w:ind w:left="1540" w:hanging="236"/>
        <w:spacing w:after="0" w:line="225" w:lineRule="auto"/>
        <w:tabs>
          <w:tab w:leader="none" w:pos="154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Mid-single-digit growth in dural access and repair driven by DuraGen, partially offset by a decline in DuraSeal.</w:t>
      </w:r>
    </w:p>
    <w:p>
      <w:pPr>
        <w:ind w:left="1540" w:hanging="236"/>
        <w:spacing w:after="0"/>
        <w:tabs>
          <w:tab w:leader="none" w:pos="154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Neuro monitoring grew low-single digits driven by BactiSeal® catheters and ICP microsensors.</w:t>
      </w:r>
    </w:p>
    <w:p>
      <w:pPr>
        <w:ind w:left="1540" w:hanging="236"/>
        <w:spacing w:after="0" w:line="225" w:lineRule="auto"/>
        <w:tabs>
          <w:tab w:leader="none" w:pos="1540" w:val="left"/>
        </w:tabs>
        <w:numPr>
          <w:ilvl w:val="2"/>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energy was down by low-single digits driven by lower CUSA® capital sales.</w:t>
      </w:r>
    </w:p>
    <w:p>
      <w:pPr>
        <w:ind w:left="880" w:hanging="224"/>
        <w:spacing w:after="0"/>
        <w:tabs>
          <w:tab w:leader="none" w:pos="880"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Instruments grew 3.0% on an organic basis.</w:t>
      </w:r>
    </w:p>
    <w:p>
      <w:pPr>
        <w:ind w:left="640" w:hanging="308"/>
        <w:spacing w:after="0" w:line="225" w:lineRule="auto"/>
        <w:tabs>
          <w:tab w:leader="none" w:pos="64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Tissue Technologies (31% of Revenue)</w:t>
      </w:r>
    </w:p>
    <w:p>
      <w:pPr>
        <w:ind w:left="900" w:right="40" w:hanging="244"/>
        <w:spacing w:after="0" w:line="242" w:lineRule="auto"/>
        <w:tabs>
          <w:tab w:leader="none" w:pos="889"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Total revenues were $125.4 million, representing a decrease of 6.0% on a reported basis and organic decline of 8.0% compared to the fourth quarter of 2022 due to the impact of the lost revenue related to the Boston product recall which was partially offset by double digit growth from BioD® and Gentrix® and mid-single digit growth in Integra skin and MediHoney®.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Full-Year 2023 Financial Summary</w:t>
      </w:r>
    </w:p>
    <w:p>
      <w:pPr>
        <w:spacing w:after="0" w:line="26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Total reported revenues for the full-year 2023 were $1,541.6 million, a decrease of 1.0%, from the prior year. Organic sales for the full-year 2023 were flat compared to 2022. Revenue increased 5.5% on an organic basis excluding Boston.</w:t>
      </w:r>
    </w:p>
    <w:p>
      <w:pPr>
        <w:spacing w:after="0" w:line="20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Company reported GAAP net income of $67.7 million, or $0.84 per diluted share, for the full-year 2023, compared to GAAP net income of $180.6 million, or $2.16 per diluted share in 2022.</w:t>
      </w:r>
    </w:p>
    <w:p>
      <w:pPr>
        <w:spacing w:after="0" w:line="186"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Adjusted EBITDA for the full-year 2023 was $369.7 million, a decrease of $41.6 million versus the prior year. Full year EBITDA margins were 24.0% a decrease of 240 basis points from the prior year.</w:t>
      </w:r>
    </w:p>
    <w:p>
      <w:pPr>
        <w:spacing w:after="0" w:line="18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Adjusted net income for the full-year 2023 was $247.8 million, or $3.10 per diluted share, compared to $280.9 million, or $3.36 per diluted share.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2023 Balance Sheet, Cash Flow and Capital Allocation</w:t>
      </w:r>
    </w:p>
    <w:p>
      <w:pPr>
        <w:sectPr>
          <w:pgSz w:w="11900" w:h="16838" w:orient="portrait"/>
          <w:cols w:equalWidth="0" w:num="1">
            <w:col w:w="11200"/>
          </w:cols>
          <w:pgMar w:left="320" w:top="886" w:right="379" w:bottom="1440" w:gutter="0" w:footer="0" w:header="0"/>
        </w:sectPr>
      </w:pPr>
    </w:p>
    <w:bookmarkStart w:id="8" w:name="page9"/>
    <w:bookmarkEnd w:id="8"/>
    <w:p>
      <w:pPr>
        <w:ind w:right="20"/>
        <w:spacing w:after="0" w:line="249" w:lineRule="auto"/>
        <w:rPr>
          <w:sz w:val="20"/>
          <w:szCs w:val="20"/>
          <w:color w:val="auto"/>
        </w:rPr>
      </w:pPr>
      <w:r>
        <w:rPr>
          <w:rFonts w:ascii="Times New Roman" w:cs="Times New Roman" w:eastAsia="Times New Roman" w:hAnsi="Times New Roman"/>
          <w:sz w:val="20"/>
          <w:szCs w:val="20"/>
          <w:color w:val="auto"/>
        </w:rPr>
        <w:t>The Company generated cash flow from operations of $140.0 million for the full-year 2023. Full-year capital expenditures were $67.0 million. Net debt at the end of the year was $1.2 billion, and the consolidated total leverage ratio was 3.0x. As of year-end, the Company had total liquidity of approximately $1.5 billion, including approximately $309 million in cash plus short-term investments and the remainder available under its revolving credit facility.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2024 Revenue and Adjusted Earnings Per Share Guidance</w:t>
      </w:r>
    </w:p>
    <w:p>
      <w:pPr>
        <w:spacing w:after="0" w:line="26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20"/>
          <w:szCs w:val="20"/>
          <w:color w:val="auto"/>
        </w:rPr>
        <w:t>The Company’s guidance for 2024 revenue and adjusted earnings per share reflects the stability of our markets and strong demand for our differentiated portfolio, gradual improvement in supply over the year, continued international expansion and the relaunch of the Boston portfolio late second quarter. Our guidance excludes the pending acquisition of the Acclarent ENT business.</w:t>
      </w:r>
    </w:p>
    <w:p>
      <w:pPr>
        <w:spacing w:after="0" w:line="20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20"/>
          <w:szCs w:val="20"/>
          <w:color w:val="auto"/>
        </w:rPr>
        <w:t>For the full-year 2024, the Company expects revenues to be in a range of $1,603 million to $1,618 million, representing reported growth of approximately 4.0% to 5.0% and organic growth in the range of 4.0% to 5.0%. Adjusted earnings per diluted share are expected to be between $3.15 and $3.25.</w:t>
      </w:r>
    </w:p>
    <w:p>
      <w:pPr>
        <w:spacing w:after="0" w:line="2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For the first quarter 2024, the Company expects reported revenues in the range of $360 million to $365 million, representing reported growth of approximately -5.5% to -4.1% and organic growth of approximately -5.1% to -3.7%. Adjusted earnings per diluted share are expected to be in a range of $0.53 to $0.57.</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Organic sales growth excludes acquisitions and divestitures as well as the effects of foreign currency.</w:t>
      </w:r>
    </w:p>
    <w:p>
      <w:pPr>
        <w:spacing w:after="0" w:line="243"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color w:val="auto"/>
        </w:rPr>
        <w:t>The Company is providing forward-looking guidance regarding adjusted earnings per diluted share but is not providing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and efforts to comply with the EU Medical Device Regulation are uncertain, depend on various dynamic factors and are not reasonably ascertainable at this time. These expense items could have a material impact on GAAP results.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233"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 xml:space="preserve">Integra has scheduled a conference call for 8:30 a.m. ET on Wednesday, February 28, 2024, to discuss fourth quarter and full-year 2023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Relations section of the website at </w:t>
      </w:r>
      <w:r>
        <w:rPr>
          <w:rFonts w:ascii="Times New Roman" w:cs="Times New Roman" w:eastAsia="Times New Roman" w:hAnsi="Times New Roman"/>
          <w:sz w:val="20"/>
          <w:szCs w:val="20"/>
          <w:u w:val="single" w:color="auto"/>
          <w:color w:val="0000FF"/>
        </w:rPr>
        <w:t>investor.integralife.com</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ind w:right="500"/>
        <w:spacing w:after="0" w:line="244"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w:t>
      </w:r>
      <w:r>
        <w:rPr>
          <w:rFonts w:ascii="Times New Roman" w:cs="Times New Roman" w:eastAsia="Times New Roman" w:hAnsi="Times New Roman"/>
          <w:sz w:val="20"/>
          <w:szCs w:val="20"/>
          <w:color w:val="0000FF"/>
        </w:rPr>
        <w:t>investor.integralife.com</w:t>
      </w:r>
      <w:r>
        <w:rPr>
          <w:rFonts w:ascii="Times New Roman" w:cs="Times New Roman" w:eastAsia="Times New Roman" w:hAnsi="Times New Roman"/>
          <w:sz w:val="20"/>
          <w:szCs w:val="20"/>
          <w:color w:val="auto"/>
        </w:rPr>
        <w:t xml:space="preserve">. For those planning to participate on the call, please register </w:t>
      </w:r>
      <w:r>
        <w:rPr>
          <w:rFonts w:ascii="Times New Roman" w:cs="Times New Roman" w:eastAsia="Times New Roman" w:hAnsi="Times New Roman"/>
          <w:sz w:val="20"/>
          <w:szCs w:val="20"/>
          <w:color w:val="0000FF"/>
        </w:rPr>
        <w:t>here</w:t>
      </w:r>
      <w:r>
        <w:rPr>
          <w:rFonts w:ascii="Times New Roman" w:cs="Times New Roman" w:eastAsia="Times New Roman" w:hAnsi="Times New Roman"/>
          <w:sz w:val="20"/>
          <w:szCs w:val="20"/>
          <w:color w:val="auto"/>
        </w:rPr>
        <w:t xml:space="preserve"> to receive dial-in details and a unique pin. While not required, it is recommended to join 10 minutes prior to the start of the event. A webcast replay of the conference call will be available on the Investor Relations section of the Company’s website following the call.</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3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At Integra LifeSciences, we are driven by our purpose of restoring patients’ lives. We innovate treatment pathways to advance patient outcomes and set new standards of surgical, neurologic, and regenerative care. We offer a comprehensive portfolio of high quality, leadership brands that include AmnioExcel®, Aurora®, Bactiseal®, BioD™, CerebroFlo®, CereLink® Certas® Plus, Codman®, CUSA®, Cytal®, DuraGen®, DuraSeal®, DuraSorb®, Gentrix®, ICP Express®, Integra®, Licox®, MAYFIELD®, MediHoney®, MicroFrance®, MicroMatrix®, NeuraGen®, NeuraWrap™, PriMatrix®, SurgiMend®, TCC-EZ® and VersaTru®. For the latest news and information about Integra and its products, please visit </w:t>
      </w:r>
      <w:r>
        <w:rPr>
          <w:rFonts w:ascii="Times New Roman" w:cs="Times New Roman" w:eastAsia="Times New Roman" w:hAnsi="Times New Roman"/>
          <w:sz w:val="20"/>
          <w:szCs w:val="20"/>
          <w:color w:val="0000FF"/>
        </w:rPr>
        <w:t>www.integralife.com.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ectPr>
          <w:pgSz w:w="11900" w:h="16838" w:orient="portrait"/>
          <w:cols w:equalWidth="0" w:num="1">
            <w:col w:w="11180"/>
          </w:cols>
          <w:pgMar w:left="320" w:top="886" w:right="399" w:bottom="1440" w:gutter="0" w:footer="0" w:header="0"/>
        </w:sectPr>
      </w:pPr>
    </w:p>
    <w:bookmarkStart w:id="9" w:name="page10"/>
    <w:bookmarkEnd w:id="9"/>
    <w:p>
      <w:pPr>
        <w:spacing w:after="0" w:line="238" w:lineRule="auto"/>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Private Securities Litigation Reform Act of 1995 that involve risks and uncertainties and reflect the Company's judgment as of the date of this release. All statements, other than statements of historical fact, are statements that could be deemed forward-looking statements. Some of these forward-looking statements may contain words like “will,” “believe,” “may,” “could,” “would,” “might,” “possible,” “should,” “expect,” “intend,” "forecast," "guidance," “plan,” “anticipate,” "target," or “continue,” the negative of these words, other terms of similar meaning or they may use future dates. Forward-looking statements contained in this news release include, but are not limited to, statements concerning future financial performance, including projections for revenues, expected revenue growth (both reported and organic), GAAP and adjusted net income, GAAP and adjusted earnings per diluted share, non-GAAP adjustments such as divestiture, acquisition and integration-related charges, intangible asset amortization, structural optimization charges, EU Medical Device Regulation-related charges, charges related to the voluntary global recall of all products manufactured at the Company’s facility in Boston, Massachusetts, and income tax expense (benefit) related to non-GAAP adjustments and other items, expectations and plans with respect to strategic initiatives, product development and regulatory approvals and expectations concerning the resumption of manufacturing at the Company’s Boston, Massachusetts facility. It is important to note that the Company’s goals and expectations are not predictions of actual performance. Such forward-looking statements involve risks and uncertainties that could cause actual results to differ materially from predicted or expected results. Such risks and uncertainties include, but are not limited, to the following: the ongoing and possible future effects of global challenges, including macroeconomic uncertainties, inflation, supply chain disruptions, trade regulation and tariffs, other 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global macroeconomic and political conditions, including the war in Ukraine and the conflict in Israel and Gaza;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fluctuations in hospitals' spending for capital equipment; the Company's ability to comply with regulations regarding products of human origin and products containing materials derived from animal source; difficulties in controlling expenses, including costs to procure and manufacture our products;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non-product costs; the Company’s ability to achieve anticipated growth rates, margins and scale and execute its strategy generally;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Devices Regulation; the scope, duration and effect of additional U.S. and international governmental, regulatory, fiscal, monetary and public health responses to the COVID-19 pandemic and any future public health crises; fluctuations in foreign currency exchange rates; the amount of our bank borrowings outstanding and other factors influencing liquidity; potential negative impacts resulting from environmental, social and governance matters; and the economic, competitive, governmental, technological, and other risk factors and uncertainties identified under the heading “Risk Factors” included in Item 1A of Integra's Annual Report on Form 10-K for the year ended December 31, 2023 to be filed with the Securities and Exchange Commission.</w:t>
      </w:r>
    </w:p>
    <w:p>
      <w:pPr>
        <w:spacing w:after="0" w:line="248"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These forward-looking statements are made only as of the date hereof, and the Company undertakes no obligation to update or revise the forward-looking statements, whether as a result of new information, future events, or otherwise.</w:t>
      </w:r>
    </w:p>
    <w:p>
      <w:pPr>
        <w:sectPr>
          <w:pgSz w:w="11900" w:h="16838" w:orient="portrait"/>
          <w:cols w:equalWidth="0" w:num="1">
            <w:col w:w="11240"/>
          </w:cols>
          <w:pgMar w:left="320" w:top="11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7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9"/>
          <w:szCs w:val="19"/>
          <w:color w:val="auto"/>
        </w:rPr>
        <w:t>In addition to our GAAP results, we provide certain non-GAAP measures, including organic revenues, organic revenues excluding Boston, adjusted earnings before interest, taxes, depreciation and amortization ("EBITDA"), adjusted net income, adjusted earnings per diluted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free cash flow, adjusted free cash flow conversion, and net debt. Organic revenues consist of total revenues excluding the effects of currency</w:t>
      </w:r>
    </w:p>
    <w:p>
      <w:pPr>
        <w:spacing w:after="0" w:line="25"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exchange rates, revenues from current-period acquisitions and product divestitures. Organic revenues excluding Boston consist of total revenues, excluding (i) the effects of currency exchange rates, revenues from current-period acquisitions and product divestitures and discontinuances and (ii) revenues associated with Boston produced products including sales reported prior to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The adjusted earnings per diluted share measure is calculated by dividing adjusted net income attributable to diluted shares by diluted weighted average shares outstanding. The measure of free cash flow consists of GAAP net cash provided by operating activities less purchases of property and equipment. The adjusted free cash flow conversion measure is calculated by dividing free cash flow by adjusted net income. The measure of net debt consists of GAAP total debt (excluding deferred financing costs) less short-term investments, cash and cash equivalents.</w:t>
      </w:r>
    </w:p>
    <w:p>
      <w:pPr>
        <w:spacing w:after="0" w:line="19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Reconciliations of GAAP revenues to organic revenues, GAAP revenues to organic revenues excluding Boston, and GAAP net income to adjusted EBITDA and adjusted net income, GAAP total debt to net debt, and GAAP earnings per diluted share to adjusted earnings per diluted share all for the quarters and years ended December 31, 2023 and 2022, and the free cash flow and adjusted free cash flow conversion for the quarters and years ended December 31, 2023 and 2022, appear in the financial tables in this release.</w:t>
      </w:r>
    </w:p>
    <w:p>
      <w:pPr>
        <w:spacing w:after="0" w:line="207"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 xml:space="preserve">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t>
      </w:r>
      <w:r>
        <w:rPr>
          <w:rFonts w:ascii="Times New Roman" w:cs="Times New Roman" w:eastAsia="Times New Roman" w:hAnsi="Times New Roman"/>
          <w:sz w:val="21"/>
          <w:szCs w:val="21"/>
          <w:color w:val="0000FF"/>
        </w:rPr>
        <w:t>www.sec.gov</w:t>
      </w:r>
      <w:r>
        <w:rPr>
          <w:rFonts w:ascii="Times New Roman" w:cs="Times New Roman" w:eastAsia="Times New Roman" w:hAnsi="Times New Roman"/>
          <w:sz w:val="20"/>
          <w:szCs w:val="20"/>
          <w:color w:val="auto"/>
        </w:rPr>
        <w:t xml:space="preserve"> or on our website at </w:t>
      </w:r>
      <w:r>
        <w:rPr>
          <w:rFonts w:ascii="Times New Roman" w:cs="Times New Roman" w:eastAsia="Times New Roman" w:hAnsi="Times New Roman"/>
          <w:sz w:val="21"/>
          <w:szCs w:val="21"/>
          <w:color w:val="0000FF"/>
        </w:rPr>
        <w:t>www.integralife.com</w:t>
      </w:r>
      <w:r>
        <w:rPr>
          <w:rFonts w:ascii="Times New Roman" w:cs="Times New Roman" w:eastAsia="Times New Roman" w:hAnsi="Times New Roman"/>
          <w:sz w:val="19"/>
          <w:szCs w:val="19"/>
          <w:color w:val="000000"/>
        </w:rPr>
        <w: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2" w:lineRule="exact"/>
        <w:rPr>
          <w:sz w:val="20"/>
          <w:szCs w:val="20"/>
          <w:color w:val="auto"/>
        </w:rPr>
      </w:pPr>
    </w:p>
    <w:p>
      <w:pPr>
        <w:ind w:right="9000" w:firstLine="8"/>
        <w:spacing w:after="0" w:line="286"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2" w:lineRule="exact"/>
        <w:rPr>
          <w:sz w:val="20"/>
          <w:szCs w:val="20"/>
          <w:color w:val="auto"/>
        </w:rPr>
      </w:pPr>
    </w:p>
    <w:p>
      <w:pPr>
        <w:ind w:right="8900" w:firstLine="8"/>
        <w:spacing w:after="0" w:line="286" w:lineRule="auto"/>
        <w:tabs>
          <w:tab w:leader="none" w:pos="47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220"/>
          </w:cols>
          <w:pgMar w:left="320" w:top="936" w:right="359" w:bottom="1440" w:gutter="0" w:footer="0" w:header="0"/>
        </w:sectPr>
      </w:pPr>
    </w:p>
    <w:bookmarkStart w:id="11" w:name="page12"/>
    <w:bookmarkEnd w:id="11"/>
    <w:p>
      <w:pPr>
        <w:jc w:val="center"/>
        <w:ind w:right="-59"/>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560" w:type="dxa"/>
            <w:vAlign w:val="bottom"/>
          </w:tcPr>
          <w:p>
            <w:pPr>
              <w:spacing w:after="0"/>
              <w:rPr>
                <w:sz w:val="18"/>
                <w:szCs w:val="18"/>
                <w:color w:val="auto"/>
              </w:rPr>
            </w:pPr>
          </w:p>
        </w:tc>
        <w:tc>
          <w:tcPr>
            <w:tcW w:w="29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Three Months Ended</w:t>
            </w:r>
          </w:p>
        </w:tc>
        <w:tc>
          <w:tcPr>
            <w:tcW w:w="268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Twelve Months Ended</w:t>
            </w:r>
          </w:p>
        </w:tc>
        <w:tc>
          <w:tcPr>
            <w:tcW w:w="0" w:type="dxa"/>
            <w:vAlign w:val="bottom"/>
          </w:tcPr>
          <w:p>
            <w:pPr>
              <w:spacing w:after="0"/>
              <w:rPr>
                <w:sz w:val="1"/>
                <w:szCs w:val="1"/>
                <w:color w:val="auto"/>
              </w:rPr>
            </w:pPr>
          </w:p>
        </w:tc>
      </w:tr>
      <w:tr>
        <w:trPr>
          <w:trHeight w:val="234"/>
        </w:trPr>
        <w:tc>
          <w:tcPr>
            <w:tcW w:w="5560" w:type="dxa"/>
            <w:vAlign w:val="bottom"/>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19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19"/>
                <w:szCs w:val="19"/>
                <w:color w:val="auto"/>
              </w:rPr>
            </w:pPr>
          </w:p>
        </w:tc>
        <w:tc>
          <w:tcPr>
            <w:tcW w:w="186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2023</w:t>
            </w: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397,039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398,022</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1,541,573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1,557,666</w:t>
            </w:r>
          </w:p>
        </w:tc>
        <w:tc>
          <w:tcPr>
            <w:tcW w:w="0" w:type="dxa"/>
            <w:vAlign w:val="bottom"/>
          </w:tcPr>
          <w:p>
            <w:pPr>
              <w:spacing w:after="0"/>
              <w:rPr>
                <w:sz w:val="1"/>
                <w:szCs w:val="1"/>
                <w:color w:val="auto"/>
              </w:rPr>
            </w:pPr>
          </w:p>
        </w:tc>
      </w:tr>
      <w:tr>
        <w:trPr>
          <w:trHeight w:val="32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170,546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147,937</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656,838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587,355</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24,284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26,783</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104,192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101,193</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163,128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151,919</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656,641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616,316</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3,034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12,376</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360,992</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330,182</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1,430,047</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1,318,746</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36,047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67,840</w:t>
            </w:r>
          </w:p>
        </w:tc>
        <w:tc>
          <w:tcPr>
            <w:tcW w:w="180" w:type="dxa"/>
            <w:vAlign w:val="bottom"/>
          </w:tcPr>
          <w:p>
            <w:pPr>
              <w:spacing w:after="0"/>
              <w:rPr>
                <w:sz w:val="18"/>
                <w:szCs w:val="18"/>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111,526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238,920</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4,549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80" w:type="dxa"/>
            <w:vAlign w:val="bottom"/>
          </w:tcPr>
          <w:p>
            <w:pPr>
              <w:spacing w:after="0"/>
              <w:rPr>
                <w:sz w:val="19"/>
                <w:szCs w:val="19"/>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17,202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(13,751)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w:t>
            </w:r>
          </w:p>
        </w:tc>
        <w:tc>
          <w:tcPr>
            <w:tcW w:w="180" w:type="dxa"/>
            <w:vAlign w:val="bottom"/>
          </w:tcPr>
          <w:p>
            <w:pPr>
              <w:spacing w:after="0"/>
              <w:rPr>
                <w:sz w:val="19"/>
                <w:szCs w:val="19"/>
                <w:color w:val="auto"/>
              </w:rPr>
            </w:pPr>
          </w:p>
        </w:tc>
        <w:tc>
          <w:tcPr>
            <w:tcW w:w="18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(51,377)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(49,594)</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from the sale of business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2,013</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3,718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12,007</w:t>
            </w:r>
          </w:p>
        </w:tc>
        <w:tc>
          <w:tcPr>
            <w:tcW w:w="0" w:type="dxa"/>
            <w:vAlign w:val="bottom"/>
          </w:tcPr>
          <w:p>
            <w:pPr>
              <w:spacing w:after="0"/>
              <w:rPr>
                <w:sz w:val="1"/>
                <w:szCs w:val="1"/>
                <w:color w:val="auto"/>
              </w:rPr>
            </w:pPr>
          </w:p>
        </w:tc>
      </w:tr>
      <w:tr>
        <w:trPr>
          <w:trHeight w:val="218"/>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taxes</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28,858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64,208</w:t>
            </w:r>
          </w:p>
        </w:tc>
        <w:tc>
          <w:tcPr>
            <w:tcW w:w="180" w:type="dxa"/>
            <w:vAlign w:val="bottom"/>
          </w:tcPr>
          <w:p>
            <w:pPr>
              <w:spacing w:after="0"/>
              <w:rPr>
                <w:sz w:val="18"/>
                <w:szCs w:val="18"/>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81,069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213,894</w:t>
            </w: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9,024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13,328</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33,344</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19,834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67,741</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180,550</w:t>
            </w:r>
          </w:p>
        </w:tc>
        <w:tc>
          <w:tcPr>
            <w:tcW w:w="0" w:type="dxa"/>
            <w:vAlign w:val="bottom"/>
          </w:tcPr>
          <w:p>
            <w:pPr>
              <w:spacing w:after="0"/>
              <w:rPr>
                <w:sz w:val="1"/>
                <w:szCs w:val="1"/>
                <w:color w:val="auto"/>
              </w:rPr>
            </w:pPr>
          </w:p>
        </w:tc>
      </w:tr>
      <w:tr>
        <w:trPr>
          <w:trHeight w:val="20"/>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560" w:type="dxa"/>
            <w:vAlign w:val="bottom"/>
            <w:vMerge w:val="continue"/>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19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0.25</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0.84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164"/>
        </w:trPr>
        <w:tc>
          <w:tcPr>
            <w:tcW w:w="556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 average common shares outstanding for diluted net income per</w:t>
            </w:r>
          </w:p>
        </w:tc>
        <w:tc>
          <w:tcPr>
            <w:tcW w:w="1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9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77,959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83,568</w:t>
            </w:r>
          </w:p>
        </w:tc>
        <w:tc>
          <w:tcPr>
            <w:tcW w:w="180" w:type="dxa"/>
            <w:vAlign w:val="bottom"/>
          </w:tcPr>
          <w:p>
            <w:pPr>
              <w:spacing w:after="0"/>
              <w:rPr>
                <w:sz w:val="20"/>
                <w:szCs w:val="20"/>
                <w:color w:val="auto"/>
              </w:rPr>
            </w:pPr>
          </w:p>
        </w:tc>
        <w:tc>
          <w:tcPr>
            <w:tcW w:w="18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80,337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83,516</w:t>
            </w:r>
          </w:p>
        </w:tc>
        <w:tc>
          <w:tcPr>
            <w:tcW w:w="0" w:type="dxa"/>
            <w:vAlign w:val="bottom"/>
          </w:tcPr>
          <w:p>
            <w:pPr>
              <w:spacing w:after="0"/>
              <w:rPr>
                <w:sz w:val="1"/>
                <w:szCs w:val="1"/>
                <w:color w:val="auto"/>
              </w:rPr>
            </w:pPr>
          </w:p>
        </w:tc>
      </w:tr>
    </w:tbl>
    <w:p>
      <w:pPr>
        <w:sectPr>
          <w:pgSz w:w="11900" w:h="16838" w:orient="portrait"/>
          <w:cols w:equalWidth="0" w:num="1">
            <w:col w:w="11180"/>
          </w:cols>
          <w:pgMar w:left="320" w:top="89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Segment revenues and growth in total revenues excluding the effects of currency exchange rates, acquisitions and discontinued products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4080" w:type="dxa"/>
            <w:vAlign w:val="bottom"/>
          </w:tcPr>
          <w:p>
            <w:pPr>
              <w:spacing w:after="0"/>
              <w:rPr>
                <w:sz w:val="24"/>
                <w:szCs w:val="24"/>
                <w:color w:val="auto"/>
              </w:rPr>
            </w:pPr>
          </w:p>
        </w:tc>
        <w:tc>
          <w:tcPr>
            <w:tcW w:w="2840" w:type="dxa"/>
            <w:vAlign w:val="bottom"/>
            <w:gridSpan w:val="4"/>
          </w:tcPr>
          <w:p>
            <w:pPr>
              <w:ind w:left="480"/>
              <w:spacing w:after="0"/>
              <w:rPr>
                <w:sz w:val="20"/>
                <w:szCs w:val="20"/>
                <w:color w:val="auto"/>
              </w:rPr>
            </w:pPr>
            <w:r>
              <w:rPr>
                <w:rFonts w:ascii="Times New Roman" w:cs="Times New Roman" w:eastAsia="Times New Roman" w:hAnsi="Times New Roman"/>
                <w:sz w:val="20"/>
                <w:szCs w:val="20"/>
                <w:color w:val="auto"/>
              </w:rPr>
              <w:t>Three Months Ended</w:t>
            </w:r>
          </w:p>
        </w:tc>
        <w:tc>
          <w:tcPr>
            <w:tcW w:w="2880" w:type="dxa"/>
            <w:vAlign w:val="bottom"/>
            <w:gridSpan w:val="3"/>
          </w:tcPr>
          <w:p>
            <w:pPr>
              <w:ind w:left="560"/>
              <w:spacing w:after="0"/>
              <w:rPr>
                <w:sz w:val="20"/>
                <w:szCs w:val="20"/>
                <w:color w:val="auto"/>
              </w:rPr>
            </w:pPr>
            <w:r>
              <w:rPr>
                <w:rFonts w:ascii="Times New Roman" w:cs="Times New Roman" w:eastAsia="Times New Roman" w:hAnsi="Times New Roman"/>
                <w:sz w:val="20"/>
                <w:szCs w:val="20"/>
                <w:color w:val="auto"/>
              </w:rPr>
              <w:t>Twelve Months Ended</w:t>
            </w:r>
          </w:p>
        </w:tc>
        <w:tc>
          <w:tcPr>
            <w:tcW w:w="0" w:type="dxa"/>
            <w:vAlign w:val="bottom"/>
          </w:tcPr>
          <w:p>
            <w:pPr>
              <w:spacing w:after="0"/>
              <w:rPr>
                <w:sz w:val="1"/>
                <w:szCs w:val="1"/>
                <w:color w:val="auto"/>
              </w:rPr>
            </w:pPr>
          </w:p>
        </w:tc>
      </w:tr>
      <w:tr>
        <w:trPr>
          <w:trHeight w:val="418"/>
        </w:trPr>
        <w:tc>
          <w:tcPr>
            <w:tcW w:w="40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December 31,</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right"/>
              <w:ind w:right="29"/>
              <w:spacing w:after="0"/>
              <w:rPr>
                <w:sz w:val="20"/>
                <w:szCs w:val="20"/>
                <w:color w:val="auto"/>
              </w:rPr>
            </w:pPr>
            <w:r>
              <w:rPr>
                <w:rFonts w:ascii="Times New Roman" w:cs="Times New Roman" w:eastAsia="Times New Roman" w:hAnsi="Times New Roman"/>
                <w:sz w:val="20"/>
                <w:szCs w:val="20"/>
                <w:color w:val="auto"/>
              </w:rPr>
              <w:t>December 31,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Neurosurgery</w:t>
            </w:r>
          </w:p>
        </w:tc>
        <w:tc>
          <w:tcPr>
            <w:tcW w:w="1040" w:type="dxa"/>
            <w:vAlign w:val="bottom"/>
            <w:tcBorders>
              <w:top w:val="single" w:sz="8" w:color="auto"/>
              <w:bottom w:val="single" w:sz="8" w:color="auto"/>
            </w:tcBorders>
          </w:tcPr>
          <w:p>
            <w:pPr>
              <w:jc w:val="right"/>
              <w:ind w:right="288"/>
              <w:spacing w:after="0"/>
              <w:rPr>
                <w:sz w:val="20"/>
                <w:szCs w:val="20"/>
                <w:color w:val="auto"/>
              </w:rPr>
            </w:pPr>
            <w:r>
              <w:rPr>
                <w:rFonts w:ascii="Times New Roman" w:cs="Times New Roman" w:eastAsia="Times New Roman" w:hAnsi="Times New Roman"/>
                <w:sz w:val="20"/>
                <w:szCs w:val="20"/>
                <w:color w:val="auto"/>
              </w:rPr>
              <w:t>2023</w:t>
            </w:r>
          </w:p>
        </w:tc>
        <w:tc>
          <w:tcPr>
            <w:tcW w:w="86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20"/>
                <w:szCs w:val="20"/>
                <w:color w:val="auto"/>
              </w:rPr>
              <w:t>2022</w:t>
            </w:r>
          </w:p>
        </w:tc>
        <w:tc>
          <w:tcPr>
            <w:tcW w:w="7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Change</w:t>
            </w:r>
          </w:p>
        </w:tc>
        <w:tc>
          <w:tcPr>
            <w:tcW w:w="20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ind w:right="348"/>
              <w:spacing w:after="0"/>
              <w:rPr>
                <w:sz w:val="20"/>
                <w:szCs w:val="20"/>
                <w:color w:val="auto"/>
              </w:rPr>
            </w:pPr>
            <w:r>
              <w:rPr>
                <w:rFonts w:ascii="Times New Roman" w:cs="Times New Roman" w:eastAsia="Times New Roman" w:hAnsi="Times New Roman"/>
                <w:sz w:val="20"/>
                <w:szCs w:val="20"/>
                <w:color w:val="auto"/>
              </w:rPr>
              <w:t>2023</w:t>
            </w:r>
          </w:p>
        </w:tc>
        <w:tc>
          <w:tcPr>
            <w:tcW w:w="9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20"/>
                <w:szCs w:val="20"/>
                <w:color w:val="auto"/>
              </w:rPr>
              <w:t>2022</w:t>
            </w: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Change</w:t>
            </w:r>
          </w:p>
        </w:tc>
        <w:tc>
          <w:tcPr>
            <w:tcW w:w="0" w:type="dxa"/>
            <w:vAlign w:val="bottom"/>
          </w:tcPr>
          <w:p>
            <w:pPr>
              <w:spacing w:after="0"/>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210,204</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205,199</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2.4%</w:t>
            </w:r>
          </w:p>
        </w:tc>
        <w:tc>
          <w:tcPr>
            <w:tcW w:w="200" w:type="dxa"/>
            <w:vAlign w:val="bottom"/>
          </w:tcPr>
          <w:p>
            <w:pPr>
              <w:spacing w:after="0"/>
              <w:rPr>
                <w:sz w:val="19"/>
                <w:szCs w:val="19"/>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818,101</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794,017</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6"/>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Instruments</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61,423</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59,398</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3.4%</w:t>
            </w:r>
          </w:p>
        </w:tc>
        <w:tc>
          <w:tcPr>
            <w:tcW w:w="200" w:type="dxa"/>
            <w:vAlign w:val="bottom"/>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240,892</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225,547</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8"/>
        </w:trPr>
        <w:tc>
          <w:tcPr>
            <w:tcW w:w="4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271,627</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264,597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2.7%</w:t>
            </w:r>
          </w:p>
        </w:tc>
        <w:tc>
          <w:tcPr>
            <w:tcW w:w="200" w:type="dxa"/>
            <w:vAlign w:val="bottom"/>
          </w:tcPr>
          <w:p>
            <w:pPr>
              <w:spacing w:after="0"/>
              <w:rPr>
                <w:sz w:val="20"/>
                <w:szCs w:val="20"/>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1,058,993</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1,019,564</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502"/>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93,859</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102,540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(8.5)%</w:t>
            </w:r>
          </w:p>
        </w:tc>
        <w:tc>
          <w:tcPr>
            <w:tcW w:w="200" w:type="dxa"/>
            <w:vAlign w:val="bottom"/>
          </w:tcPr>
          <w:p>
            <w:pPr>
              <w:spacing w:after="0"/>
              <w:rPr>
                <w:sz w:val="24"/>
                <w:szCs w:val="24"/>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373,986</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406,689</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66"/>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Private Label</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31,553</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30,885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2.2%</w:t>
            </w:r>
          </w:p>
        </w:tc>
        <w:tc>
          <w:tcPr>
            <w:tcW w:w="200" w:type="dxa"/>
            <w:vAlign w:val="bottom"/>
          </w:tcPr>
          <w:p>
            <w:pPr>
              <w:spacing w:after="0"/>
              <w:rPr>
                <w:sz w:val="23"/>
                <w:szCs w:val="23"/>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108,594</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131,413</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w:t>
            </w:r>
          </w:p>
        </w:tc>
        <w:tc>
          <w:tcPr>
            <w:tcW w:w="0" w:type="dxa"/>
            <w:vAlign w:val="bottom"/>
          </w:tcPr>
          <w:p>
            <w:pPr>
              <w:spacing w:after="0"/>
              <w:rPr>
                <w:sz w:val="1"/>
                <w:szCs w:val="1"/>
                <w:color w:val="auto"/>
              </w:rPr>
            </w:pPr>
          </w:p>
        </w:tc>
      </w:tr>
      <w:tr>
        <w:trPr>
          <w:trHeight w:val="237"/>
        </w:trPr>
        <w:tc>
          <w:tcPr>
            <w:tcW w:w="40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125,412</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133,425</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482,580</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538,102</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0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397,039</w:t>
            </w:r>
          </w:p>
        </w:tc>
        <w:tc>
          <w:tcPr>
            <w:tcW w:w="8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398,022</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(0.2)%</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1,541,573</w:t>
            </w:r>
          </w:p>
        </w:tc>
        <w:tc>
          <w:tcPr>
            <w:tcW w:w="9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1,557,666</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
        </w:trPr>
        <w:tc>
          <w:tcPr>
            <w:tcW w:w="408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080" w:type="dxa"/>
            <w:vAlign w:val="bottom"/>
            <w:vMerge w:val="continue"/>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(928)</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6,817</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57"/>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Less contribution of revenues from acquisitions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(2,548)</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(9,753)</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Less contribution of revenues from divested</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products</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(245)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3"/>
        </w:trPr>
        <w:tc>
          <w:tcPr>
            <w:tcW w:w="4080" w:type="dxa"/>
            <w:vAlign w:val="bottom"/>
          </w:tcPr>
          <w:p>
            <w:pPr>
              <w:ind w:left="20"/>
              <w:spacing w:after="0" w:line="203" w:lineRule="exact"/>
              <w:rPr>
                <w:sz w:val="20"/>
                <w:szCs w:val="20"/>
                <w:color w:val="auto"/>
              </w:rPr>
            </w:pPr>
            <w:r>
              <w:rPr>
                <w:rFonts w:ascii="Times New Roman" w:cs="Times New Roman" w:eastAsia="Times New Roman" w:hAnsi="Times New Roman"/>
                <w:sz w:val="20"/>
                <w:szCs w:val="20"/>
                <w:color w:val="auto"/>
              </w:rPr>
              <w:t>Less contribution of revenues from discontinued</w:t>
            </w: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0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products</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(2,068)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(6,604)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line="223" w:lineRule="exact"/>
              <w:rPr>
                <w:sz w:val="20"/>
                <w:szCs w:val="20"/>
                <w:color w:val="auto"/>
              </w:rPr>
            </w:pPr>
            <w:r>
              <w:rPr>
                <w:rFonts w:ascii="Times New Roman" w:cs="Times New Roman" w:eastAsia="Times New Roman" w:hAnsi="Times New Roman"/>
                <w:sz w:val="20"/>
                <w:szCs w:val="20"/>
                <w:color w:val="auto"/>
              </w:rPr>
              <w:t>Total organic revenues(1)</w:t>
            </w:r>
          </w:p>
        </w:tc>
        <w:tc>
          <w:tcPr>
            <w:tcW w:w="104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391,496</w:t>
            </w:r>
          </w:p>
        </w:tc>
        <w:tc>
          <w:tcPr>
            <w:tcW w:w="860" w:type="dxa"/>
            <w:vAlign w:val="bottom"/>
            <w:tcBorders>
              <w:top w:val="single" w:sz="8" w:color="auto"/>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396,300</w:t>
            </w:r>
          </w:p>
        </w:tc>
        <w:tc>
          <w:tcPr>
            <w:tcW w:w="7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2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8"/>
                <w:szCs w:val="18"/>
                <w:color w:val="auto"/>
              </w:rPr>
              <w:t>1,531,788</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8"/>
                <w:szCs w:val="18"/>
                <w:color w:val="auto"/>
              </w:rPr>
              <w:t>1,531,727</w:t>
            </w: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Revenue impact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(1,005)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(19,543)</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8"/>
                <w:szCs w:val="18"/>
                <w:color w:val="auto"/>
              </w:rPr>
              <w:t>(2,759)</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(83,077)</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Organic Revenues ex Boston</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390,491</w:t>
            </w:r>
          </w:p>
        </w:tc>
        <w:tc>
          <w:tcPr>
            <w:tcW w:w="8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376,756</w:t>
            </w: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8"/>
                <w:szCs w:val="18"/>
                <w:color w:val="auto"/>
              </w:rPr>
              <w:t>1,529,029</w:t>
            </w:r>
          </w:p>
        </w:tc>
        <w:tc>
          <w:tcPr>
            <w:tcW w:w="960" w:type="dxa"/>
            <w:vAlign w:val="bottom"/>
          </w:tcPr>
          <w:p>
            <w:pPr>
              <w:jc w:val="right"/>
              <w:ind w:right="29"/>
              <w:spacing w:after="0"/>
              <w:rPr>
                <w:sz w:val="20"/>
                <w:szCs w:val="20"/>
                <w:color w:val="auto"/>
              </w:rPr>
            </w:pPr>
            <w:r>
              <w:rPr>
                <w:rFonts w:ascii="Times New Roman" w:cs="Times New Roman" w:eastAsia="Times New Roman" w:hAnsi="Times New Roman"/>
                <w:sz w:val="18"/>
                <w:szCs w:val="18"/>
                <w:color w:val="auto"/>
              </w:rPr>
              <w:t>1,448,650</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Organic revenues have been adjusted to exclude foreign currency (current period), acquisitions and to account for divested and discontinued products.</w:t>
      </w:r>
    </w:p>
    <w:p>
      <w:pPr>
        <w:sectPr>
          <w:pgSz w:w="11900" w:h="16838" w:orient="portrait"/>
          <w:cols w:equalWidth="0" w:num="1">
            <w:col w:w="11060"/>
          </w:cols>
          <w:pgMar w:left="320" w:top="891" w:right="5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from continuing operations and locations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42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December 31, 2023</w:t>
            </w: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2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Item</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Total Amount</w:t>
            </w: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99"/>
              </w:rPr>
              <w:t>COGS(a)</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SG&amp;A(b)</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R&amp;D(c)</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Amort.(d)</w:t>
            </w: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OI&amp;E(e)</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Tax(f)</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7"/>
              </w:rPr>
              <w:t>(116)</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4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8"/>
              </w:rPr>
              <w:t>(5,272)</w:t>
            </w: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89"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Three Months Ended December 31,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136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color w:val="auto"/>
              </w:rPr>
              <w:t>Total Amount</w:t>
            </w: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COGS(a)</w:t>
            </w:r>
          </w:p>
        </w:tc>
        <w:tc>
          <w:tcPr>
            <w:tcW w:w="11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color w:val="auto"/>
              </w:rPr>
              <w:t>SG&amp;A(b)</w:t>
            </w:r>
          </w:p>
        </w:tc>
        <w:tc>
          <w:tcPr>
            <w:tcW w:w="11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color w:val="auto"/>
              </w:rPr>
              <w:t>R&amp;D(c)</w:t>
            </w:r>
          </w:p>
        </w:tc>
        <w:tc>
          <w:tcPr>
            <w:tcW w:w="114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Amort.(d)</w:t>
            </w:r>
          </w:p>
        </w:tc>
        <w:tc>
          <w:tcPr>
            <w:tcW w:w="11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OI&amp;E(e)</w:t>
            </w:r>
          </w:p>
        </w:tc>
        <w:tc>
          <w:tcPr>
            <w:tcW w:w="9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Tax(f)</w:t>
            </w:r>
          </w:p>
        </w:tc>
      </w:tr>
      <w:tr>
        <w:trPr>
          <w:trHeight w:val="175"/>
        </w:trPr>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 divestiture and integration-</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220" w:type="dxa"/>
            <w:vAlign w:val="bottom"/>
          </w:tcPr>
          <w:p>
            <w:pPr>
              <w:ind w:left="20"/>
              <w:spacing w:after="0" w:line="239" w:lineRule="exact"/>
              <w:rPr>
                <w:sz w:val="20"/>
                <w:szCs w:val="20"/>
                <w:color w:val="auto"/>
              </w:rPr>
            </w:pPr>
            <w:r>
              <w:rPr>
                <w:rFonts w:ascii="Times New Roman" w:cs="Times New Roman" w:eastAsia="Times New Roman" w:hAnsi="Times New Roman"/>
                <w:sz w:val="18"/>
                <w:szCs w:val="18"/>
                <w:color w:val="auto"/>
              </w:rPr>
              <w:t>related charges</w:t>
            </w:r>
            <w:r>
              <w:rPr>
                <w:rFonts w:ascii="Times New Roman" w:cs="Times New Roman" w:eastAsia="Times New Roman" w:hAnsi="Times New Roman"/>
                <w:sz w:val="23"/>
                <w:szCs w:val="23"/>
                <w:color w:val="auto"/>
                <w:vertAlign w:val="superscript"/>
              </w:rPr>
              <w:t>(1)</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704</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619</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620</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477</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(1,013)</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(1,533)</w:t>
            </w:r>
          </w:p>
        </w:tc>
        <w:tc>
          <w:tcPr>
            <w:tcW w:w="11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(4,195)</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2,669</w:t>
            </w:r>
          </w:p>
        </w:tc>
        <w:tc>
          <w:tcPr>
            <w:tcW w:w="11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12,177</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1,439</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4,855</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5,884</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19,632</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16,089</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3,543</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32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w:t>
            </w:r>
          </w:p>
        </w:tc>
        <w:tc>
          <w:tcPr>
            <w:tcW w:w="1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38"/>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and other items</w:t>
            </w:r>
          </w:p>
        </w:tc>
        <w:tc>
          <w:tcPr>
            <w:tcW w:w="13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(5,091)</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(5,091)</w:t>
            </w:r>
          </w:p>
        </w:tc>
      </w:tr>
      <w:tr>
        <w:trPr>
          <w:trHeight w:val="234"/>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9,861</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and expense</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40"/>
          </w:cols>
          <w:pgMar w:left="320" w:top="89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Twelve Months Ended December 31, 2023</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Amount</w:t>
            </w:r>
          </w:p>
        </w:tc>
        <w:tc>
          <w:tcPr>
            <w:tcW w:w="1100" w:type="dxa"/>
            <w:vAlign w:val="bottom"/>
            <w:tcBorders>
              <w:top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color w:val="auto"/>
              </w:rPr>
              <w:t>R&amp;D(c)</w:t>
            </w:r>
          </w:p>
        </w:tc>
        <w:tc>
          <w:tcPr>
            <w:tcW w:w="920" w:type="dxa"/>
            <w:vAlign w:val="bottom"/>
            <w:tcBorders>
              <w:top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color w:val="auto"/>
              </w:rPr>
              <w:t>Amort.(d)</w:t>
            </w:r>
          </w:p>
        </w:tc>
        <w:tc>
          <w:tcPr>
            <w:tcW w:w="10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OI&amp;E(e)</w:t>
            </w:r>
          </w:p>
        </w:tc>
        <w:tc>
          <w:tcPr>
            <w:tcW w:w="90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Tax(f)</w:t>
            </w:r>
          </w:p>
        </w:tc>
      </w:tr>
      <w:tr>
        <w:trPr>
          <w:trHeight w:val="180"/>
        </w:trPr>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Acquisition, divestiture and integration-related</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25,173</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3,045</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25,181</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(2,188)</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(865)</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23,020</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15,144</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7,943</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46,559</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5,813</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20,002</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20,745</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40,034</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39,181</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853</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82,823</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70,447</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12,376</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200" w:type="dxa"/>
            <w:vAlign w:val="bottom"/>
          </w:tcPr>
          <w:p>
            <w:pPr>
              <w:jc w:val="center"/>
              <w:ind w:left="212"/>
              <w:spacing w:after="0"/>
              <w:rPr>
                <w:sz w:val="20"/>
                <w:szCs w:val="20"/>
                <w:color w:val="auto"/>
              </w:rPr>
            </w:pPr>
            <w:r>
              <w:rPr>
                <w:rFonts w:ascii="Times New Roman" w:cs="Times New Roman" w:eastAsia="Times New Roman" w:hAnsi="Times New Roman"/>
                <w:sz w:val="18"/>
                <w:szCs w:val="18"/>
                <w:color w:val="auto"/>
              </w:rPr>
              <w:t>(37,573)</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(37,573)</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00" w:type="dxa"/>
            <w:vAlign w:val="bottom"/>
          </w:tcPr>
          <w:p>
            <w:pPr>
              <w:jc w:val="center"/>
              <w:ind w:left="232"/>
              <w:spacing w:after="0"/>
              <w:rPr>
                <w:sz w:val="20"/>
                <w:szCs w:val="20"/>
                <w:color w:val="auto"/>
              </w:rPr>
            </w:pPr>
            <w:r>
              <w:rPr>
                <w:rFonts w:ascii="Times New Roman" w:cs="Times New Roman" w:eastAsia="Times New Roman" w:hAnsi="Times New Roman"/>
                <w:sz w:val="18"/>
                <w:szCs w:val="18"/>
                <w:color w:val="auto"/>
                <w:w w:val="96"/>
              </w:rPr>
              <w:t>39,704</w:t>
            </w:r>
          </w:p>
        </w:tc>
        <w:tc>
          <w:tcPr>
            <w:tcW w:w="11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62"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20"/>
          </w:cols>
          <w:pgMar w:left="320" w:top="891"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Twelve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Item</w:t>
            </w:r>
          </w:p>
        </w:tc>
        <w:tc>
          <w:tcPr>
            <w:tcW w:w="12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Total Amount</w:t>
            </w:r>
          </w:p>
        </w:tc>
        <w:tc>
          <w:tcPr>
            <w:tcW w:w="112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color w:val="auto"/>
              </w:rPr>
              <w:t>COGS(a)</w:t>
            </w:r>
          </w:p>
        </w:tc>
        <w:tc>
          <w:tcPr>
            <w:tcW w:w="11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color w:val="auto"/>
              </w:rPr>
              <w:t>SG&amp;A(b)</w:t>
            </w:r>
          </w:p>
        </w:tc>
        <w:tc>
          <w:tcPr>
            <w:tcW w:w="8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color w:val="auto"/>
              </w:rPr>
              <w:t>R&amp;D(c)</w:t>
            </w:r>
          </w:p>
        </w:tc>
        <w:tc>
          <w:tcPr>
            <w:tcW w:w="8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color w:val="auto"/>
              </w:rPr>
              <w:t>Amort.(d)</w:t>
            </w:r>
          </w:p>
        </w:tc>
        <w:tc>
          <w:tcPr>
            <w:tcW w:w="10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OI&amp;E(e)</w:t>
            </w:r>
          </w:p>
        </w:tc>
        <w:tc>
          <w:tcPr>
            <w:tcW w:w="9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2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(18,849)</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1,543</w:t>
            </w:r>
          </w:p>
        </w:tc>
        <w:tc>
          <w:tcPr>
            <w:tcW w:w="11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(13,379)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(4,818)</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2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6"/>
              </w:rPr>
              <w:t>23,072</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5,554</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17,368</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150</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2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6"/>
              </w:rPr>
              <w:t>45,147</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4,626</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16,596</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23,926</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2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6"/>
              </w:rPr>
              <w:t>78,295</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64,413</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13,882</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4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2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240" w:type="dxa"/>
            <w:vAlign w:val="bottom"/>
          </w:tcPr>
          <w:p>
            <w:pPr>
              <w:jc w:val="center"/>
              <w:ind w:left="213"/>
              <w:spacing w:after="0"/>
              <w:rPr>
                <w:sz w:val="20"/>
                <w:szCs w:val="20"/>
                <w:color w:val="auto"/>
              </w:rPr>
            </w:pPr>
            <w:r>
              <w:rPr>
                <w:rFonts w:ascii="Times New Roman" w:cs="Times New Roman" w:eastAsia="Times New Roman" w:hAnsi="Times New Roman"/>
                <w:sz w:val="18"/>
                <w:szCs w:val="18"/>
                <w:color w:val="auto"/>
              </w:rPr>
              <w:t>(27,349)</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(27,349)</w:t>
            </w:r>
          </w:p>
        </w:tc>
      </w:t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24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6"/>
              </w:rPr>
              <w:t>39,943</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89"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and development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Interest (income) expense, net and other (income), net</w:t>
      </w:r>
    </w:p>
    <w:p>
      <w:pPr>
        <w:spacing w:after="0" w:line="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w:t>
      </w:r>
    </w:p>
    <w:p>
      <w:pPr>
        <w:sectPr>
          <w:pgSz w:w="11900" w:h="16838" w:orient="portrait"/>
          <w:cols w:equalWidth="0" w:num="1">
            <w:col w:w="11240"/>
          </w:cols>
          <w:pgMar w:left="320" w:top="891"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NON-GAAP ADJUSTMENTS - GAAP NET INCOME FROM CONTINUING OPERATIONS TO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03"/>
        </w:trPr>
        <w:tc>
          <w:tcPr>
            <w:tcW w:w="5780" w:type="dxa"/>
            <w:vAlign w:val="bottom"/>
          </w:tcPr>
          <w:p>
            <w:pPr>
              <w:spacing w:after="0"/>
              <w:rPr>
                <w:sz w:val="17"/>
                <w:szCs w:val="17"/>
                <w:color w:val="auto"/>
              </w:rPr>
            </w:pPr>
          </w:p>
        </w:tc>
        <w:tc>
          <w:tcPr>
            <w:tcW w:w="264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820" w:type="dxa"/>
            <w:vAlign w:val="bottom"/>
            <w:gridSpan w:val="2"/>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Twelve Months Ended</w:t>
            </w:r>
          </w:p>
        </w:tc>
      </w:tr>
      <w:tr>
        <w:trPr>
          <w:trHeight w:val="239"/>
        </w:trPr>
        <w:tc>
          <w:tcPr>
            <w:tcW w:w="5780" w:type="dxa"/>
            <w:vAlign w:val="bottom"/>
          </w:tcPr>
          <w:p>
            <w:pPr>
              <w:spacing w:after="0"/>
              <w:rPr>
                <w:sz w:val="20"/>
                <w:szCs w:val="20"/>
                <w:color w:val="auto"/>
              </w:rPr>
            </w:pPr>
          </w:p>
        </w:tc>
        <w:tc>
          <w:tcPr>
            <w:tcW w:w="26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8"/>
              </w:rPr>
              <w:t>December 31,</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60" w:type="dxa"/>
            <w:vAlign w:val="bottom"/>
          </w:tcPr>
          <w:p>
            <w:pPr>
              <w:spacing w:after="0"/>
              <w:rPr>
                <w:sz w:val="20"/>
                <w:szCs w:val="20"/>
                <w:color w:val="auto"/>
              </w:rPr>
            </w:pPr>
          </w:p>
        </w:tc>
      </w:tr>
      <w:tr>
        <w:trPr>
          <w:trHeight w:val="227"/>
        </w:trPr>
        <w:tc>
          <w:tcPr>
            <w:tcW w:w="57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2023</w:t>
            </w: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2023</w:t>
            </w: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r>
      <w:tr>
        <w:trPr>
          <w:trHeight w:val="475"/>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income</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19,834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280" w:type="dxa"/>
            <w:vAlign w:val="bottom"/>
          </w:tcPr>
          <w:p>
            <w:pPr>
              <w:spacing w:after="0"/>
              <w:rPr>
                <w:sz w:val="24"/>
                <w:szCs w:val="24"/>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67,741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180,550</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adjustments:</w:t>
            </w: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30,522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29,493</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122,528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118,238</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(1,897)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280" w:type="dxa"/>
            <w:vAlign w:val="bottom"/>
          </w:tcPr>
          <w:p>
            <w:pPr>
              <w:spacing w:after="0"/>
              <w:rPr>
                <w:sz w:val="19"/>
                <w:szCs w:val="19"/>
                <w:color w:val="auto"/>
              </w:rPr>
            </w:pPr>
          </w:p>
        </w:tc>
        <w:tc>
          <w:tcPr>
            <w:tcW w:w="1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(2,853)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(7,833)</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9,202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34,175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37,677</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9,024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11,262</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13,328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33,344</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7,998</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23,020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w:t>
            </w: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12,387</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46,559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45,147</w:t>
            </w: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6,346</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40,034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7,117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25,173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23"/>
        </w:trPr>
        <w:tc>
          <w:tcPr>
            <w:tcW w:w="5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13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80,700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56,747</w:t>
            </w:r>
          </w:p>
        </w:tc>
        <w:tc>
          <w:tcPr>
            <w:tcW w:w="2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301,964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230,796</w:t>
            </w:r>
          </w:p>
        </w:tc>
      </w:tr>
      <w:tr>
        <w:trPr>
          <w:trHeight w:val="228"/>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100,534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109,693</w:t>
            </w:r>
          </w:p>
        </w:tc>
        <w:tc>
          <w:tcPr>
            <w:tcW w:w="280" w:type="dxa"/>
            <w:vAlign w:val="bottom"/>
          </w:tcPr>
          <w:p>
            <w:pPr>
              <w:spacing w:after="0"/>
              <w:rPr>
                <w:sz w:val="19"/>
                <w:szCs w:val="19"/>
                <w:color w:val="auto"/>
              </w:rPr>
            </w:pPr>
          </w:p>
        </w:tc>
        <w:tc>
          <w:tcPr>
            <w:tcW w:w="19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369,705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411,346</w:t>
            </w:r>
          </w:p>
        </w:tc>
      </w:tr>
    </w:tbl>
    <w:p>
      <w:pPr>
        <w:sectPr>
          <w:pgSz w:w="11900" w:h="16838" w:orient="portrait"/>
          <w:cols w:equalWidth="0" w:num="1">
            <w:col w:w="11240"/>
          </w:cols>
          <w:pgMar w:left="320" w:top="891"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RECONCILIATION OF NON-GAAP ADJUSTMENTS - GAAP NET INCOME FROM CONTINUING OPERATIONS TO MEASURES OF</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ADJUSTED NET INCOME AND ADJUSTED 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ectPr>
          <w:pgSz w:w="11900" w:h="16838" w:orient="portrait"/>
          <w:cols w:equalWidth="0" w:num="1">
            <w:col w:w="11240"/>
          </w:cols>
          <w:pgMar w:left="320" w:top="891" w:right="339" w:bottom="1440" w:gutter="0" w:footer="0" w:header="0"/>
        </w:sectPr>
      </w:pPr>
    </w:p>
    <w:p>
      <w:pPr>
        <w:spacing w:after="0" w:line="38"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64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13335</wp:posOffset>
            </wp:positionV>
            <wp:extent cx="1508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10" w:lineRule="exact"/>
        <w:rPr>
          <w:sz w:val="20"/>
          <w:szCs w:val="20"/>
          <w:color w:val="auto"/>
        </w:rPr>
      </w:pPr>
    </w:p>
    <w:p>
      <w:pPr>
        <w:ind w:left="6620"/>
        <w:spacing w:after="0"/>
        <w:tabs>
          <w:tab w:leader="none" w:pos="792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15087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Twelve Months Ended</w:t>
      </w:r>
    </w:p>
    <w:p>
      <w:pPr>
        <w:jc w:val="center"/>
        <w:ind w:right="340"/>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13335</wp:posOffset>
            </wp:positionV>
            <wp:extent cx="1517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17145</wp:posOffset>
            </wp:positionV>
            <wp:extent cx="1517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80" w:space="720"/>
            <w:col w:w="2040"/>
          </w:cols>
          <w:pgMar w:left="320" w:top="891" w:right="339" w:bottom="1440" w:gutter="0" w:footer="0" w:header="0"/>
          <w:type w:val="continuous"/>
        </w:sectPr>
      </w:pPr>
    </w:p>
    <w:p>
      <w:pPr>
        <w:spacing w:after="0" w:line="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19,834</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52,946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67,741</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180,550</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7,998</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23,020</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23,072</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7,117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25,173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(18,849)</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12,387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46,559</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45,147</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6,346</w:t>
            </w:r>
          </w:p>
        </w:tc>
        <w:tc>
          <w:tcPr>
            <w:tcW w:w="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40,034</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20,687</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82,823</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78,295</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(5,272)</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(37,573)</w:t>
            </w: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(27,349)</w:t>
            </w:r>
          </w:p>
        </w:tc>
      </w:tr>
      <w:tr>
        <w:trPr>
          <w:trHeight w:val="218"/>
        </w:trPr>
        <w:tc>
          <w:tcPr>
            <w:tcW w:w="6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49,264</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180,036</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100,316</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69,098</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78,835</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247,777</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280,866</w:t>
            </w:r>
          </w:p>
        </w:tc>
      </w:tr>
      <w:tr>
        <w:trPr>
          <w:trHeight w:val="479"/>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0.89</w:t>
            </w:r>
          </w:p>
        </w:tc>
        <w:tc>
          <w:tcPr>
            <w:tcW w:w="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22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8"/>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19"/>
                <w:szCs w:val="19"/>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77,959</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80,337</w:t>
            </w:r>
          </w:p>
        </w:tc>
        <w:tc>
          <w:tcPr>
            <w:tcW w:w="4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91" w:right="3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00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FFFFFF"/>
              </w:rPr>
              <w:t>825,563</w:t>
            </w:r>
          </w:p>
        </w:tc>
        <w:tc>
          <w:tcPr>
            <w:tcW w:w="2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060" w:type="dxa"/>
            <w:vAlign w:val="bottom"/>
          </w:tcPr>
          <w:p>
            <w:pPr>
              <w:spacing w:after="0"/>
              <w:rPr>
                <w:sz w:val="18"/>
                <w:szCs w:val="18"/>
                <w:color w:val="auto"/>
              </w:rPr>
            </w:pPr>
          </w:p>
        </w:tc>
        <w:tc>
          <w:tcPr>
            <w:tcW w:w="2000" w:type="dxa"/>
            <w:vAlign w:val="bottom"/>
            <w:vMerge w:val="continue"/>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c>
          <w:tcPr>
            <w:tcW w:w="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FFFFFF"/>
              </w:rPr>
              <w:t>$</w:t>
            </w: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FFFFFF"/>
              </w:rPr>
              <w:t>14,531</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42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6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456,661</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259,327</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263,465</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net</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389,608</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324,583</w:t>
            </w:r>
          </w:p>
        </w:tc>
        <w:tc>
          <w:tcPr>
            <w:tcW w:w="0" w:type="dxa"/>
            <w:vAlign w:val="bottom"/>
          </w:tcPr>
          <w:p>
            <w:pPr>
              <w:spacing w:after="0"/>
              <w:rPr>
                <w:sz w:val="1"/>
                <w:szCs w:val="1"/>
                <w:color w:val="auto"/>
              </w:rPr>
            </w:pPr>
          </w:p>
        </w:tc>
      </w:tr>
      <w:tr>
        <w:trPr>
          <w:trHeight w:val="4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840,094</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771,274</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0" w:type="dxa"/>
            <w:vAlign w:val="bottom"/>
          </w:tcPr>
          <w:p>
            <w:pPr>
              <w:spacing w:after="0"/>
              <w:rPr>
                <w:sz w:val="1"/>
                <w:szCs w:val="1"/>
                <w:color w:val="auto"/>
              </w:rPr>
            </w:pP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2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567,341</w:t>
            </w:r>
          </w:p>
        </w:tc>
        <w:tc>
          <w:tcPr>
            <w:tcW w:w="0" w:type="dxa"/>
            <w:vAlign w:val="bottom"/>
          </w:tcPr>
          <w:p>
            <w:pPr>
              <w:spacing w:after="0"/>
              <w:rPr>
                <w:sz w:val="1"/>
                <w:szCs w:val="1"/>
                <w:color w:val="auto"/>
              </w:rPr>
            </w:pPr>
          </w:p>
        </w:tc>
      </w:tr>
      <w:tr>
        <w:trPr>
          <w:trHeight w:val="44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1,587,884</w:t>
            </w:r>
          </w:p>
        </w:tc>
        <w:tc>
          <w:tcPr>
            <w:tcW w:w="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1,804,403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40" w:type="dxa"/>
            <w:vAlign w:val="bottom"/>
          </w:tcPr>
          <w:p>
            <w:pPr>
              <w:spacing w:after="0"/>
              <w:rPr>
                <w:sz w:val="19"/>
                <w:szCs w:val="19"/>
                <w:color w:val="auto"/>
              </w:rPr>
            </w:pPr>
          </w:p>
        </w:tc>
        <w:tc>
          <w:tcPr>
            <w:tcW w:w="3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Twelve Months Ending December 31,</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2023</w:t>
            </w:r>
          </w:p>
        </w:tc>
        <w:tc>
          <w:tcPr>
            <w:tcW w:w="7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400" w:type="dxa"/>
            <w:vAlign w:val="bottom"/>
          </w:tcPr>
          <w:p>
            <w:pPr>
              <w:jc w:val="right"/>
              <w:ind w:right="121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139,955</w:t>
            </w:r>
          </w:p>
        </w:tc>
        <w:tc>
          <w:tcPr>
            <w:tcW w:w="1460" w:type="dxa"/>
            <w:vAlign w:val="bottom"/>
          </w:tcPr>
          <w:p>
            <w:pPr>
              <w:jc w:val="right"/>
              <w:ind w:right="1255"/>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264,469</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(94,178)</w:t>
            </w: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0" w:type="dxa"/>
            <w:vAlign w:val="bottom"/>
          </w:tcPr>
          <w:p>
            <w:pPr>
              <w:spacing w:after="0"/>
              <w:rPr>
                <w:sz w:val="1"/>
                <w:szCs w:val="1"/>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by financing activities</w:t>
            </w:r>
          </w:p>
        </w:tc>
        <w:tc>
          <w:tcPr>
            <w:tcW w:w="1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(229,925)</w:t>
            </w:r>
          </w:p>
        </w:tc>
        <w:tc>
          <w:tcPr>
            <w:tcW w:w="1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(251,953)</w:t>
            </w: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w:t>
            </w:r>
          </w:p>
        </w:tc>
        <w:tc>
          <w:tcPr>
            <w:tcW w:w="1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(10,723)</w:t>
            </w:r>
          </w:p>
        </w:tc>
        <w:tc>
          <w:tcPr>
            <w:tcW w:w="0" w:type="dxa"/>
            <w:vAlign w:val="bottom"/>
          </w:tcPr>
          <w:p>
            <w:pPr>
              <w:spacing w:after="0"/>
              <w:rPr>
                <w:sz w:val="1"/>
                <w:szCs w:val="1"/>
                <w:color w:val="auto"/>
              </w:rPr>
            </w:pPr>
          </w:p>
        </w:tc>
      </w:tr>
      <w:tr>
        <w:trPr>
          <w:trHeight w:val="48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(180,259)</w:t>
            </w:r>
          </w:p>
        </w:tc>
        <w:tc>
          <w:tcPr>
            <w:tcW w:w="1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20" w:name="page21"/>
    <w:bookmarkEnd w:id="20"/>
    <w:p>
      <w:pPr>
        <w:jc w:val="center"/>
        <w:ind w:left="1020" w:right="96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ADJUSTED FREE CASH FLOW AND ADJUSTED FREE CASH FLOW CONVERSION (UNAUDITED)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1" w:lineRule="exact"/>
        <w:rPr>
          <w:sz w:val="20"/>
          <w:szCs w:val="20"/>
          <w:color w:val="auto"/>
        </w:rPr>
      </w:pPr>
    </w:p>
    <w:p>
      <w:pPr>
        <w:jc w:val="right"/>
        <w:ind w:right="640"/>
        <w:spacing w:after="0"/>
        <w:rPr>
          <w:sz w:val="20"/>
          <w:szCs w:val="20"/>
          <w:color w:val="auto"/>
        </w:rPr>
      </w:pPr>
      <w:r>
        <w:rPr>
          <w:rFonts w:ascii="Times New Roman" w:cs="Times New Roman" w:eastAsia="Times New Roman" w:hAnsi="Times New Roman"/>
          <w:sz w:val="18"/>
          <w:szCs w:val="18"/>
          <w:color w:val="auto"/>
        </w:rPr>
        <w:t>Three Months Ended December 31,</w:t>
      </w:r>
    </w:p>
    <w:p>
      <w:pPr>
        <w:spacing w:after="0" w:line="27" w:lineRule="exact"/>
        <w:rPr>
          <w:sz w:val="20"/>
          <w:szCs w:val="20"/>
          <w:color w:val="auto"/>
        </w:rPr>
      </w:pPr>
    </w:p>
    <w:p>
      <w:pPr>
        <w:ind w:left="8040"/>
        <w:spacing w:after="0"/>
        <w:tabs>
          <w:tab w:leader="none" w:pos="994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ectPr>
          <w:pgSz w:w="11900" w:h="16838" w:orient="portrait"/>
          <w:cols w:equalWidth="0" w:num="1">
            <w:col w:w="11180"/>
          </w:cols>
          <w:pgMar w:left="320" w:top="891" w:right="399" w:bottom="1440" w:gutter="0" w:footer="0" w:header="0"/>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 Free Cash Flow</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Free Cash Flow Conversion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$58,746</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$85,333</w:t>
            </w:r>
          </w:p>
        </w:tc>
      </w:tr>
      <w:tr>
        <w:trPr>
          <w:trHeight w:val="488"/>
        </w:trPr>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(24,563)</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(14,455)</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$34,183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$70,878</w:t>
            </w:r>
          </w:p>
        </w:tc>
      </w:tr>
      <w:tr>
        <w:trPr>
          <w:trHeight w:val="495"/>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69,098</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78,835</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49.5 %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89.9 %</w:t>
            </w:r>
          </w:p>
        </w:tc>
      </w:tr>
    </w:tbl>
    <w:p>
      <w:pPr>
        <w:spacing w:after="0" w:line="200" w:lineRule="exact"/>
        <w:rPr>
          <w:sz w:val="20"/>
          <w:szCs w:val="20"/>
          <w:color w:val="auto"/>
        </w:rPr>
      </w:pPr>
    </w:p>
    <w:p>
      <w:pPr>
        <w:sectPr>
          <w:pgSz w:w="11900" w:h="16838" w:orient="portrait"/>
          <w:cols w:equalWidth="0" w:num="2">
            <w:col w:w="6620" w:space="720"/>
            <w:col w:w="3840"/>
          </w:cols>
          <w:pgMar w:left="320" w:top="891" w:right="399" w:bottom="1440" w:gutter="0" w:footer="0" w:header="0"/>
          <w:type w:val="continuous"/>
        </w:sectPr>
      </w:pPr>
    </w:p>
    <w:p>
      <w:pPr>
        <w:spacing w:after="0" w:line="33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7"/>
          <w:szCs w:val="17"/>
          <w:color w:val="auto"/>
        </w:rPr>
        <w:t>Twelve Months Ending December 31,</w:t>
      </w:r>
    </w:p>
    <w:p>
      <w:pPr>
        <w:spacing w:after="0" w:line="39" w:lineRule="exact"/>
        <w:rPr>
          <w:sz w:val="20"/>
          <w:szCs w:val="20"/>
          <w:color w:val="auto"/>
        </w:rPr>
      </w:pPr>
    </w:p>
    <w:p>
      <w:pPr>
        <w:ind w:left="8040"/>
        <w:spacing w:after="0"/>
        <w:tabs>
          <w:tab w:leader="none" w:pos="9940" w:val="left"/>
        </w:tabs>
        <w:rPr>
          <w:sz w:val="20"/>
          <w:szCs w:val="20"/>
          <w:color w:val="auto"/>
        </w:rPr>
      </w:pPr>
      <w:r>
        <w:rPr>
          <w:rFonts w:ascii="Times New Roman" w:cs="Times New Roman" w:eastAsia="Times New Roman" w:hAnsi="Times New Roman"/>
          <w:sz w:val="18"/>
          <w:szCs w:val="18"/>
          <w:color w:val="auto"/>
        </w:rPr>
        <w:t>2023</w:t>
      </w:r>
      <w:r>
        <w:rPr>
          <w:sz w:val="20"/>
          <w:szCs w:val="20"/>
          <w:color w:val="auto"/>
        </w:rPr>
        <w:tab/>
      </w:r>
      <w:r>
        <w:rPr>
          <w:rFonts w:ascii="Times New Roman" w:cs="Times New Roman" w:eastAsia="Times New Roman" w:hAnsi="Times New Roman"/>
          <w:sz w:val="18"/>
          <w:szCs w:val="18"/>
          <w:color w:val="auto"/>
        </w:rPr>
        <w:t>2022</w:t>
      </w:r>
    </w:p>
    <w:p>
      <w:pPr>
        <w:sectPr>
          <w:pgSz w:w="11900" w:h="16838" w:orient="portrait"/>
          <w:cols w:equalWidth="0" w:num="1">
            <w:col w:w="11180"/>
          </w:cols>
          <w:pgMar w:left="320" w:top="891" w:right="399" w:bottom="1440" w:gutter="0" w:footer="0" w:header="0"/>
          <w:type w:val="continuous"/>
        </w:sectPr>
      </w:pP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GAAP Net cash provided by operating activities</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 Free Cash Flow</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Free Cash Flow Conversion</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$139,955</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$264,469</w:t>
            </w:r>
          </w:p>
        </w:tc>
      </w:tr>
      <w:tr>
        <w:trPr>
          <w:trHeight w:val="488"/>
        </w:trPr>
        <w:tc>
          <w:tcPr>
            <w:tcW w:w="5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(66,865)</w:t>
            </w:r>
          </w:p>
        </w:tc>
        <w:tc>
          <w:tcPr>
            <w:tcW w:w="14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(42,343)</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$73,090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$222,127</w:t>
            </w:r>
          </w:p>
        </w:tc>
      </w:tr>
      <w:tr>
        <w:trPr>
          <w:trHeight w:val="495"/>
        </w:trPr>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247,777</w:t>
            </w: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280,867</w:t>
            </w:r>
          </w:p>
        </w:tc>
      </w:tr>
      <w:tr>
        <w:trPr>
          <w:trHeight w:val="228"/>
        </w:trPr>
        <w:tc>
          <w:tcPr>
            <w:tcW w:w="540" w:type="dxa"/>
            <w:vAlign w:val="bottom"/>
          </w:tcPr>
          <w:p>
            <w:pPr>
              <w:spacing w:after="0"/>
              <w:rPr>
                <w:sz w:val="19"/>
                <w:szCs w:val="19"/>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29.5 %</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79.1 %</w:t>
            </w:r>
          </w:p>
        </w:tc>
      </w:tr>
    </w:tbl>
    <w:p>
      <w:pPr>
        <w:spacing w:after="0" w:line="200" w:lineRule="exact"/>
        <w:rPr>
          <w:sz w:val="20"/>
          <w:szCs w:val="20"/>
          <w:color w:val="auto"/>
        </w:rPr>
      </w:pPr>
    </w:p>
    <w:p>
      <w:pPr>
        <w:sectPr>
          <w:pgSz w:w="11900" w:h="16838" w:orient="portrait"/>
          <w:cols w:equalWidth="0" w:num="2">
            <w:col w:w="6620" w:space="720"/>
            <w:col w:w="3840"/>
          </w:cols>
          <w:pgMar w:left="320" w:top="89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8"/>
        <w:spacing w:after="0" w:line="266"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and twelve months ended December 31, 2022 and 2023 are reconciled above. Adjusted net income for remaining quarters in the trailing twelve months calculation have been previously reconciled and are publicly available in the Quarterly Earnings Call Presentations on our website at investor.integralife.com.</w:t>
      </w:r>
    </w:p>
    <w:p>
      <w:pPr>
        <w:spacing w:after="0" w:line="200" w:lineRule="exact"/>
        <w:rPr>
          <w:sz w:val="20"/>
          <w:szCs w:val="20"/>
          <w:color w:val="auto"/>
        </w:rPr>
      </w:pPr>
    </w:p>
    <w:p>
      <w:pPr>
        <w:spacing w:after="0" w:line="2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a useful metric in evaluating the significance of the cash special charges in its adjusted earnings measures.</w:t>
      </w:r>
    </w:p>
    <w:p>
      <w:pPr>
        <w:sectPr>
          <w:pgSz w:w="11900" w:h="16838" w:orient="portrait"/>
          <w:cols w:equalWidth="0" w:num="1">
            <w:col w:w="11180"/>
          </w:cols>
          <w:pgMar w:left="320" w:top="891" w:right="399" w:bottom="1440" w:gutter="0" w:footer="0" w:header="0"/>
          <w:type w:val="continuous"/>
        </w:sectPr>
      </w:pPr>
    </w:p>
    <w:bookmarkStart w:id="21" w:name="page22"/>
    <w:bookmarkEnd w:id="21"/>
    <w:p>
      <w:pPr>
        <w:jc w:val="center"/>
        <w:ind w:right="-19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0"/>
                <w:szCs w:val="20"/>
                <w:color w:val="auto"/>
              </w:rPr>
            </w:pPr>
          </w:p>
        </w:tc>
        <w:tc>
          <w:tcPr>
            <w:tcW w:w="13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825,563</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733,149</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convertible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570,255</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567,341</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(32,694)</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(276,402)</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(456,661)</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1,200,104</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998,039</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00"/>
      </w:cols>
      <w:pgMar w:left="340" w:top="137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lvl w:ilvl="1">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DED7263"/>
    <w:multiLevelType w:val="hybridMultilevel"/>
    <w:lvl w:ilvl="0">
      <w:lvlJc w:val="left"/>
      <w:lvlText w:val="(%1)"/>
      <w:numFmt w:val="decimal"/>
      <w:start w:val="609"/>
    </w:lvl>
  </w:abstractNum>
  <w:abstractNum w:abstractNumId="11">
    <w:nsid w:val="7FDCC233"/>
    <w:multiLevelType w:val="hybridMultilevel"/>
    <w:lvl w:ilvl="0">
      <w:lvlJc w:val="left"/>
      <w:lvlText w:val="(%1)"/>
      <w:numFmt w:val="decimal"/>
      <w:start w:val="609"/>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2024-02-28T05:33:52Z</dcterms:created>
  <dcterms:modified xsi:type="dcterms:W3CDTF">2024-02-28T05:33:52Z</dcterms:modified>
</cp:coreProperties>
</file>