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26, 2026</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26, 2026, Integra LifeSciences Holdings Corporation (the “Company”) issued a press release announcing financial results for the quarter and full year ended December 31, 2025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and years ended December 31, 2025 and 2024, GAAP net income to adjusted earnings before interest, taxes, depreciation and amortization (“EBITDA”) for the quarters and years ended December 31, 2025 and 2024, GAAP net income to adjusted net income for the quarters and years ended December 31, 2025 and 2024, GAAP gross profits to adjusted gross profits for the quarters and years ended December 31, 2025 and 2024, GAAP gross margin to adjusted gross margin for the quarters and year ended December 31, 2025 and 2024, GAAP earnings per diluted share to adjusted earnings per diluted share for the quarters and years ended December 31, 2025 and 2024, GAAP total debt to net debt for the years ended December 31, 2025 and 2024 and GAAP operating cash flow to free cash flow and adjusted free cash flow conversion used by management for the quarters and years ended December 31, 2025 and 2024.</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GAAP results, we provide certain non-GAAP measures, including organic revenues, adjusted EBITDA, adjusted EBITDA margin,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 The measure of adjusted EBITDA margin is calculated by dividing adjusted EBITDA by GAAP total revenues.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(vi) income tax impact from adjustments; and</w:t>
      </w:r>
    </w:p>
    <w:p>
      <w:pPr>
        <w:spacing w:after="0" w:line="4" w:lineRule="exact"/>
        <w:rPr>
          <w:sz w:val="20"/>
          <w:szCs w:val="20"/>
          <w:color w:val="auto"/>
        </w:rPr>
      </w:pPr>
    </w:p>
    <w:p>
      <w:pPr>
        <w:jc w:val="both"/>
        <w:ind w:firstLine="8"/>
        <w:spacing w:after="0" w:line="251" w:lineRule="auto"/>
        <w:tabs>
          <w:tab w:leader="none" w:pos="3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and the various adjusted EBITDA, adjusted EBITDA margin, adjusted net income, adjusted gross profit, adjusted gross margin, adjusted earnings per diluted share, net debt, free cash flow and 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adjusted EBITDA, adjusted EBITDA margin, 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revenues, adjusted EBITDA, adjusted EBITDA margin, adjusted net income, adjusted gross profit, adjusted gross margin, adjusted earnings per diluted share, net debt, free cash flow and adjusted free cash flow conversion are significant measures used by management for purposes of:</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change in total revenues for the quarter and full year ended December 31, 2025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of adjusted net income and adjusted gross profit reflect GAAP net income and GAAP gross profit, respectively, each adjusted for one or more of the following items, as applicable:</w:t>
      </w:r>
    </w:p>
    <w:p>
      <w:pPr>
        <w:spacing w:after="0" w:line="189" w:lineRule="exact"/>
        <w:rPr>
          <w:sz w:val="20"/>
          <w:szCs w:val="20"/>
          <w:color w:val="auto"/>
        </w:rPr>
      </w:pPr>
    </w:p>
    <w:p>
      <w:pPr>
        <w:jc w:val="both"/>
        <w:ind w:left="66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75"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Recall/Braintree transition charges.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These charges represent costs, including inventory write-offs, idle capacity charges and charges related</w:t>
      </w:r>
      <w:r>
        <w:rPr>
          <w:rFonts w:ascii="Times New Roman" w:cs="Times New Roman" w:eastAsia="Times New Roman" w:hAnsi="Times New Roman"/>
          <w:sz w:val="18"/>
          <w:szCs w:val="18"/>
          <w:color w:val="auto"/>
        </w:rPr>
        <w:t xml:space="preserve"> to the transition of Boston-related manufacturing operations to the Company’s Braintree, Massachusetts facility, incurred in connection with the recall. Management excludes this item when evaluating the Company’s operating performance because of the infrequent and/or large scale nature of these activities.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Impairment charges</w:t>
      </w:r>
      <w:r>
        <w:rPr>
          <w:rFonts w:ascii="Times New Roman" w:cs="Times New Roman" w:eastAsia="Times New Roman" w:hAnsi="Times New Roman"/>
          <w:sz w:val="18"/>
          <w:szCs w:val="18"/>
          <w:color w:val="auto"/>
        </w:rPr>
        <w:t>. These charges represent the impairment of goodwill due to the increased risk to the Company’s future results of operations from a number of factors, including recent tariff changes that have created broad economic uncertainty and the impact of quality, operational, and supply issues that have had a negative impact on the Company’s market capitalization. Management excludes this item when evaluating the Company's operating performance because it is a non-cash expense.</w:t>
      </w: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organic revenues and adjusted earnings per diluted share but did not provide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Specifically, the actual impact of changes in foreign exchange rates and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 unavailable information could have a material impact on GAAP results.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Organic revenues, adjusted EBITDA, adjusted EBITDA margin,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reconciliations of GAAP reported revenues to organic revenues for the quarters and years ended December 31, 2025 and 2024, GAAP total debt to net debt for the years ended December 31, 2025 and 2024, and GAAP net income to adjusted EBITDA, GAAP net income to adjusted net income, GAAP gross profit to adjusted gross profit, GAAP gross margin to adjusted gross margin, GAAP earnings per diluted share to adjusted earnings per diluted share, and GAAP operating cash flow to free cash flow and adjusted free cash flow conversion used by management for the quarters and twelve months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with attachments, dated February 26, 2026, issued by Integra LifeSciences Holdings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08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45"/>
        </w:trPr>
        <w:tc>
          <w:tcPr>
            <w:tcW w:w="32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Lea Knight</w:t>
            </w:r>
          </w:p>
        </w:tc>
        <w:tc>
          <w:tcPr>
            <w:tcW w:w="2860" w:type="dxa"/>
            <w:vAlign w:val="bottom"/>
          </w:tcPr>
          <w:p>
            <w:pPr>
              <w:spacing w:after="0"/>
              <w:rPr>
                <w:sz w:val="21"/>
                <w:szCs w:val="21"/>
                <w:color w:val="auto"/>
              </w:rPr>
            </w:pPr>
          </w:p>
        </w:tc>
      </w:tr>
      <w:tr>
        <w:trPr>
          <w:trHeight w:val="234"/>
        </w:trPr>
        <w:tc>
          <w:tcPr>
            <w:tcW w:w="3260" w:type="dxa"/>
            <w:vAlign w:val="bottom"/>
          </w:tcPr>
          <w:p>
            <w:pPr>
              <w:spacing w:after="0"/>
              <w:rPr>
                <w:sz w:val="20"/>
                <w:szCs w:val="20"/>
                <w:color w:val="auto"/>
              </w:rPr>
            </w:pP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Integra LifeSciences Reports Fourth Quarter and Full-Year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Financial Results and Provides 2026 Financial Guidance</w:t>
      </w:r>
    </w:p>
    <w:p>
      <w:pPr>
        <w:spacing w:after="0" w:line="231"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 xml:space="preserve">Princeton, New Jersey, February 26, 2026 -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today reported financial results for the fourth quarter and full year ended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2025</w:t>
      </w:r>
    </w:p>
    <w:p>
      <w:pPr>
        <w:spacing w:after="0" w:line="247" w:lineRule="exact"/>
        <w:rPr>
          <w:sz w:val="20"/>
          <w:szCs w:val="20"/>
          <w:color w:val="auto"/>
        </w:rPr>
      </w:pPr>
    </w:p>
    <w:p>
      <w:pPr>
        <w:ind w:left="340" w:right="240" w:hanging="332"/>
        <w:spacing w:after="0" w:line="282" w:lineRule="auto"/>
        <w:tabs>
          <w:tab w:leader="none" w:pos="328"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Reported revenues were $434.9 million, representing a decrease of 1.7% on a reported basis and 2.5% on an organic basis compared to the fourth quarter of 2024.</w:t>
      </w:r>
    </w:p>
    <w:p>
      <w:pPr>
        <w:spacing w:after="0" w:line="187" w:lineRule="exact"/>
        <w:rPr>
          <w:rFonts w:ascii="Arial" w:cs="Arial" w:eastAsia="Arial" w:hAnsi="Arial"/>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earnings per diluted share were $(0.02), compared to $0.25 in the fourth quarter of 2024.</w:t>
      </w:r>
    </w:p>
    <w:p>
      <w:pPr>
        <w:spacing w:after="0" w:line="24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diluted share were $0.83, compared to $0.97 in the fourth quarter of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2025</w:t>
      </w:r>
    </w:p>
    <w:p>
      <w:pPr>
        <w:spacing w:after="0" w:line="247" w:lineRule="exact"/>
        <w:rPr>
          <w:sz w:val="20"/>
          <w:szCs w:val="20"/>
          <w:color w:val="auto"/>
        </w:rPr>
      </w:pPr>
    </w:p>
    <w:p>
      <w:pPr>
        <w:ind w:left="340" w:right="420" w:hanging="332"/>
        <w:spacing w:after="0" w:line="269" w:lineRule="auto"/>
        <w:tabs>
          <w:tab w:leader="none" w:pos="32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revenues were $1,635.2 million, representing an increase of 1.5% on a reported basis and a decrease of 0.7% on an organic basis compared to full-year 2024.</w:t>
      </w:r>
    </w:p>
    <w:p>
      <w:pPr>
        <w:spacing w:after="0" w:line="17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earnings per diluted share were $(6.74), compared to $(0.09) in 2024.</w:t>
      </w:r>
    </w:p>
    <w:p>
      <w:pPr>
        <w:spacing w:after="0" w:line="24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diluted share were $2.23, compared to $2.56 in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“In the fourth quarter, we drove tangible operational progress while continuing to deliver for our customers and patients,” said Mojdeh Poul, president and chief executive officer. “During 2025, we further strengthened our quality management system, advanced our Compliance Master Plan, and progressed execution of our remediation work. Our operational and execution focus resulted in significant outcomes in key areas, namely Integra Skin supply reliability, healthier safety stock levels across our portfolio, and early relaunch of PriMatrix and Durepair.”</w:t>
      </w:r>
    </w:p>
    <w:p>
      <w:pPr>
        <w:spacing w:after="0" w:line="1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"Earlier this month we implemented a key element of our transformation plan - a simplified operating model that improves alignment, execution, and accountability. This is critical to our long-term margin improvement plan and a key contributor to our previously communicated </w:t>
      </w:r>
      <w:r>
        <w:rPr>
          <w:rFonts w:ascii="Times New Roman" w:cs="Times New Roman" w:eastAsia="Times New Roman" w:hAnsi="Times New Roman"/>
          <w:sz w:val="21"/>
          <w:szCs w:val="21"/>
          <w:color w:val="auto"/>
        </w:rPr>
        <w:t>savings of $25-$30 million</w:t>
      </w:r>
      <w:r>
        <w:rPr>
          <w:rFonts w:ascii="Times New Roman" w:cs="Times New Roman" w:eastAsia="Times New Roman" w:hAnsi="Times New Roman"/>
          <w:sz w:val="20"/>
          <w:szCs w:val="20"/>
          <w:color w:val="auto"/>
        </w:rPr>
        <w:t xml:space="preserve"> in 2026. Combined with focused portfolio prioritization and disciplined capital allocation, these actions reinforce the foundation for long-term sustainable growth, innovation, and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2025 Financial Summary</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Total reported revenues for the fourth quarter were $434.9 million, a decrease of 1.7% from the fourth quarter of 2024. Fourth quarter organic revenues were down 2.5% compared to the prior year.</w:t>
      </w:r>
    </w:p>
    <w:p>
      <w:pPr>
        <w:spacing w:after="0" w:line="20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Company reported a GAAP net loss of $(1.7) million, or $(0.02) per diluted share, in the fourth quarter of 2025, compared to GAAP net income of $19.4 million, or $0.25 per diluted share, in the prior year.</w:t>
      </w:r>
    </w:p>
    <w:p>
      <w:pPr>
        <w:sectPr>
          <w:pgSz w:w="11900" w:h="16838" w:orient="portrait"/>
          <w:cols w:equalWidth="0" w:num="1">
            <w:col w:w="11240"/>
          </w:cols>
          <w:pgMar w:left="320" w:top="1289" w:right="339" w:bottom="1440" w:gutter="0" w:footer="0" w:header="0"/>
        </w:sectPr>
      </w:pPr>
    </w:p>
    <w:bookmarkStart w:id="7" w:name="page8"/>
    <w:bookmarkEnd w:id="7"/>
    <w:p>
      <w:pPr>
        <w:ind w:right="720"/>
        <w:spacing w:after="0" w:line="269" w:lineRule="auto"/>
        <w:rPr>
          <w:sz w:val="20"/>
          <w:szCs w:val="20"/>
          <w:color w:val="auto"/>
        </w:rPr>
      </w:pPr>
      <w:r>
        <w:rPr>
          <w:rFonts w:ascii="Times New Roman" w:cs="Times New Roman" w:eastAsia="Times New Roman" w:hAnsi="Times New Roman"/>
          <w:sz w:val="20"/>
          <w:szCs w:val="20"/>
          <w:color w:val="auto"/>
        </w:rPr>
        <w:t>Adjusted EBITDA for the fourth quarter of 2025 was $104.2 million, compared to $104.9 million in the fourth quarter of 2024. As a percentage of revenue, adjusted EBITDA was 24.0%, compared to 23.7% in the prior year.</w:t>
      </w:r>
    </w:p>
    <w:p>
      <w:pPr>
        <w:spacing w:after="0" w:line="18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Adjusted net income for the fourth quarter of 2025 was $63.7 million, or $0.83 per diluted share, compared to adjusted net income of $73.3 million, or $0.97 per diluted share, in the fourth quarter of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 from operations totaled $11.8 million in the fourth quarter and capital expenditures were $17.2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2025 Segment Performance</w:t>
      </w:r>
    </w:p>
    <w:p>
      <w:pPr>
        <w:spacing w:after="0" w:line="23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Codman Specialty Surgical (75% of Revenues)</w:t>
      </w:r>
    </w:p>
    <w:p>
      <w:pPr>
        <w:spacing w:after="0" w:line="22" w:lineRule="exact"/>
        <w:rPr>
          <w:sz w:val="20"/>
          <w:szCs w:val="20"/>
          <w:color w:val="auto"/>
        </w:rPr>
      </w:pPr>
    </w:p>
    <w:p>
      <w:pPr>
        <w:ind w:left="980" w:right="20"/>
        <w:spacing w:after="0" w:line="232" w:lineRule="auto"/>
        <w:rPr>
          <w:sz w:val="20"/>
          <w:szCs w:val="20"/>
          <w:color w:val="auto"/>
        </w:rPr>
      </w:pPr>
      <w:r>
        <w:rPr>
          <w:rFonts w:ascii="Times New Roman" w:cs="Times New Roman" w:eastAsia="Times New Roman" w:hAnsi="Times New Roman"/>
          <w:sz w:val="20"/>
          <w:szCs w:val="20"/>
          <w:color w:val="auto"/>
        </w:rPr>
        <w:t>Total revenues were $323.3 million, representing an increase of 2.7% on a reported basis and 1.6% on an organic basis compared to the fourth quarter of 2024.</w:t>
      </w:r>
    </w:p>
    <w:p>
      <w:pPr>
        <w:spacing w:after="0" w:line="1" w:lineRule="exact"/>
        <w:rPr>
          <w:sz w:val="20"/>
          <w:szCs w:val="20"/>
          <w:color w:val="auto"/>
        </w:rPr>
      </w:pPr>
    </w:p>
    <w:p>
      <w:pPr>
        <w:ind w:left="1540" w:right="260" w:hanging="236"/>
        <w:spacing w:after="0"/>
        <w:tabs>
          <w:tab w:leader="none" w:pos="152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in Neurosurgery grew 1.4% on an organic basis reflecting growth against a strong prior-year comparison, with continued strong performance across key products, including double-digit growth in </w:t>
      </w:r>
      <w:r>
        <w:rPr>
          <w:rFonts w:ascii="Times New Roman" w:cs="Times New Roman" w:eastAsia="Times New Roman" w:hAnsi="Times New Roman"/>
          <w:sz w:val="21"/>
          <w:szCs w:val="21"/>
          <w:color w:val="auto"/>
        </w:rPr>
        <w:t>CereLink®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Mayfield® capital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color w:val="auto"/>
        </w:rPr>
        <w:t>Aurora®</w:t>
      </w:r>
      <w:r>
        <w:rPr>
          <w:rFonts w:ascii="Times New Roman" w:cs="Times New Roman" w:eastAsia="Times New Roman" w:hAnsi="Times New Roman"/>
          <w:sz w:val="20"/>
          <w:szCs w:val="20"/>
          <w:color w:val="auto"/>
        </w:rPr>
        <w:t>, along with high-single digit growth in CUSA®.</w:t>
      </w:r>
    </w:p>
    <w:p>
      <w:pPr>
        <w:spacing w:after="0" w:line="1" w:lineRule="exact"/>
        <w:rPr>
          <w:rFonts w:ascii="Times New Roman" w:cs="Times New Roman" w:eastAsia="Times New Roman" w:hAnsi="Times New Roman"/>
          <w:sz w:val="20"/>
          <w:szCs w:val="20"/>
          <w:color w:val="auto"/>
        </w:rPr>
      </w:pPr>
    </w:p>
    <w:p>
      <w:pPr>
        <w:ind w:left="1540" w:hanging="236"/>
        <w:spacing w:after="0" w:line="224" w:lineRule="auto"/>
        <w:tabs>
          <w:tab w:leader="none" w:pos="154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Sales of Instruments grew 2.3% on an organic basis, in-line with the market.</w:t>
      </w:r>
    </w:p>
    <w:p>
      <w:pPr>
        <w:spacing w:after="0" w:line="8" w:lineRule="exact"/>
        <w:rPr>
          <w:rFonts w:ascii="Arial" w:cs="Arial" w:eastAsia="Arial" w:hAnsi="Arial"/>
          <w:sz w:val="22"/>
          <w:szCs w:val="22"/>
          <w:color w:val="auto"/>
        </w:rPr>
      </w:pPr>
    </w:p>
    <w:p>
      <w:pPr>
        <w:ind w:left="1540" w:right="740" w:hanging="236"/>
        <w:spacing w:after="0" w:line="234" w:lineRule="auto"/>
        <w:tabs>
          <w:tab w:leader="none" w:pos="153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ENT sales grew 2.2% on an organic basis driven by AERA®, TruDi® navigated disposables, and MicroFrance® instruments, partially offset by a decline in sinuplasty balloons.</w:t>
      </w:r>
    </w:p>
    <w:p>
      <w:pPr>
        <w:ind w:left="1540" w:hanging="236"/>
        <w:spacing w:after="0" w:line="224" w:lineRule="auto"/>
        <w:tabs>
          <w:tab w:leader="none" w:pos="154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Sales in International grew high-single digits, reflecting continued strong demand.</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Tissue Technologies (25% of Revenues)</w:t>
      </w:r>
    </w:p>
    <w:p>
      <w:pPr>
        <w:spacing w:after="0" w:line="22" w:lineRule="exact"/>
        <w:rPr>
          <w:sz w:val="20"/>
          <w:szCs w:val="20"/>
          <w:color w:val="auto"/>
        </w:rPr>
      </w:pPr>
    </w:p>
    <w:p>
      <w:pPr>
        <w:ind w:left="980" w:right="140"/>
        <w:spacing w:after="0" w:line="229" w:lineRule="auto"/>
        <w:rPr>
          <w:sz w:val="20"/>
          <w:szCs w:val="20"/>
          <w:color w:val="auto"/>
        </w:rPr>
      </w:pPr>
      <w:r>
        <w:rPr>
          <w:rFonts w:ascii="Times New Roman" w:cs="Times New Roman" w:eastAsia="Times New Roman" w:hAnsi="Times New Roman"/>
          <w:sz w:val="20"/>
          <w:szCs w:val="20"/>
          <w:color w:val="auto"/>
        </w:rPr>
        <w:t>Total revenues were $111.6 million, representing a decrease of 12.8% on a reported and 12.8% on an organic basis compared to the fourth quarter of 2024.</w:t>
      </w:r>
    </w:p>
    <w:p>
      <w:pPr>
        <w:spacing w:after="0" w:line="1" w:lineRule="exact"/>
        <w:rPr>
          <w:sz w:val="20"/>
          <w:szCs w:val="20"/>
          <w:color w:val="auto"/>
        </w:rPr>
      </w:pPr>
    </w:p>
    <w:p>
      <w:pPr>
        <w:ind w:left="1540" w:right="340" w:hanging="236"/>
        <w:spacing w:after="0" w:line="229" w:lineRule="auto"/>
        <w:tabs>
          <w:tab w:leader="none" w:pos="153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20"/>
          <w:szCs w:val="20"/>
          <w:color w:val="auto"/>
        </w:rPr>
        <w:t>Sales in Wound Reconstruction declined 21.4% on an organic basis primarily due to the previously communicated remediation efforts for MediHoney® and a challenging year-over-year comp for Integra Skin, which generated record revenue in the fourth quarter of 2024 due to backorder clearance.</w:t>
      </w:r>
    </w:p>
    <w:p>
      <w:pPr>
        <w:ind w:left="1540" w:hanging="236"/>
        <w:spacing w:after="0" w:line="224" w:lineRule="auto"/>
        <w:tabs>
          <w:tab w:leader="none" w:pos="1540" w:val="left"/>
        </w:tabs>
        <w:numPr>
          <w:ilvl w:val="0"/>
          <w:numId w:val="12"/>
        </w:numPr>
        <w:rPr>
          <w:rFonts w:ascii="Courier New" w:cs="Courier New" w:eastAsia="Courier New" w:hAnsi="Courier New"/>
          <w:sz w:val="22"/>
          <w:szCs w:val="22"/>
          <w:color w:val="auto"/>
        </w:rPr>
      </w:pPr>
      <w:r>
        <w:rPr>
          <w:rFonts w:ascii="Times New Roman" w:cs="Times New Roman" w:eastAsia="Times New Roman" w:hAnsi="Times New Roman"/>
          <w:sz w:val="20"/>
          <w:szCs w:val="20"/>
          <w:color w:val="auto"/>
        </w:rPr>
        <w:t>Sales in private label grew 20.1% on an organic basis due in part to improved partner orders.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2025 Financial Summary</w:t>
      </w:r>
    </w:p>
    <w:p>
      <w:pPr>
        <w:spacing w:after="0" w:line="23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Total reported revenues for the full-year 2025 were $1,635.2 million, an increase of 1.5% from the prior year. Organic sales for the full-year 2025 were down 0.7% compared to 2024.</w:t>
      </w:r>
    </w:p>
    <w:p>
      <w:pPr>
        <w:spacing w:after="0" w:line="173" w:lineRule="exact"/>
        <w:rPr>
          <w:sz w:val="20"/>
          <w:szCs w:val="20"/>
          <w:color w:val="auto"/>
        </w:rPr>
      </w:pPr>
    </w:p>
    <w:p>
      <w:pPr>
        <w:ind w:right="200"/>
        <w:spacing w:after="0" w:line="230" w:lineRule="exact"/>
        <w:rPr>
          <w:sz w:val="20"/>
          <w:szCs w:val="20"/>
          <w:color w:val="auto"/>
        </w:rPr>
      </w:pPr>
      <w:r>
        <w:rPr>
          <w:rFonts w:ascii="Times New Roman" w:cs="Times New Roman" w:eastAsia="Times New Roman" w:hAnsi="Times New Roman"/>
          <w:sz w:val="20"/>
          <w:szCs w:val="20"/>
          <w:color w:val="auto"/>
        </w:rPr>
        <w:t>The Company reported a GAAP net loss of $(516.5) million or $(6.74) per diluted share, for the full-year 2025, driven primarily by a $511 million goodwill impairment charge recorded in the second quarter. This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cash charge resulted from the decline in the Company’s share price, which reflected several external and operational factors, including tariff changes as well as quality, operational, and supply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related challenges. This compares to a GAAP net loss of $(6.9) million, or $(0.09) per diluted share in 2024.</w:t>
      </w:r>
    </w:p>
    <w:p>
      <w:pPr>
        <w:spacing w:after="0" w:line="21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Adjusted EBITDA for the full-year 2025 was $317.5 million, a decrease of $4.7 million versus the prior year. Full- year adjusted EBITDA margins were 19.4%, a decrease of 60 basis points from the prior year period.</w:t>
      </w:r>
    </w:p>
    <w:p>
      <w:pPr>
        <w:spacing w:after="0" w:line="18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Adjusted net income for the full-year 2025 was $171.4 million, or $2.23 per diluted share, compared to $196.9 million, or $2.56 per diluted share in the prior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Balance Sheet, Cash Flow and Capital Allocation</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generated cash flow from operations of $50.4 million for the full-year 2025. Full-year capital expenditures were $81.4 million. Net debt at the end of the year was $1.6 billion, and the consolidated total leverage</w:t>
      </w:r>
    </w:p>
    <w:p>
      <w:pPr>
        <w:sectPr>
          <w:pgSz w:w="11900" w:h="16838" w:orient="portrait"/>
          <w:cols w:equalWidth="0" w:num="1">
            <w:col w:w="11220"/>
          </w:cols>
          <w:pgMar w:left="320" w:top="1129" w:right="359" w:bottom="1440" w:gutter="0" w:footer="0" w:header="0"/>
        </w:sectPr>
      </w:pPr>
    </w:p>
    <w:bookmarkStart w:id="8" w:name="page9"/>
    <w:bookmarkEnd w:id="8"/>
    <w:p>
      <w:pPr>
        <w:ind w:right="260"/>
        <w:spacing w:after="0" w:line="269" w:lineRule="auto"/>
        <w:rPr>
          <w:sz w:val="20"/>
          <w:szCs w:val="20"/>
          <w:color w:val="auto"/>
        </w:rPr>
      </w:pPr>
      <w:r>
        <w:rPr>
          <w:rFonts w:ascii="Times New Roman" w:cs="Times New Roman" w:eastAsia="Times New Roman" w:hAnsi="Times New Roman"/>
          <w:sz w:val="20"/>
          <w:szCs w:val="20"/>
          <w:color w:val="auto"/>
        </w:rPr>
        <w:t>ratio was 4.5x. As of year-end, the Company had total liquidity of approximately $516 million, including approximately $263.7 million in cash plus short-term investments and the remainder available under its revolving credit facility.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Revenue and Adjusted Earnings Per Share Guidance</w:t>
      </w:r>
    </w:p>
    <w:p>
      <w:pPr>
        <w:spacing w:after="0" w:line="2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For the full-year 2026, the Company expects revenues to be in the range of $1,662 million to $1,702 million, representing reported growth of 1.6% to 4.1% and organic growth of 0.8% to 3.3%. Adjusted earnings per diluted share are expected to be between $2.30 and $2.40, reflecting a full year of tariffs offset by margin improvement initiatives.</w:t>
      </w:r>
    </w:p>
    <w:p>
      <w:pPr>
        <w:spacing w:after="0" w:line="20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For the first quarter 2026, the Company expects reported revenues in the range of $375 million to $390 million, representing reported growth of -2.0% to 1.9% and organic growth of -3.4% to 0.5%. Adjusted earnings per diluted share are expected to be in the range of $0.37 to $0.45.</w:t>
      </w:r>
    </w:p>
    <w:p>
      <w:pPr>
        <w:spacing w:after="0" w:line="16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Full year and first quarter adjusted earnings per diluted share guidance reflects the Company’s tariff assumptions in place prior to last week’s Supreme Court ruling and the subsequent announcement regarding implementation of Section 122 tariffs and does not contemplate the recovery of any amounts already paid.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Organic sales growth excludes the effects of foreign currency.</w:t>
      </w:r>
    </w:p>
    <w:p>
      <w:pPr>
        <w:spacing w:after="0" w:line="24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The Company is providing forward-looking guidance regarding adjusted earnings per diluted share but is not providing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and efforts to comply with the EU Medical Device Regulation are uncertain, depend on various dynamic factors and are not reasonably ascertainable at this time. These expense items could have a material impact on GAAP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pacing w:after="0" w:line="24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 xml:space="preserve">Integra has scheduled a conference call for 8:30 a.m. ET on Thursday, February 26, 2026, to discuss fourth quarter and full-year 2025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Relations section of the website at </w:t>
      </w:r>
      <w:r>
        <w:rPr>
          <w:rFonts w:ascii="Times New Roman" w:cs="Times New Roman" w:eastAsia="Times New Roman" w:hAnsi="Times New Roman"/>
          <w:sz w:val="20"/>
          <w:szCs w:val="20"/>
          <w:u w:val="single" w:color="auto"/>
          <w:color w:val="0000FF"/>
        </w:rPr>
        <w:t>investor.integralife.com</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20"/>
          <w:szCs w:val="20"/>
          <w:color w:val="auto"/>
        </w:rPr>
        <w:t xml:space="preserve">A live webcast will be available on the Investors section of the Company’s website at </w:t>
      </w:r>
      <w:r>
        <w:rPr>
          <w:rFonts w:ascii="Times New Roman" w:cs="Times New Roman" w:eastAsia="Times New Roman" w:hAnsi="Times New Roman"/>
          <w:sz w:val="20"/>
          <w:szCs w:val="20"/>
          <w:u w:val="single" w:color="auto"/>
          <w:color w:val="0000FF"/>
        </w:rPr>
        <w:t>investor.integralife.com</w:t>
      </w:r>
      <w:r>
        <w:rPr>
          <w:rFonts w:ascii="Times New Roman" w:cs="Times New Roman" w:eastAsia="Times New Roman" w:hAnsi="Times New Roman"/>
          <w:sz w:val="20"/>
          <w:szCs w:val="20"/>
          <w:color w:val="auto"/>
        </w:rPr>
        <w:t xml:space="preserve">. For those planning to participate on the call, please register </w:t>
      </w:r>
      <w:r>
        <w:rPr>
          <w:rFonts w:ascii="Times New Roman" w:cs="Times New Roman" w:eastAsia="Times New Roman" w:hAnsi="Times New Roman"/>
          <w:sz w:val="20"/>
          <w:szCs w:val="20"/>
          <w:u w:val="single" w:color="auto"/>
          <w:color w:val="0000FF"/>
        </w:rPr>
        <w:t>here</w:t>
      </w:r>
      <w:r>
        <w:rPr>
          <w:rFonts w:ascii="Times New Roman" w:cs="Times New Roman" w:eastAsia="Times New Roman" w:hAnsi="Times New Roman"/>
          <w:sz w:val="20"/>
          <w:szCs w:val="20"/>
          <w:color w:val="auto"/>
        </w:rPr>
        <w:t xml:space="preserve"> to receive dial-in details and a unique pin. While not required, it is recommended to join 10 minutes prior to the start of the event. A webcast replay of the conference call will be available on the Investor Relations section of the Company’s website following the call.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24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Integra LifeSciences (Nasdaq: IART) is a global medical technology leader dedicated to restoring lives. We are advancing transformational care through impactful innovation in neurosurgery, </w:t>
      </w:r>
      <w:r>
        <w:rPr>
          <w:rFonts w:ascii="Times New Roman" w:cs="Times New Roman" w:eastAsia="Times New Roman" w:hAnsi="Times New Roman"/>
          <w:sz w:val="21"/>
          <w:szCs w:val="21"/>
          <w:color w:val="auto"/>
        </w:rPr>
        <w:t>tissue reconstruction,</w:t>
      </w:r>
      <w:r>
        <w:rPr>
          <w:rFonts w:ascii="Times New Roman" w:cs="Times New Roman" w:eastAsia="Times New Roman" w:hAnsi="Times New Roman"/>
          <w:sz w:val="20"/>
          <w:szCs w:val="20"/>
          <w:color w:val="auto"/>
        </w:rPr>
        <w:t xml:space="preserve"> specialized fields that demand exceptional expertise and precision. Our portfolio of highly differentiated, gold-standard technologies are trusted by healthcare professionals to deliver life-saving care. For our latest news and information, visit </w:t>
      </w:r>
      <w:r>
        <w:rPr>
          <w:rFonts w:ascii="Times New Roman" w:cs="Times New Roman" w:eastAsia="Times New Roman" w:hAnsi="Times New Roman"/>
          <w:sz w:val="20"/>
          <w:szCs w:val="20"/>
          <w:u w:val="single" w:color="auto"/>
          <w:color w:val="0000FF"/>
        </w:rPr>
        <w:t>www.integralife.com</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ectPr>
          <w:pgSz w:w="11900" w:h="16838" w:orient="portrait"/>
          <w:cols w:equalWidth="0" w:num="1">
            <w:col w:w="11200"/>
          </w:cols>
          <w:pgMar w:left="320" w:top="886" w:right="379" w:bottom="1440" w:gutter="0" w:footer="0" w:header="0"/>
        </w:sectPr>
      </w:pPr>
    </w:p>
    <w:bookmarkStart w:id="9" w:name="page10"/>
    <w:bookmarkEnd w:id="9"/>
    <w:p>
      <w:pPr>
        <w:spacing w:after="0" w:line="238" w:lineRule="auto"/>
        <w:rPr>
          <w:sz w:val="20"/>
          <w:szCs w:val="20"/>
          <w:color w:val="auto"/>
        </w:rPr>
      </w:pPr>
      <w:r>
        <w:rPr>
          <w:rFonts w:ascii="Times New Roman" w:cs="Times New Roman" w:eastAsia="Times New Roman" w:hAnsi="Times New Roman"/>
          <w:sz w:val="20"/>
          <w:szCs w:val="20"/>
          <w:color w:val="auto"/>
        </w:rPr>
        <w:t xml:space="preserve">This news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w:t>
      </w:r>
      <w:r>
        <w:rPr>
          <w:rFonts w:ascii="Times New Roman" w:cs="Times New Roman" w:eastAsia="Times New Roman" w:hAnsi="Times New Roman"/>
          <w:sz w:val="21"/>
          <w:szCs w:val="21"/>
          <w:color w:val="auto"/>
        </w:rPr>
        <w:t>statements</w:t>
      </w:r>
      <w:r>
        <w:rPr>
          <w:rFonts w:ascii="Times New Roman" w:cs="Times New Roman" w:eastAsia="Times New Roman" w:hAnsi="Times New Roman"/>
          <w:sz w:val="20"/>
          <w:szCs w:val="20"/>
          <w:color w:val="auto"/>
        </w:rPr>
        <w:t xml:space="preserve"> may contain words like “will,” “believe,” “may,” “could,” “would,” “might,” “possible,” “should,” “expect,” “intend,” "forecast," "guidance," “plan,” “anticipate,” "target," or “continue,” the negative of these words, other terms of similar meaning or they may use future dates. Forward-looking statements contained in this news release include, but are not limited to, statements concerning: future business, operational and financial performance and the Company’s expectations and plans with respect to market opportunity, business and operational performance, strategic initiatives, capabilities, resources, manufacturing capabilities, product development, product availability and regulatory approvals, including expectations regarding the Company’s compliance master plan to improve the Company's quality systems.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the ongoing and possible future effects of global challenges, including macroeconomic uncertainties, U.S. and global trade policies, inflation, supply chain disruptions, geopolitical conflicts, on the Company’s suppliers, vendors and customers and on the Company’s business and financial condition, results of operations and cash flows; the Company's ability to execute its financial, strategic and operating plans effectively; the Company's ability to remediate quality systems violations; difficulties in implementing the Company’s compliance master plan; difficulties or delays in obtaining and maintaining required regulatory approvals, including the costs thereof potential difficulties, delays and disruptions in manufacturing, distribution or sale of products; the failure of the company’s suppliers, vendors, and other third parties to meet contractual, regulatory and other obligations; the anticipated development of markets the Company sells its products into and the success of the Company’s products in these markets; the Company’s ability to predict accurately the demand for its products, and products under development; increasing industry competition; the coverage and reimbursement decisions of third-party payors; trends toward health care cost containment; difficulties in controlling expenses, including costs to procure and manufacture the Company’s products; 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 than the results anticipated at the time of the acquisitions, the geographic distribution of where the Company generates its taxable income; changes to applicable laws, regulations and enforcement guidance, including tax laws and global health care reforms; fluctuations in foreign currency exchange rates; the amount of our bank borrowings outstanding and other factors influencing liquidity; breaches, failures or other disruptions of our or our vendors’ or customers’ information technology systems or products; and the economic, competitive, governmental, technological, and other risk factors and uncertainties identified under the heading “Risk Factors” included in Item 1A of Integra's Annual Report on Form 10-K for the year ended December 31, 2025 and information contained in subsequent filings with the Securities and Exchange Commission.</w:t>
      </w:r>
    </w:p>
    <w:p>
      <w:pPr>
        <w:spacing w:after="0" w:line="23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These forward-looking statements are made only as of the date hereof, and the Company undertakes no obligation to update or revise the forward-looking statements, whether as a result of new information, future events, or otherwise, except as otherwise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Adjusted Financial Measures</w:t>
      </w:r>
    </w:p>
    <w:p>
      <w:pPr>
        <w:spacing w:after="0" w:line="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to our GAAP results, we provide certain non-GAAP measures, including organic revenues, adjusted earnings before interest, taxes, depreciation and amortization (“EBITDA”), adjusted net income, adjusted gross margin, adjusted earnings per diluted share, and net</w:t>
      </w:r>
    </w:p>
    <w:p>
      <w:pPr>
        <w:jc w:val="both"/>
        <w:spacing w:after="0" w:line="251" w:lineRule="auto"/>
        <w:rPr>
          <w:sz w:val="20"/>
          <w:szCs w:val="20"/>
          <w:color w:val="auto"/>
        </w:rPr>
      </w:pPr>
      <w:r>
        <w:rPr>
          <w:rFonts w:ascii="Times New Roman" w:cs="Times New Roman" w:eastAsia="Times New Roman" w:hAnsi="Times New Roman"/>
          <w:sz w:val="20"/>
          <w:szCs w:val="20"/>
          <w:color w:val="auto"/>
        </w:rPr>
        <w:t>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 The measure of adjusted EBITDA margin is calculated by dividing adjusted EBITDA by GAAP revenues.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w:t>
      </w:r>
    </w:p>
    <w:p>
      <w:pPr>
        <w:sectPr>
          <w:pgSz w:w="11900" w:h="16838" w:orient="portrait"/>
          <w:cols w:equalWidth="0" w:num="1">
            <w:col w:w="11240"/>
          </w:cols>
          <w:pgMar w:left="320" w:top="886" w:right="339" w:bottom="1440" w:gutter="0" w:footer="0" w:header="0"/>
        </w:sectPr>
      </w:pPr>
    </w:p>
    <w:bookmarkStart w:id="10" w:name="page11"/>
    <w:bookmarkEnd w:id="10"/>
    <w:p>
      <w:pPr>
        <w:jc w:val="both"/>
        <w:spacing w:after="0" w:line="259" w:lineRule="auto"/>
        <w:rPr>
          <w:sz w:val="20"/>
          <w:szCs w:val="20"/>
          <w:color w:val="auto"/>
        </w:rPr>
      </w:pPr>
      <w:r>
        <w:rPr>
          <w:rFonts w:ascii="Times New Roman" w:cs="Times New Roman" w:eastAsia="Times New Roman" w:hAnsi="Times New Roman"/>
          <w:sz w:val="20"/>
          <w:szCs w:val="20"/>
          <w:color w:val="auto"/>
        </w:rPr>
        <w:t>Form 8-K filed with the Securities and Exchange Commission on May 23, 2023 (the “recall”) and the transition of Boston-related manufacturing operations to the Company’s Braintree, Massachusetts facility; (v) intangible asset amortization expense; (vi) income tax impact from adjustments; and (vii) impairment charges.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Reconciliations of GAAP revenues to organic revenues, GAAP net income to adjusted EBITDA and adjusted net income, GAAP gross profit to adjusted gross profit, GAAP gross margin to adjusted gross margin, and GAAP earnings per diluted share to adjusted earnings per diluted share all for the quarters and years ended December 31, 2025 and 2024, GAAP total debt to net debt for the years ended December 31, 2025 and 2024, and the GAAP operating cash flow to free cash flow and adjusted free cash flow conversion for the quarters and years ended December 31, 2025 and 2024, appear in the financial tables in this release.</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providing forward-looking guidance regarding adjusted earnings per diluted share but is not providing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and efforts to comply with the EU Medical Device Regulation are uncertain, depend on various dynamic factors and are not reasonably ascertainable at this time. These expense items could have a material impact on GAAP results.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www.sec.gov or on our website at www.integralife.com.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ind w:right="9020" w:firstLine="8"/>
        <w:spacing w:after="0" w:line="271" w:lineRule="auto"/>
        <w:tabs>
          <w:tab w:leader="none" w:pos="47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772-7736 chris.ward@integralife.com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ind w:right="8920" w:firstLine="8"/>
        <w:spacing w:after="0" w:line="286" w:lineRule="auto"/>
        <w:tabs>
          <w:tab w:leader="none" w:pos="47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1240"/>
          </w:cols>
          <w:pgMar w:left="320" w:top="886" w:right="3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560" w:type="dxa"/>
            <w:vAlign w:val="bottom"/>
          </w:tcPr>
          <w:p>
            <w:pPr>
              <w:spacing w:after="0"/>
              <w:rPr>
                <w:sz w:val="18"/>
                <w:szCs w:val="18"/>
                <w:color w:val="auto"/>
              </w:rPr>
            </w:pPr>
          </w:p>
        </w:tc>
        <w:tc>
          <w:tcPr>
            <w:tcW w:w="29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 December</w:t>
            </w: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2940" w:type="dxa"/>
            <w:vAlign w:val="bottom"/>
            <w:gridSpan w:val="5"/>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434,925</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442,645</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1,635,245</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1,610,527</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214,060</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803,625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728,466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24,791</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169,267</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699,700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716,983</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3,768</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3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511,365</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411,885</w:t>
            </w: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407,018</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2,128,615</w:t>
            </w: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1,582,116</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23,040</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(493,370)</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4,361</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(23,673)</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(70,632)</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0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4,310</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(563,502)</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(18,237)</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6,014</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(47,028)</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(1,704)</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(516,474)</w:t>
            </w:r>
          </w:p>
        </w:tc>
        <w:tc>
          <w:tcPr>
            <w:tcW w:w="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89"/>
        </w:trPr>
        <w:tc>
          <w:tcPr>
            <w:tcW w:w="5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common shares outstanding for diluted net income per</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76,777</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76,672</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77,010</w:t>
            </w:r>
          </w:p>
        </w:tc>
        <w:tc>
          <w:tcPr>
            <w:tcW w:w="0" w:type="dxa"/>
            <w:vAlign w:val="bottom"/>
          </w:tcPr>
          <w:p>
            <w:pPr>
              <w:spacing w:after="0"/>
              <w:rPr>
                <w:sz w:val="1"/>
                <w:szCs w:val="1"/>
                <w:color w:val="auto"/>
              </w:rPr>
            </w:pPr>
          </w:p>
        </w:tc>
      </w:tr>
    </w:tbl>
    <w:p>
      <w:pPr>
        <w:sectPr>
          <w:pgSz w:w="11900" w:h="16838" w:orient="portrait"/>
          <w:cols w:equalWidth="0" w:num="1">
            <w:col w:w="11180"/>
          </w:cols>
          <w:pgMar w:left="320" w:top="89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Segment revenues and growth in total revenues excluding the effects of currency exchange rates, acquisitions and discontinued products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40" w:type="dxa"/>
            <w:vAlign w:val="bottom"/>
          </w:tcPr>
          <w:p>
            <w:pPr>
              <w:spacing w:after="0"/>
              <w:rPr>
                <w:sz w:val="22"/>
                <w:szCs w:val="22"/>
                <w:color w:val="auto"/>
              </w:rPr>
            </w:pPr>
          </w:p>
        </w:tc>
        <w:tc>
          <w:tcPr>
            <w:tcW w:w="30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23"/>
        </w:trPr>
        <w:tc>
          <w:tcPr>
            <w:tcW w:w="4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Neurosurgery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220,091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827,667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803,816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w:t>
            </w:r>
          </w:p>
        </w:tc>
      </w:tr>
      <w:tr>
        <w:trPr>
          <w:trHeight w:val="229"/>
        </w:trPr>
        <w:tc>
          <w:tcPr>
            <w:tcW w:w="4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Instruments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52,291</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51,029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206,472</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204,177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w:t>
            </w:r>
          </w:p>
        </w:tc>
      </w:tr>
      <w:tr>
        <w:trPr>
          <w:trHeight w:val="234"/>
        </w:trPr>
        <w:tc>
          <w:tcPr>
            <w:tcW w:w="4700" w:type="dxa"/>
            <w:vAlign w:val="bottom"/>
          </w:tcPr>
          <w:p>
            <w:pPr>
              <w:ind w:left="20"/>
              <w:spacing w:after="0" w:line="235" w:lineRule="exact"/>
              <w:rPr>
                <w:sz w:val="20"/>
                <w:szCs w:val="20"/>
                <w:color w:val="auto"/>
              </w:rPr>
            </w:pPr>
            <w:r>
              <w:rPr>
                <w:rFonts w:ascii="Times New Roman" w:cs="Times New Roman" w:eastAsia="Times New Roman" w:hAnsi="Times New Roman"/>
                <w:sz w:val="27"/>
                <w:szCs w:val="27"/>
                <w:color w:val="auto"/>
                <w:vertAlign w:val="subscript"/>
              </w:rPr>
              <w:t>ENT</w:t>
            </w:r>
            <w:r>
              <w:rPr>
                <w:rFonts w:ascii="Times New Roman" w:cs="Times New Roman" w:eastAsia="Times New Roman" w:hAnsi="Times New Roman"/>
                <w:sz w:val="10"/>
                <w:szCs w:val="10"/>
                <w:color w:val="auto"/>
              </w:rPr>
              <w:t>(1)</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43,540</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166,372</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135,643</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22.7%</w:t>
            </w:r>
          </w:p>
        </w:tc>
      </w:tr>
      <w:tr>
        <w:trPr>
          <w:trHeight w:val="228"/>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Codman Specialty Surgical</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323,306</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314,660</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1,200,511</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1,143,636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r>
      <w:tr>
        <w:trPr>
          <w:trHeight w:val="47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Wound Reconstruction and Care</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79,975</w:t>
            </w:r>
          </w:p>
        </w:tc>
        <w:tc>
          <w:tcPr>
            <w:tcW w:w="22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101,527</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323,488</w:t>
            </w:r>
          </w:p>
        </w:tc>
        <w:tc>
          <w:tcPr>
            <w:tcW w:w="2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350,565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31,644</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26,458</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111,246</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116,326</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r>
      <w:tr>
        <w:trPr>
          <w:trHeight w:val="223"/>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Tissue Technologies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111,619</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127,985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434,734</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466,891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(6.9)%</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Reported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434,925</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442,645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1,635,245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1,610,527</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1.5%</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0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changes in currency exchange rates</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2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4"/>
                <w:szCs w:val="24"/>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contribution of revenues from acquisitions</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(29,092)</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spacing w:after="0"/>
              <w:rPr>
                <w:sz w:val="20"/>
                <w:szCs w:val="20"/>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contribution of revenues from divested products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contribution of revenues from discontinued products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organic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431,402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442,645</w:t>
            </w: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1,599,474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1,610,527</w:t>
            </w: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(0.7)%</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Organic revenues have been adjusted to exclude foreign currency (current period), acquisitions and to account for divested and discontinued products.</w:t>
      </w:r>
    </w:p>
    <w:p>
      <w:pPr>
        <w:sectPr>
          <w:pgSz w:w="11900" w:h="16838" w:orient="portrait"/>
          <w:cols w:equalWidth="0" w:num="1">
            <w:col w:w="11140"/>
          </w:cols>
          <w:pgMar w:left="320" w:top="891"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Items included in GAAP net income and from continuing operations and locations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Three Months Ended December 31, 2025</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COGS(a)</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SG&amp;A(b)</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R&amp;D(c)</w:t>
            </w:r>
          </w:p>
        </w:tc>
        <w:tc>
          <w:tcPr>
            <w:tcW w:w="14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Amortization(d)</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OI&amp;E(e)</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Tax(f)</w:t>
            </w:r>
          </w:p>
        </w:tc>
      </w:tr>
      <w:tr>
        <w:trPr>
          <w:trHeight w:val="178"/>
        </w:trPr>
        <w:tc>
          <w:tcPr>
            <w:tcW w:w="3620" w:type="dxa"/>
            <w:vAlign w:val="bottom"/>
            <w:tcBorders>
              <w:lef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Acquisition, divestiture and integration-related</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29"/>
        </w:trPr>
        <w:tc>
          <w:tcPr>
            <w:tcW w:w="3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248</w:t>
            </w:r>
          </w:p>
        </w:tc>
        <w:tc>
          <w:tcPr>
            <w:tcW w:w="8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20,334</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10,200</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8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9,749</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4,068</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13,806</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13,588</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26,919</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23,152</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3620" w:type="dxa"/>
            <w:vAlign w:val="bottom"/>
            <w:tcBorders>
              <w:lef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Estimated income tax impact from above</w:t>
            </w: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30"/>
        </w:trPr>
        <w:tc>
          <w:tcPr>
            <w:tcW w:w="3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adjustments and other items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(4,362)</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(4,362)</w:t>
            </w:r>
          </w:p>
        </w:tc>
      </w:tr>
      <w:tr>
        <w:trPr>
          <w:trHeight w:val="234"/>
        </w:trPr>
        <w:tc>
          <w:tcPr>
            <w:tcW w:w="3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11,287</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7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 Intangible asset amortization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60"/>
          </w:cols>
          <w:pgMar w:left="320" w:top="891" w:right="319" w:bottom="1440" w:gutter="0" w:footer="0" w:header="0"/>
        </w:sectPr>
      </w:pPr>
    </w:p>
    <w:bookmarkStart w:id="14" w:name="page15"/>
    <w:bookmarkEnd w:id="14"/>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Three Months Ended December 31, 2024</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620" w:type="dxa"/>
            <w:vAlign w:val="bottom"/>
            <w:tcBorders>
              <w:top w:val="single" w:sz="8" w:color="auto"/>
              <w:left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11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COGS(a)</w:t>
            </w:r>
          </w:p>
        </w:tc>
        <w:tc>
          <w:tcPr>
            <w:tcW w:w="12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SG&amp;A(b)</w:t>
            </w:r>
          </w:p>
        </w:tc>
        <w:tc>
          <w:tcPr>
            <w:tcW w:w="11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R&amp;D(c)</w:t>
            </w:r>
          </w:p>
        </w:tc>
        <w:tc>
          <w:tcPr>
            <w:tcW w:w="16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Amortization(d)</w:t>
            </w:r>
          </w:p>
        </w:tc>
        <w:tc>
          <w:tcPr>
            <w:tcW w:w="12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OI&amp;E(e)</w:t>
            </w:r>
          </w:p>
        </w:tc>
        <w:tc>
          <w:tcPr>
            <w:tcW w:w="106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Tax(f)</w:t>
            </w:r>
          </w:p>
        </w:tc>
      </w:tr>
      <w:tr>
        <w:trPr>
          <w:trHeight w:val="169"/>
        </w:trPr>
        <w:tc>
          <w:tcPr>
            <w:tcW w:w="262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Acquisition, divestiture and</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238"/>
        </w:trPr>
        <w:tc>
          <w:tcPr>
            <w:tcW w:w="2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integration-related charges</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2,264</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513</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315</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402</w:t>
            </w:r>
          </w:p>
        </w:tc>
        <w:tc>
          <w:tcPr>
            <w:tcW w:w="106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9,083</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4,238</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4,261</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2620" w:type="dxa"/>
            <w:vAlign w:val="bottom"/>
            <w:tcBorders>
              <w:lef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EU Medical Device Regulation</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238"/>
        </w:trPr>
        <w:tc>
          <w:tcPr>
            <w:tcW w:w="2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9,461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1,054</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3,933</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4,474</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11,358</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10,966</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392</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2620" w:type="dxa"/>
            <w:vAlign w:val="bottom"/>
            <w:tcBorders>
              <w:lef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Intangible asset amortization</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238"/>
        </w:trPr>
        <w:tc>
          <w:tcPr>
            <w:tcW w:w="2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expense</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26,557</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22,842</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3,715</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2620" w:type="dxa"/>
            <w:vAlign w:val="bottom"/>
            <w:tcBorders>
              <w:lef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238"/>
        </w:trPr>
        <w:tc>
          <w:tcPr>
            <w:tcW w:w="2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above adjustments and other items</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(4,902)</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(4,902)</w:t>
            </w:r>
          </w:p>
        </w:tc>
      </w:tr>
      <w:tr>
        <w:trPr>
          <w:trHeight w:val="234"/>
        </w:trPr>
        <w:tc>
          <w:tcPr>
            <w:tcW w:w="2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10,935</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and expense</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60"/>
          </w:cols>
          <w:pgMar w:left="320" w:top="144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Twelve Months Ended December 31, 2025</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180" w:type="dxa"/>
            <w:vAlign w:val="bottom"/>
            <w:tcBorders>
              <w:top w:val="single" w:sz="8" w:color="auto"/>
              <w:left w:val="single" w:sz="8" w:color="auto"/>
            </w:tcBorders>
          </w:tcPr>
          <w:p>
            <w:pPr>
              <w:ind w:left="1500"/>
              <w:spacing w:after="0" w:line="202" w:lineRule="exact"/>
              <w:rPr>
                <w:sz w:val="20"/>
                <w:szCs w:val="20"/>
                <w:color w:val="auto"/>
              </w:rPr>
            </w:pPr>
            <w:r>
              <w:rPr>
                <w:rFonts w:ascii="Times New Roman" w:cs="Times New Roman" w:eastAsia="Times New Roman" w:hAnsi="Times New Roman"/>
                <w:sz w:val="18"/>
                <w:szCs w:val="18"/>
                <w:b w:val="1"/>
                <w:bCs w:val="1"/>
                <w:color w:val="auto"/>
              </w:rPr>
              <w:t>Item</w:t>
            </w:r>
          </w:p>
        </w:tc>
        <w:tc>
          <w:tcPr>
            <w:tcW w:w="1380" w:type="dxa"/>
            <w:vAlign w:val="bottom"/>
            <w:tcBorders>
              <w:top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Total Amount</w:t>
            </w:r>
          </w:p>
        </w:tc>
        <w:tc>
          <w:tcPr>
            <w:tcW w:w="1060" w:type="dxa"/>
            <w:vAlign w:val="bottom"/>
            <w:tcBorders>
              <w:top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COGS(a)</w:t>
            </w:r>
          </w:p>
        </w:tc>
        <w:tc>
          <w:tcPr>
            <w:tcW w:w="1120" w:type="dxa"/>
            <w:vAlign w:val="bottom"/>
            <w:tcBorders>
              <w:top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SG&amp;A(b)</w:t>
            </w:r>
          </w:p>
        </w:tc>
        <w:tc>
          <w:tcPr>
            <w:tcW w:w="1060" w:type="dxa"/>
            <w:vAlign w:val="bottom"/>
            <w:tcBorders>
              <w:top w:val="single" w:sz="8" w:color="auto"/>
            </w:tcBorders>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R&amp;D(c)</w:t>
            </w:r>
          </w:p>
        </w:tc>
        <w:tc>
          <w:tcPr>
            <w:tcW w:w="1460" w:type="dxa"/>
            <w:vAlign w:val="bottom"/>
            <w:tcBorders>
              <w:top w:val="single" w:sz="8" w:color="auto"/>
            </w:tcBorders>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Amortization(d)</w:t>
            </w:r>
          </w:p>
        </w:tc>
        <w:tc>
          <w:tcPr>
            <w:tcW w:w="1060" w:type="dxa"/>
            <w:vAlign w:val="bottom"/>
            <w:tcBorders>
              <w:top w:val="single" w:sz="8" w:color="auto"/>
            </w:tcBorders>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OI&amp;E(e)</w:t>
            </w:r>
          </w:p>
        </w:tc>
        <w:tc>
          <w:tcPr>
            <w:tcW w:w="940" w:type="dxa"/>
            <w:vAlign w:val="bottom"/>
            <w:tcBorders>
              <w:top w:val="single" w:sz="8" w:color="auto"/>
              <w:right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Tax(f)</w:t>
            </w:r>
          </w:p>
        </w:tc>
      </w:tr>
      <w:tr>
        <w:trPr>
          <w:trHeight w:val="20"/>
        </w:trPr>
        <w:tc>
          <w:tcPr>
            <w:tcW w:w="3180" w:type="dxa"/>
            <w:vAlign w:val="bottom"/>
            <w:tcBorders>
              <w:left w:val="single" w:sz="8" w:color="auto"/>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18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Acquisition, divestiture and integration-</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r>
      <w:tr>
        <w:trPr>
          <w:trHeight w:val="238"/>
        </w:trPr>
        <w:tc>
          <w:tcPr>
            <w:tcW w:w="31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related charges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3,597</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2,234</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1,592</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47,994</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27,521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20,495</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(324)</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41,928</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4,277</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18,471</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19,180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56,202</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54,953</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107,060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92,106</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14,954</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180" w:type="dxa"/>
            <w:vAlign w:val="bottom"/>
            <w:tcBorders>
              <w:lef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w:t>
            </w:r>
          </w:p>
        </w:tc>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r>
      <w:tr>
        <w:trPr>
          <w:trHeight w:val="238"/>
        </w:trPr>
        <w:tc>
          <w:tcPr>
            <w:tcW w:w="31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adjustments and other items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80,292</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80,292</w:t>
            </w:r>
          </w:p>
        </w:tc>
      </w:tr>
      <w:tr>
        <w:trPr>
          <w:trHeight w:val="234"/>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43,987</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Interest (income) expense, net and other (income), net</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60"/>
          </w:cols>
          <w:pgMar w:left="320" w:top="891" w:right="31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color w:val="auto"/>
        </w:rPr>
        <w:t>Twelve Months Ended December 31, 2024</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120" w:type="dxa"/>
            <w:vAlign w:val="bottom"/>
            <w:tcBorders>
              <w:top w:val="single" w:sz="8" w:color="auto"/>
              <w:left w:val="single" w:sz="8" w:color="auto"/>
            </w:tcBorders>
          </w:tcPr>
          <w:p>
            <w:pPr>
              <w:ind w:left="1440"/>
              <w:spacing w:after="0" w:line="202" w:lineRule="exact"/>
              <w:rPr>
                <w:sz w:val="20"/>
                <w:szCs w:val="20"/>
                <w:color w:val="auto"/>
              </w:rPr>
            </w:pPr>
            <w:r>
              <w:rPr>
                <w:rFonts w:ascii="Times New Roman" w:cs="Times New Roman" w:eastAsia="Times New Roman" w:hAnsi="Times New Roman"/>
                <w:sz w:val="18"/>
                <w:szCs w:val="18"/>
                <w:b w:val="1"/>
                <w:bCs w:val="1"/>
                <w:color w:val="auto"/>
              </w:rPr>
              <w:t>Item</w:t>
            </w:r>
          </w:p>
        </w:tc>
        <w:tc>
          <w:tcPr>
            <w:tcW w:w="1320" w:type="dxa"/>
            <w:vAlign w:val="bottom"/>
            <w:tcBorders>
              <w:top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Total Amount</w:t>
            </w:r>
          </w:p>
        </w:tc>
        <w:tc>
          <w:tcPr>
            <w:tcW w:w="1140" w:type="dxa"/>
            <w:vAlign w:val="bottom"/>
            <w:tcBorders>
              <w:top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b w:val="1"/>
                <w:bCs w:val="1"/>
                <w:color w:val="auto"/>
              </w:rPr>
              <w:t>COGS(a)</w:t>
            </w:r>
          </w:p>
        </w:tc>
        <w:tc>
          <w:tcPr>
            <w:tcW w:w="1120" w:type="dxa"/>
            <w:vAlign w:val="bottom"/>
            <w:tcBorders>
              <w:top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SG&amp;A(b)</w:t>
            </w:r>
          </w:p>
        </w:tc>
        <w:tc>
          <w:tcPr>
            <w:tcW w:w="1060" w:type="dxa"/>
            <w:vAlign w:val="bottom"/>
            <w:tcBorders>
              <w:top w:val="single" w:sz="8" w:color="auto"/>
            </w:tcBorders>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R&amp;D(c)</w:t>
            </w:r>
          </w:p>
        </w:tc>
        <w:tc>
          <w:tcPr>
            <w:tcW w:w="1500" w:type="dxa"/>
            <w:vAlign w:val="bottom"/>
            <w:tcBorders>
              <w:top w:val="single" w:sz="8" w:color="auto"/>
            </w:tcBorders>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Amortization(d)</w:t>
            </w:r>
          </w:p>
        </w:tc>
        <w:tc>
          <w:tcPr>
            <w:tcW w:w="1040" w:type="dxa"/>
            <w:vAlign w:val="bottom"/>
            <w:tcBorders>
              <w:top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OI&amp;E(e)</w:t>
            </w:r>
          </w:p>
        </w:tc>
        <w:tc>
          <w:tcPr>
            <w:tcW w:w="960" w:type="dxa"/>
            <w:vAlign w:val="bottom"/>
            <w:tcBorders>
              <w:top w:val="single" w:sz="8" w:color="auto"/>
              <w:right w:val="single" w:sz="8" w:color="auto"/>
            </w:tcBorders>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Tax(f)</w:t>
            </w:r>
          </w:p>
        </w:tc>
      </w:tr>
      <w:tr>
        <w:trPr>
          <w:trHeight w:val="20"/>
        </w:trPr>
        <w:tc>
          <w:tcPr>
            <w:tcW w:w="312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12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Acquisition, divestiture and integration-</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r>
      <w:tr>
        <w:trPr>
          <w:trHeight w:val="238"/>
        </w:trPr>
        <w:tc>
          <w:tcPr>
            <w:tcW w:w="3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related charges</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33,626</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9,071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25,793</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304</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24,194</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16,195</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7,395</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604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44,570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18,875</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21,674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45,034</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43,175</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1,859</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105,252</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83,962</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21,290</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120" w:type="dxa"/>
            <w:vAlign w:val="bottom"/>
            <w:tcBorders>
              <w:lef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w:t>
            </w: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r>
      <w:tr>
        <w:trPr>
          <w:trHeight w:val="238"/>
        </w:trPr>
        <w:tc>
          <w:tcPr>
            <w:tcW w:w="3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adjustments and other items</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(48,792)</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(48,792)</w:t>
            </w:r>
          </w:p>
        </w:tc>
      </w:tr>
      <w:tr>
        <w:trPr>
          <w:trHeight w:val="234"/>
        </w:trPr>
        <w:tc>
          <w:tcPr>
            <w:tcW w:w="31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41,449</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76"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Interest (income) expense, net and other (income), net</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60"/>
          </w:cols>
          <w:pgMar w:left="320" w:top="999" w:right="319" w:bottom="1440" w:gutter="0" w:footer="0" w:header="0"/>
        </w:sectPr>
      </w:pPr>
    </w:p>
    <w:bookmarkStart w:id="17" w:name="page18"/>
    <w:bookmarkEnd w:id="17"/>
    <w:p>
      <w:pPr>
        <w:jc w:val="center"/>
        <w:ind w:right="-279"/>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RECONCILIATION OF NON-GAAP ADJUSTMENTS - GAAP NET INCOME FROM CONTINUING OPERATIONS TO ADJUSTED EBITDA</w:t>
      </w:r>
    </w:p>
    <w:p>
      <w:pPr>
        <w:spacing w:after="0" w:line="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0960"/>
          </w:cols>
          <w:pgMar w:left="320" w:top="891" w:right="619" w:bottom="1440" w:gutter="0" w:footer="0" w:header="0"/>
        </w:sectPr>
      </w:pPr>
    </w:p>
    <w:p>
      <w:pPr>
        <w:spacing w:after="0" w:line="46"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13335</wp:posOffset>
            </wp:positionV>
            <wp:extent cx="1388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6" w:lineRule="exact"/>
        <w:rPr>
          <w:sz w:val="20"/>
          <w:szCs w:val="20"/>
          <w:color w:val="auto"/>
        </w:rPr>
      </w:pPr>
    </w:p>
    <w:p>
      <w:pPr>
        <w:ind w:left="614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19685</wp:posOffset>
            </wp:positionV>
            <wp:extent cx="138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13335</wp:posOffset>
            </wp:positionV>
            <wp:extent cx="1619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19685</wp:posOffset>
            </wp:positionV>
            <wp:extent cx="161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300"/>
          </w:cols>
          <w:pgMar w:left="320" w:top="891" w:right="619" w:bottom="1440" w:gutter="0" w:footer="0" w:header="0"/>
          <w:type w:val="continuous"/>
        </w:sectPr>
      </w:pP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2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(516,474)</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146,701</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511,365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50,591</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24,194</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44,570</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45,034</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33,626</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105,913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85,447</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833,969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329,175</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104,209</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104,882</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317,494</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322,231</w:t>
            </w: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60"/>
          </w:cols>
          <w:pgMar w:left="320" w:top="891" w:right="61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ADJUSTMENTS - GAAP NET INCOME FROM CONTINUING OPERATIONS TO MEASURES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NET INCOME AND ADJUSTED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3"/>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4"/>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1960" w:type="dxa"/>
            <w:vAlign w:val="bottom"/>
            <w:gridSpan w:val="3"/>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0"/>
                <w:szCs w:val="20"/>
                <w:color w:val="auto"/>
              </w:rPr>
            </w:pPr>
          </w:p>
        </w:tc>
        <w:tc>
          <w:tcPr>
            <w:tcW w:w="19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6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7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(516,474)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33,626</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45,034</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511,365</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107,060</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105,252</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(80,292)</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(48,792)</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65,444</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687,854</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203,884</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73,256</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171,380</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196,940</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6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77,079</w:t>
            </w:r>
          </w:p>
        </w:tc>
      </w:tr>
    </w:tbl>
    <w:p>
      <w:pPr>
        <w:sectPr>
          <w:pgSz w:w="11900" w:h="16838" w:orient="portrait"/>
          <w:cols w:equalWidth="0" w:num="1">
            <w:col w:w="11240"/>
          </w:cols>
          <w:pgMar w:left="320" w:top="89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FFFF"/>
              </w:rPr>
              <w:t>825,563</w:t>
            </w: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14,531</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2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term investments</w:t>
            </w:r>
          </w:p>
        </w:tc>
        <w:tc>
          <w:tcPr>
            <w:tcW w:w="20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w:t>
            </w:r>
          </w:p>
        </w:tc>
        <w:tc>
          <w:tcPr>
            <w:tcW w:w="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235,048</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278,849</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272,370</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492,735</w:t>
            </w:r>
          </w:p>
        </w:tc>
        <w:tc>
          <w:tcPr>
            <w:tcW w:w="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429,090</w:t>
            </w:r>
          </w:p>
        </w:tc>
        <w:tc>
          <w:tcPr>
            <w:tcW w:w="0" w:type="dxa"/>
            <w:vAlign w:val="bottom"/>
          </w:tcPr>
          <w:p>
            <w:pPr>
              <w:spacing w:after="0"/>
              <w:rPr>
                <w:sz w:val="1"/>
                <w:szCs w:val="1"/>
                <w:color w:val="auto"/>
              </w:rPr>
            </w:pPr>
          </w:p>
        </w:tc>
      </w:tr>
      <w:tr>
        <w:trPr>
          <w:trHeight w:val="44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1,768,306</w:t>
            </w:r>
          </w:p>
        </w:tc>
        <w:tc>
          <w:tcPr>
            <w:tcW w:w="6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1,121,823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87,800</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securities</w:t>
            </w:r>
          </w:p>
        </w:tc>
        <w:tc>
          <w:tcPr>
            <w:tcW w:w="2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573,170</w:t>
            </w:r>
          </w:p>
        </w:tc>
        <w:tc>
          <w:tcPr>
            <w:tcW w:w="0" w:type="dxa"/>
            <w:vAlign w:val="bottom"/>
          </w:tcPr>
          <w:p>
            <w:pPr>
              <w:spacing w:after="0"/>
              <w:rPr>
                <w:sz w:val="1"/>
                <w:szCs w:val="1"/>
                <w:color w:val="auto"/>
              </w:rPr>
            </w:pPr>
          </w:p>
        </w:tc>
      </w:tr>
      <w:tr>
        <w:trPr>
          <w:trHeight w:val="44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1,043,463</w:t>
            </w: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840" w:type="dxa"/>
            <w:vAlign w:val="bottom"/>
          </w:tcPr>
          <w:p>
            <w:pPr>
              <w:spacing w:after="0"/>
              <w:rPr>
                <w:sz w:val="19"/>
                <w:szCs w:val="19"/>
                <w:color w:val="auto"/>
              </w:rPr>
            </w:pP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760" w:type="dxa"/>
            <w:vAlign w:val="bottom"/>
          </w:tcPr>
          <w:p>
            <w:pPr>
              <w:spacing w:after="0"/>
              <w:rPr>
                <w:sz w:val="19"/>
                <w:szCs w:val="19"/>
                <w:color w:val="auto"/>
              </w:rPr>
            </w:pPr>
          </w:p>
        </w:tc>
      </w:tr>
      <w:tr>
        <w:trPr>
          <w:trHeight w:val="238"/>
        </w:trPr>
        <w:tc>
          <w:tcPr>
            <w:tcW w:w="6840" w:type="dxa"/>
            <w:vAlign w:val="bottom"/>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50,384</w:t>
            </w:r>
          </w:p>
        </w:tc>
        <w:tc>
          <w:tcPr>
            <w:tcW w:w="14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129,382</w:t>
            </w: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(108,063)</w:t>
            </w: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(390,808)</w:t>
            </w: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by financing activities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28,335</w:t>
            </w: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237,863</w:t>
            </w: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1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r>
      <w:tr>
        <w:trPr>
          <w:trHeight w:val="48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4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(30,027)</w:t>
            </w:r>
          </w:p>
        </w:tc>
      </w:tr>
    </w:tbl>
    <w:p>
      <w:pPr>
        <w:sectPr>
          <w:pgSz w:w="11900" w:h="16838" w:orient="portrait"/>
          <w:cols w:equalWidth="0" w:num="1">
            <w:col w:w="11240"/>
          </w:cols>
          <w:pgMar w:left="320" w:top="891" w:right="339" w:bottom="1440" w:gutter="0" w:footer="0" w:header="0"/>
        </w:sectPr>
      </w:pPr>
    </w:p>
    <w:bookmarkStart w:id="20" w:name="page21"/>
    <w:bookmarkEnd w:id="20"/>
    <w:p>
      <w:pPr>
        <w:jc w:val="center"/>
        <w:ind w:left="380" w:right="160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ADJUSTED FREE CASH FLOW AND ADJUSTED FREE CASH FLOW CONVERSION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8"/>
        </w:trPr>
        <w:tc>
          <w:tcPr>
            <w:tcW w:w="7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r>
      <w:tr>
        <w:trPr>
          <w:trHeight w:val="223"/>
        </w:trPr>
        <w:tc>
          <w:tcPr>
            <w:tcW w:w="7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cash provided by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11,815</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50,746</w:t>
            </w:r>
          </w:p>
        </w:tc>
      </w:tr>
      <w:tr>
        <w:trPr>
          <w:trHeight w:val="49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(17,214)</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(29,599)</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 Free Cash Flow</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(5,399)</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21,147</w:t>
            </w:r>
          </w:p>
        </w:tc>
      </w:tr>
      <w:tr>
        <w:trPr>
          <w:trHeight w:val="49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12"/>
                <w:szCs w:val="12"/>
                <w:color w:val="auto"/>
              </w:rPr>
              <w:t>(1)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63,740</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73,256</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r>
    </w:tbl>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23"/>
        </w:trPr>
        <w:tc>
          <w:tcPr>
            <w:tcW w:w="7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GAAP Net cash provided by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50,384</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129,382</w:t>
            </w:r>
          </w:p>
        </w:tc>
      </w:tr>
      <w:tr>
        <w:trPr>
          <w:trHeight w:val="49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(81,436)</w:t>
            </w: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(104,418)</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 Free Cash Flow</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(31,052)</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24,964</w:t>
            </w:r>
          </w:p>
        </w:tc>
      </w:tr>
      <w:tr>
        <w:trPr>
          <w:trHeight w:val="49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12"/>
                <w:szCs w:val="12"/>
                <w:color w:val="auto"/>
              </w:rPr>
              <w:t>(1)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171,380</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196,940</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310" w:lineRule="exact"/>
        <w:rPr>
          <w:sz w:val="20"/>
          <w:szCs w:val="20"/>
          <w:color w:val="auto"/>
        </w:rPr>
      </w:pPr>
    </w:p>
    <w:p>
      <w:pPr>
        <w:ind w:right="340" w:firstLine="8"/>
        <w:spacing w:after="0" w:line="282" w:lineRule="auto"/>
        <w:tabs>
          <w:tab w:leader="none" w:pos="2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 for quarters and twelve months ended December 31, 2025 and 2024 are reconciled above. Adjusted net income for remaining quarters in the trailing twelve months calculation have been previously reconciled and are publicly available in the Quarterly Earnings Call Presentations on our website at investor.integralife.com.</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a useful metric in evaluating the significance of the cash special charges in its adjusted earnings measures.</w:t>
      </w:r>
    </w:p>
    <w:p>
      <w:pPr>
        <w:sectPr>
          <w:pgSz w:w="11900" w:h="16838" w:orient="portrait"/>
          <w:cols w:equalWidth="0" w:num="1">
            <w:col w:w="11180"/>
          </w:cols>
          <w:pgMar w:left="320" w:top="891" w:right="39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6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16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33,906</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1,729,556</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1,087,917</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87,800</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(235,048)</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(246,375)</w:t>
            </w:r>
          </w:p>
        </w:tc>
        <w:tc>
          <w:tcPr>
            <w:tcW w:w="0" w:type="dxa"/>
            <w:vAlign w:val="bottom"/>
          </w:tcPr>
          <w:p>
            <w:pPr>
              <w:spacing w:after="0"/>
              <w:rPr>
                <w:sz w:val="1"/>
                <w:szCs w:val="1"/>
                <w:color w:val="auto"/>
              </w:rPr>
            </w:pPr>
          </w:p>
        </w:tc>
      </w:tr>
      <w:tr>
        <w:trPr>
          <w:trHeight w:val="22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1,595,622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340"/>
        <w:spacing w:after="0" w:line="253" w:lineRule="auto"/>
        <w:rPr>
          <w:sz w:val="20"/>
          <w:szCs w:val="20"/>
          <w:color w:val="auto"/>
        </w:rPr>
      </w:pPr>
      <w:r>
        <w:rPr>
          <w:rFonts w:ascii="Times New Roman" w:cs="Times New Roman" w:eastAsia="Times New Roman" w:hAnsi="Times New Roman"/>
          <w:sz w:val="18"/>
          <w:szCs w:val="18"/>
          <w:color w:val="auto"/>
        </w:rPr>
        <w:t>RECONCILIATION OF NON-GAAP ADJUSTMENTS - GAAP GROSS PROFIT TO MEASURES OF ADJUSTED GROSS PROFIT AND ADJUSTED GROSS MARGIN</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115"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720" w:type="dxa"/>
            <w:vAlign w:val="bottom"/>
            <w:gridSpan w:val="4"/>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38"/>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6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434,925</w:t>
            </w:r>
          </w:p>
        </w:tc>
        <w:tc>
          <w:tcPr>
            <w:tcW w:w="3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442,645</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1,635,245</w:t>
            </w:r>
          </w:p>
        </w:tc>
        <w:tc>
          <w:tcPr>
            <w:tcW w:w="3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1,610,527</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214,060</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193,573</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803,625</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728,466</w:t>
            </w:r>
          </w:p>
        </w:tc>
      </w:tr>
      <w:tr>
        <w:trPr>
          <w:trHeight w:val="21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Reported 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220,865</w:t>
            </w:r>
          </w:p>
        </w:tc>
        <w:tc>
          <w:tcPr>
            <w:tcW w:w="3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249,072</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831,620</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882,061</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9,645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27,521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16,195</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9,071</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13,588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10,966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54,953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43,175</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w:t>
            </w:r>
          </w:p>
        </w:tc>
        <w:tc>
          <w:tcPr>
            <w:tcW w:w="1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4,277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4,020</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23,152</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22,842</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92,106</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83,962</w:t>
            </w:r>
          </w:p>
        </w:tc>
      </w:tr>
      <w:tr>
        <w:trPr>
          <w:trHeight w:val="21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268,400</w:t>
            </w:r>
          </w:p>
        </w:tc>
        <w:tc>
          <w:tcPr>
            <w:tcW w:w="3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288,685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1,011,524</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1,038,484</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434,925</w:t>
            </w:r>
          </w:p>
        </w:tc>
        <w:tc>
          <w:tcPr>
            <w:tcW w:w="3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442,645</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1,635,245</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1,610,527</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r>
    </w:tbl>
    <w:p>
      <w:pPr>
        <w:spacing w:after="0" w:line="1" w:lineRule="exact"/>
        <w:rPr>
          <w:sz w:val="20"/>
          <w:szCs w:val="20"/>
          <w:color w:val="auto"/>
        </w:rPr>
      </w:pP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Roman"/>
      <w:start w:val="7"/>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609"/>
    </w:lvl>
  </w:abstractNum>
  <w:abstractNum w:abstractNumId="13">
    <w:nsid w:val="4E6AFB66"/>
    <w:multiLevelType w:val="hybridMultilevel"/>
    <w:lvl w:ilvl="0">
      <w:lvlJc w:val="left"/>
      <w:lvlText w:val="(%1)"/>
      <w:numFmt w:val="decimal"/>
      <w:start w:val="609"/>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2026-02-26T05:46:34Z</dcterms:created>
  <dcterms:modified xsi:type="dcterms:W3CDTF">2026-02-26T05:46:34Z</dcterms:modified>
</cp:coreProperties>
</file>